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drawing>
          <wp:inline distT="0" distB="0" distL="0" distR="0">
            <wp:extent cx="1714500" cy="228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14500" cy="228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</w:pPr>
      <w:r>
        <w:rPr>
          <w:i/>
          <w:iCs/>
          <w:color w:val="64748B"/>
          <w:sz w:val="18"/>
          <w:szCs w:val="18"/>
        </w:rPr>
        <w:t xml:space="preserve">Commerce général multisectoriel au Mali</w:t>
      </w:r>
    </w:p>
    <w:p>
      <w:pPr>
        <w:pStyle w:val="Heading1"/>
        <w:spacing w:after="60" w:before="120"/>
      </w:pPr>
      <w:r>
        <w:t xml:space="preserve">Politique de confidentialité et de protection des données</w:t>
      </w:r>
    </w:p>
    <w:p>
      <w:pPr>
        <w:spacing w:after="120"/>
      </w:pPr>
      <w:r>
        <w:rPr>
          <w:sz w:val="22"/>
          <w:szCs w:val="22"/>
        </w:rPr>
        <w:t xml:space="preserve">SOKATF SARL s'engage à protéger les données personnelles de ses clients, partenaires et collaborateurs, dans le respect de la réglementation applicable.</w:t>
      </w:r>
    </w:p>
    <w:p>
      <w:pPr>
        <w:pStyle w:val="Heading2"/>
        <w:spacing w:after="80" w:before="200"/>
      </w:pPr>
      <w:r>
        <w:t xml:space="preserve">Données collectées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Identité et coordonnées (nom, société, email, téléphone, adresse).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Données commerciales (devis, commandes, factures, paiements).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Données strictement nécessaires à l'activité.</w:t>
      </w:r>
    </w:p>
    <w:p>
      <w:pPr>
        <w:pStyle w:val="Heading2"/>
        <w:spacing w:after="80" w:before="200"/>
      </w:pPr>
      <w:r>
        <w:t xml:space="preserve">Utilisation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Gestion de la relation commerciale et du suivi des commandes.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Facturation, comptabilité et obligations légales.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Communication d'informations liées aux services.</w:t>
      </w:r>
    </w:p>
    <w:p>
      <w:pPr>
        <w:pStyle w:val="Heading2"/>
        <w:spacing w:after="80" w:before="200"/>
      </w:pPr>
      <w:r>
        <w:t xml:space="preserve">Protection et droits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Accès aux données limité aux personnes habilitées.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Mesures de sécurité techniques et organisationnelles.</w:t>
      </w:r>
    </w:p>
    <w:p>
      <w:pPr>
        <w:pStyle w:val="ListParagraph"/>
        <w:numPr>
          <w:ilvl w:val="0"/>
          <w:numId w:val="1"/>
        </w:numPr>
        <w:spacing w:after="40"/>
      </w:pPr>
      <w:r>
        <w:t xml:space="preserve">Les personnes concernées peuvent demander l'accès, la rectification ou la suppression de leurs données.</w:t>
      </w:r>
    </w:p>
    <w:p>
      <w:pPr>
        <w:spacing w:after="120"/>
      </w:pPr>
      <w:r>
        <w:rPr>
          <w:sz w:val="22"/>
          <w:szCs w:val="22"/>
        </w:rPr>
        <w:t xml:space="preserve">Contact : contact@sokatf.com</w:t>
      </w:r>
    </w:p>
    <w:p>
      <w:pPr>
        <w:pBdr>
          <w:top w:val="single" w:color="E2E8F0" w:sz="4"/>
        </w:pBdr>
        <w:spacing w:before="400"/>
      </w:pPr>
      <w:r>
        <w:rPr>
          <w:color w:val="64748B"/>
          <w:sz w:val="16"/>
          <w:szCs w:val="16"/>
        </w:rPr>
        <w:t xml:space="preserve">SOKATF SARL — NIF : 084153962X · RCCM : MA.BKo-2026-B-1280</w:t>
      </w:r>
    </w:p>
    <w:p>
      <w:r>
        <w:rPr>
          <w:color w:val="64748B"/>
          <w:sz w:val="16"/>
          <w:szCs w:val="16"/>
        </w:rPr>
        <w:t xml:space="preserve">Quartier Hamdallaye ACI 2000, Immeuble Assan Thiero — Bamako, Mali · Tél : (+223) 66 77 32 75 / 70 04 02 13 · contact@sokatf.com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e14149870dc26f3d4aa868bdfef9243a5752cfd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et de protection des données</dc:title>
  <dc:creator>SOKATF SARL</dc:creator>
  <cp:lastModifiedBy>Un-named</cp:lastModifiedBy>
  <cp:revision>1</cp:revision>
  <dcterms:created xsi:type="dcterms:W3CDTF">2026-07-16T14:24:42.545Z</dcterms:created>
  <dcterms:modified xsi:type="dcterms:W3CDTF">2026-07-16T14:24:42.545Z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