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171450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4748B"/>
          <w:sz w:val="18"/>
          <w:szCs w:val="18"/>
        </w:rPr>
        <w:t xml:space="preserve">Commerce général multisectoriel au Mali</w:t>
      </w:r>
    </w:p>
    <w:p>
      <w:pPr>
        <w:pStyle w:val="Heading1"/>
        <w:spacing w:after="60" w:before="120"/>
      </w:pPr>
      <w:r>
        <w:t xml:space="preserve">Politique Hygiène, Sécurité &amp; Environnement</w:t>
      </w:r>
    </w:p>
    <w:p>
      <w:pPr>
        <w:spacing w:after="200"/>
      </w:pPr>
      <w:r>
        <w:rPr>
          <w:i/>
          <w:iCs/>
          <w:color w:val="B8860B"/>
          <w:sz w:val="22"/>
          <w:szCs w:val="22"/>
        </w:rPr>
        <w:t xml:space="preserve">HSE — SOKATF SARL</w:t>
      </w:r>
    </w:p>
    <w:p>
      <w:pPr>
        <w:spacing w:after="120"/>
      </w:pPr>
      <w:r>
        <w:rPr>
          <w:sz w:val="22"/>
          <w:szCs w:val="22"/>
        </w:rPr>
        <w:t xml:space="preserve">SOKATF SARL s'engage à protéger la santé et la sécurité de ses collaborateurs et à limiter l'impact de ses activités sur l'environnement.</w:t>
      </w:r>
    </w:p>
    <w:p>
      <w:pPr>
        <w:pStyle w:val="Heading2"/>
        <w:spacing w:after="80" w:before="200"/>
      </w:pPr>
      <w:r>
        <w:t xml:space="preserve">Sécurité au travail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Fourniture et port des équipements de protection individuelle (EPI).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Sensibilisation et formation aux risques professionnels.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Prévention des accidents sur les sites et chantiers.</w:t>
      </w:r>
    </w:p>
    <w:p>
      <w:pPr>
        <w:pStyle w:val="Heading2"/>
        <w:spacing w:after="80" w:before="200"/>
      </w:pPr>
      <w:r>
        <w:t xml:space="preserve">Environnement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Gestion responsable des déchets.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Utilisation raisonnée des ressources (énergie, eau).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Choix de fournisseurs et pratiques respectueux de l'environnement.</w:t>
      </w:r>
    </w:p>
    <w:p>
      <w:pPr>
        <w:pStyle w:val="Heading2"/>
        <w:spacing w:after="80" w:before="200"/>
      </w:pPr>
      <w:r>
        <w:t xml:space="preserve">Responsabilités</w:t>
      </w:r>
    </w:p>
    <w:p>
      <w:pPr>
        <w:spacing w:after="120"/>
      </w:pPr>
      <w:r>
        <w:rPr>
          <w:sz w:val="22"/>
          <w:szCs w:val="22"/>
        </w:rPr>
        <w:t xml:space="preserve">Chaque collaborateur est responsable de l'application des règles HSE. La direction veille à leur mise en œuvre et à leur amélioration continue.</w:t>
      </w:r>
    </w:p>
    <w:p>
      <w:pPr>
        <w:pBdr>
          <w:top w:val="single" w:color="E2E8F0" w:sz="4"/>
        </w:pBdr>
        <w:spacing w:before="400"/>
      </w:pPr>
      <w:r>
        <w:rPr>
          <w:color w:val="64748B"/>
          <w:sz w:val="16"/>
          <w:szCs w:val="16"/>
        </w:rPr>
        <w:t xml:space="preserve">SOKATF SARL — NIF : 084153962X · RCCM : MA.BKo-2026-B-1280</w:t>
      </w:r>
    </w:p>
    <w:p>
      <w:r>
        <w:rPr>
          <w:color w:val="64748B"/>
          <w:sz w:val="16"/>
          <w:szCs w:val="16"/>
        </w:rPr>
        <w:t xml:space="preserve">Quartier Hamdallaye ACI 2000, Immeuble Assan Thiero — Bamako, Mali · Tél : (+223) 66 77 32 75 / 70 04 02 13 · contact@sokatf.com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14149870dc26f3d4aa868bdfef9243a5752cf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Politique Hygiène, Sécurité &amp; Environnement</dc:title>
  <dc:creator>SOKATF SARL</dc:creator>
  <cp:lastModifiedBy>Un-named</cp:lastModifiedBy>
  <cp:revision>1</cp:revision>
  <dcterms:created xsi:type="dcterms:W3CDTF">2026-07-16T14:24:43.929Z</dcterms:created>
  <dcterms:modified xsi:type="dcterms:W3CDTF">2026-07-16T14:24:43.929Z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