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Politique des Ressources Humaines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Congés, horaires, absences et gestion du personnel</w:t>
      </w:r>
    </w:p>
    <w:p>
      <w:pPr>
        <w:pStyle w:val="Heading2"/>
        <w:spacing w:after="80" w:before="200"/>
      </w:pPr>
      <w:r>
        <w:t xml:space="preserve">Horaires de travail</w:t>
      </w:r>
    </w:p>
    <w:p>
      <w:pPr>
        <w:spacing w:after="120"/>
      </w:pPr>
      <w:r>
        <w:rPr>
          <w:sz w:val="22"/>
          <w:szCs w:val="22"/>
        </w:rPr>
        <w:t xml:space="preserve">Les horaires standards sont du lundi au vendredi, de 08h00 à 17h00 (avec pause). Les horaires spécifiques (terrain, sécurité) sont définis par service.</w:t>
      </w:r>
    </w:p>
    <w:p>
      <w:pPr>
        <w:pStyle w:val="Heading2"/>
        <w:spacing w:after="80" w:before="200"/>
      </w:pPr>
      <w:r>
        <w:t xml:space="preserve">Congés et absences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Congés annuels payés conformément au Code du travail malien.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Demande de congé soumise et validée par la hiérarchie via le formulaire dédié.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Absences maladie justifiées par un certificat médical.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Autorisations exceptionnelles (événements familiaux) selon les dispositions légales.</w:t>
      </w:r>
    </w:p>
    <w:p>
      <w:pPr>
        <w:pStyle w:val="Heading2"/>
        <w:spacing w:after="80" w:before="200"/>
      </w:pPr>
      <w:r>
        <w:t xml:space="preserve">Recrutement et intégration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Processus de recrutement transparent basé sur les compétences.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Contrat de travail écrit et fiche de poste remis à l'embauche.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Parcours d'intégration pour chaque nouveau collaborateur.</w:t>
      </w:r>
    </w:p>
    <w:p>
      <w:pPr>
        <w:pStyle w:val="Heading2"/>
        <w:spacing w:after="80" w:before="200"/>
      </w:pPr>
      <w:r>
        <w:t xml:space="preserve">Formation et évolution</w:t>
      </w:r>
    </w:p>
    <w:p>
      <w:pPr>
        <w:spacing w:after="120"/>
      </w:pPr>
      <w:r>
        <w:rPr>
          <w:sz w:val="22"/>
          <w:szCs w:val="22"/>
        </w:rPr>
        <w:t xml:space="preserve">SOKATF SARL encourage la formation continue et la mobilité interne afin de développer les compétences et de valoriser les talents locaux.</w:t>
      </w:r>
    </w:p>
    <w:p>
      <w:pPr>
        <w:pStyle w:val="Heading2"/>
        <w:spacing w:after="80" w:before="200"/>
      </w:pPr>
      <w:r>
        <w:t xml:space="preserve">Rémunération</w:t>
      </w:r>
    </w:p>
    <w:p>
      <w:pPr>
        <w:spacing w:after="120"/>
      </w:pPr>
      <w:r>
        <w:rPr>
          <w:sz w:val="22"/>
          <w:szCs w:val="22"/>
        </w:rPr>
        <w:t xml:space="preserve">La rémunération est fixée selon le poste, l'expérience et la grille interne, versée mensuellement, dans le respect des minima légaux.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des Ressources Humaines</dc:title>
  <dc:creator>SOKATF SARL</dc:creator>
  <cp:lastModifiedBy>Un-named</cp:lastModifiedBy>
  <cp:revision>1</cp:revision>
  <dcterms:created xsi:type="dcterms:W3CDTF">2026-07-16T14:24:42.343Z</dcterms:created>
  <dcterms:modified xsi:type="dcterms:W3CDTF">2026-07-16T14:24:42.343Z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