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drawing>
          <wp:inline distT="0" distB="0" distL="0" distR="0">
            <wp:extent cx="171450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4748B"/>
          <w:sz w:val="18"/>
          <w:szCs w:val="18"/>
        </w:rPr>
        <w:t xml:space="preserve">Commerce général multisectoriel au Mali</w:t>
      </w:r>
    </w:p>
    <w:p>
      <w:pPr>
        <w:pStyle w:val="Heading1"/>
        <w:spacing w:after="60" w:before="120"/>
      </w:pPr>
      <w:r>
        <w:t xml:space="preserve">Procédure d'Achat et d'Approvisionnement</w:t>
      </w:r>
    </w:p>
    <w:p>
      <w:pPr>
        <w:spacing w:after="200"/>
      </w:pPr>
      <w:r>
        <w:rPr>
          <w:i/>
          <w:iCs/>
          <w:color w:val="B8860B"/>
          <w:sz w:val="22"/>
          <w:szCs w:val="22"/>
        </w:rPr>
        <w:t xml:space="preserve">Processus interne</w:t>
      </w:r>
    </w:p>
    <w:p>
      <w:pPr>
        <w:spacing w:after="120"/>
      </w:pPr>
      <w:r>
        <w:rPr>
          <w:sz w:val="22"/>
          <w:szCs w:val="22"/>
        </w:rPr>
        <w:t xml:space="preserve">Cette procédure encadre les achats de biens et services afin de garantir la qualité, la maîtrise des coûts et la traçabilité.</w:t>
      </w:r>
    </w:p>
    <w:p>
      <w:pPr>
        <w:pStyle w:val="Heading2"/>
        <w:spacing w:after="80" w:before="200"/>
      </w:pPr>
      <w:r>
        <w:t xml:space="preserve">Étapes du processus</w:t>
      </w:r>
    </w:p>
    <w:p>
      <w:pPr>
        <w:spacing w:after="40"/>
      </w:pPr>
      <w:r>
        <w:rPr>
          <w:sz w:val="22"/>
          <w:szCs w:val="22"/>
        </w:rPr>
        <w:t xml:space="preserve">1. Expression du besoin par le service demandeur (avec spécifications).</w:t>
      </w:r>
    </w:p>
    <w:p>
      <w:pPr>
        <w:spacing w:after="40"/>
      </w:pPr>
      <w:r>
        <w:rPr>
          <w:sz w:val="22"/>
          <w:szCs w:val="22"/>
        </w:rPr>
        <w:t xml:space="preserve">2. Consultation d'au moins deux à trois fournisseurs et comparaison des offres.</w:t>
      </w:r>
    </w:p>
    <w:p>
      <w:pPr>
        <w:spacing w:after="40"/>
      </w:pPr>
      <w:r>
        <w:rPr>
          <w:sz w:val="22"/>
          <w:szCs w:val="22"/>
        </w:rPr>
        <w:t xml:space="preserve">3. Validation selon le seuil de dépense (voir tableau).</w:t>
      </w:r>
    </w:p>
    <w:p>
      <w:pPr>
        <w:spacing w:after="40"/>
      </w:pPr>
      <w:r>
        <w:rPr>
          <w:sz w:val="22"/>
          <w:szCs w:val="22"/>
        </w:rPr>
        <w:t xml:space="preserve">4. Émission du bon de commande et suivi de la livraison.</w:t>
      </w:r>
    </w:p>
    <w:p>
      <w:pPr>
        <w:spacing w:after="40"/>
      </w:pPr>
      <w:r>
        <w:rPr>
          <w:sz w:val="22"/>
          <w:szCs w:val="22"/>
        </w:rPr>
        <w:t xml:space="preserve">5. Contrôle de conformité à la réception et validation de la facture.</w:t>
      </w:r>
    </w:p>
    <w:p>
      <w:pPr>
        <w:spacing w:after="40"/>
      </w:pPr>
      <w:r>
        <w:rPr>
          <w:sz w:val="22"/>
          <w:szCs w:val="22"/>
        </w:rPr>
        <w:t xml:space="preserve">6. Archivage des pièces (devis, bon de commande, bon de livraison, facture).</w:t>
      </w:r>
    </w:p>
    <w:p>
      <w:pPr>
        <w:pStyle w:val="Heading2"/>
        <w:spacing w:after="80" w:before="200"/>
      </w:pPr>
      <w:r>
        <w:t xml:space="preserve">Seuils de validation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1F5F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64748B"/>
                <w:sz w:val="20"/>
                <w:szCs w:val="20"/>
              </w:rPr>
              <w:t xml:space="preserve">Montant (FCFA)</w:t>
            </w:r>
          </w:p>
        </w:tc>
        <w:tc>
          <w:tcPr>
            <w:shd w:fill="F1F5F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64748B"/>
                <w:sz w:val="20"/>
                <w:szCs w:val="20"/>
              </w:rPr>
              <w:t xml:space="preserve">Validation requise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&lt; 500 000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Responsable du service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500 000 – 5 000 000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Administrateur Financier &amp; RH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&gt; 5 000 000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Direction Générale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t xml:space="preserve">Sélection des fournisseurs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Qualité et conformité des produits.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Prix, conditions de paiement et délais de livraison.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Fiabilité, références et service après-vente.</w:t>
      </w:r>
    </w:p>
    <w:p>
      <w:pPr>
        <w:pBdr>
          <w:top w:val="single" w:color="E2E8F0" w:sz="4"/>
        </w:pBdr>
        <w:spacing w:before="400"/>
      </w:pPr>
      <w:r>
        <w:rPr>
          <w:color w:val="64748B"/>
          <w:sz w:val="16"/>
          <w:szCs w:val="16"/>
        </w:rPr>
        <w:t xml:space="preserve">SOKATF SARL — NIF : 084153962X · RCCM : MA.BKo-2026-B-1280</w:t>
      </w:r>
    </w:p>
    <w:p>
      <w:r>
        <w:rPr>
          <w:color w:val="64748B"/>
          <w:sz w:val="16"/>
          <w:szCs w:val="16"/>
        </w:rPr>
        <w:t xml:space="preserve">Quartier Hamdallaye ACI 2000, Immeuble Assan Thiero — Bamako, Mali · Tél : (+223) 66 77 32 75 / 70 04 02 13 · contact@sokatf.com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e14149870dc26f3d4aa868bdfef9243a5752cf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Procédure d'Achat et d'Approvisionnement</dc:title>
  <dc:creator>SOKATF SARL</dc:creator>
  <cp:lastModifiedBy>Un-named</cp:lastModifiedBy>
  <cp:revision>1</cp:revision>
  <dcterms:created xsi:type="dcterms:W3CDTF">2026-07-16T14:24:43.502Z</dcterms:created>
  <dcterms:modified xsi:type="dcterms:W3CDTF">2026-07-16T14:24:43.502Z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