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Procédure de gestion des documents</w:t>
      </w:r>
    </w:p>
    <w:p>
      <w:pPr>
        <w:spacing w:after="120"/>
      </w:pPr>
      <w:r>
        <w:rPr>
          <w:sz w:val="22"/>
          <w:szCs w:val="22"/>
        </w:rPr>
        <w:t xml:space="preserve">Cette procédure encadre la création, la validation, le classement et l'archivage des documents de l'entreprise.</w:t>
      </w:r>
    </w:p>
    <w:p>
      <w:pPr>
        <w:pStyle w:val="Heading2"/>
        <w:spacing w:after="80" w:before="200"/>
      </w:pPr>
      <w:r>
        <w:t xml:space="preserve">Cycle de vie d'un document</w:t>
      </w:r>
    </w:p>
    <w:p>
      <w:pPr>
        <w:spacing w:after="40"/>
      </w:pPr>
      <w:r>
        <w:rPr>
          <w:sz w:val="22"/>
          <w:szCs w:val="22"/>
        </w:rPr>
        <w:t xml:space="preserve">1. Création selon un modèle validé.</w:t>
      </w:r>
    </w:p>
    <w:p>
      <w:pPr>
        <w:spacing w:after="40"/>
      </w:pPr>
      <w:r>
        <w:rPr>
          <w:sz w:val="22"/>
          <w:szCs w:val="22"/>
        </w:rPr>
        <w:t xml:space="preserve">2. Vérification et validation par le responsable concerné.</w:t>
      </w:r>
    </w:p>
    <w:p>
      <w:pPr>
        <w:spacing w:after="40"/>
      </w:pPr>
      <w:r>
        <w:rPr>
          <w:sz w:val="22"/>
          <w:szCs w:val="22"/>
        </w:rPr>
        <w:t xml:space="preserve">3. Diffusion aux destinataires autorisés.</w:t>
      </w:r>
    </w:p>
    <w:p>
      <w:pPr>
        <w:spacing w:after="40"/>
      </w:pPr>
      <w:r>
        <w:rPr>
          <w:sz w:val="22"/>
          <w:szCs w:val="22"/>
        </w:rPr>
        <w:t xml:space="preserve">4. Classement et archivage (numérique et/ou papier).</w:t>
      </w:r>
    </w:p>
    <w:p>
      <w:pPr>
        <w:spacing w:after="40"/>
      </w:pPr>
      <w:r>
        <w:rPr>
          <w:sz w:val="22"/>
          <w:szCs w:val="22"/>
        </w:rPr>
        <w:t xml:space="preserve">5. Révision périodique et destruction contrôlée en fin de vie.</w:t>
      </w:r>
    </w:p>
    <w:p>
      <w:pPr>
        <w:pStyle w:val="Heading2"/>
        <w:spacing w:after="80" w:before="200"/>
      </w:pPr>
      <w:r>
        <w:t xml:space="preserve">Nommage et classement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Nommage normalisé : Type - Date - Objet (ex. Facture - 26-07-0001).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Classement par catégorie (commercial, financier, RH, juridique).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Versionnage des documents modifiés.</w:t>
      </w:r>
    </w:p>
    <w:p>
      <w:pPr>
        <w:pStyle w:val="Heading2"/>
        <w:spacing w:after="80" w:before="200"/>
      </w:pPr>
      <w:r>
        <w:t xml:space="preserve">Confidentialité</w:t>
      </w:r>
    </w:p>
    <w:p>
      <w:pPr>
        <w:spacing w:after="120"/>
      </w:pPr>
      <w:r>
        <w:rPr>
          <w:sz w:val="22"/>
          <w:szCs w:val="22"/>
        </w:rPr>
        <w:t xml:space="preserve">L'accès aux documents est restreint selon les rôles ; les documents sensibles sont protégés et tracés.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gestion des documents</dc:title>
  <dc:creator>SOKATF SARL</dc:creator>
  <cp:lastModifiedBy>Un-named</cp:lastModifiedBy>
  <cp:revision>1</cp:revision>
  <dcterms:created xsi:type="dcterms:W3CDTF">2026-07-16T14:24:42.650Z</dcterms:created>
  <dcterms:modified xsi:type="dcterms:W3CDTF">2026-07-16T14:24:42.650Z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