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Tableau de bord — Indicateurs de performance (KPI)</w:t>
      </w:r>
    </w:p>
    <w:p>
      <w:pPr>
        <w:spacing w:after="120"/>
      </w:pPr>
      <w:r>
        <w:rPr>
          <w:sz w:val="22"/>
          <w:szCs w:val="22"/>
        </w:rPr>
        <w:t xml:space="preserve">Les indicateurs clés permettent de piloter la performance de l'entreprise.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Domaine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Indicateur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Chiffre d'affaires facturé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À définir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Commercial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Taux de conversion devis → facture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 40 %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Finances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Taux d'encaissement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 90 %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Finances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Délai moyen de paiement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&lt; 30 jours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Taux de satisfaction client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&gt; 95 %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Clients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Nombre de clients actifs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 hausse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Opérations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Délai moyen de livraison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24–72 h (stock)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sz w:val="22"/>
          <w:szCs w:val="22"/>
        </w:rPr>
        <w:t xml:space="preserve">Ces KPI sont suivis dans le back-office (module Finances) et revus périodiquement.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 de bord — Indicateurs de performance (KPI)</dc:title>
  <dc:creator>SOKATF SARL</dc:creator>
  <cp:lastModifiedBy>Un-named</cp:lastModifiedBy>
  <cp:revision>1</cp:revision>
  <dcterms:created xsi:type="dcterms:W3CDTF">2026-07-15T23:10:31.015Z</dcterms:created>
  <dcterms:modified xsi:type="dcterms:W3CDTF">2026-07-15T23:10:31.015Z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