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communication interne et externe</w:t>
      </w:r>
    </w:p>
    <w:p>
      <w:pPr>
        <w:pStyle w:val="Heading2"/>
        <w:spacing w:after="80" w:before="200"/>
      </w:pPr>
      <w:r>
        <w:t xml:space="preserve">Communication interne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Réunions d'équipe régulières et comptes rendus.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Canaux officiels (email, groupe interne) pour les informations importantes.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Diffusion des procédures et mises à jour organisationnelles.</w:t>
      </w:r>
    </w:p>
    <w:p>
      <w:pPr>
        <w:pStyle w:val="Heading2"/>
        <w:spacing w:after="80" w:before="200"/>
      </w:pPr>
      <w:r>
        <w:t xml:space="preserve">Communication externe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 web et présence en ligne (sokatf.com).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 client via email, téléphone et WhatsApp.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Supports commerciaux (présentation, catalogues, devis).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Relations partenaires et institutionnelles.</w:t>
      </w:r>
    </w:p>
    <w:p>
      <w:pPr>
        <w:pStyle w:val="Heading2"/>
        <w:spacing w:after="80" w:before="200"/>
      </w:pPr>
      <w:r>
        <w:t xml:space="preserve">Ligne éditoriale</w:t>
      </w:r>
    </w:p>
    <w:p>
      <w:pPr>
        <w:spacing w:after="120"/>
      </w:pPr>
      <w:r>
        <w:rPr>
          <w:sz w:val="22"/>
          <w:szCs w:val="22"/>
        </w:rPr>
        <w:t xml:space="preserve">Une communication professionnelle, fiable et cohérente, reflétant les valeurs de l'entreprise.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communication interne et externe</dc:title>
  <dc:creator>SOKATF SARL</dc:creator>
  <cp:lastModifiedBy>Un-named</cp:lastModifiedBy>
  <cp:revision>1</cp:revision>
  <dcterms:created xsi:type="dcterms:W3CDTF">2026-07-15T23:10:30.845Z</dcterms:created>
  <dcterms:modified xsi:type="dcterms:W3CDTF">2026-07-15T23:10:30.845Z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