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F172A"/>
          <w:sz w:val="28"/>
          <w:szCs w:val="28"/>
        </w:rPr>
        <w:t xml:space="preserve">SOKATF SARL</w:t>
      </w:r>
    </w:p>
    <w:p>
      <w:pPr>
        <w:spacing w:after="200"/>
      </w:pPr>
      <w:r>
        <w:rPr>
          <w:i/>
          <w:iCs/>
          <w:color w:val="64748B"/>
          <w:sz w:val="18"/>
          <w:szCs w:val="18"/>
        </w:rPr>
        <w:t xml:space="preserve">Commerce général multisectoriel au Mali</w:t>
      </w:r>
    </w:p>
    <w:p>
      <w:pPr>
        <w:pStyle w:val="Heading1"/>
        <w:spacing w:after="60" w:before="120"/>
      </w:pPr>
      <w:r>
        <w:t xml:space="preserve">Objectifs de l'entreprise</w:t>
      </w:r>
    </w:p>
    <w:p>
      <w:pPr>
        <w:spacing w:after="200"/>
      </w:pPr>
      <w:r>
        <w:rPr>
          <w:i/>
          <w:iCs/>
          <w:color w:val="B8860B"/>
          <w:sz w:val="22"/>
          <w:szCs w:val="22"/>
        </w:rPr>
        <w:t xml:space="preserve">Court, moyen et long terme</w:t>
      </w:r>
    </w:p>
    <w:p>
      <w:pPr>
        <w:pStyle w:val="Heading2"/>
        <w:spacing w:after="80" w:before="200"/>
      </w:pPr>
      <w:r>
        <w:t xml:space="preserve">Court terme (0 – 12 mois)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Structurer l'organisation interne (procédures, fiches de poste, outils).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Consolider le portefeuille clients et fournisseurs.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Mettre en place les outils de gestion (devis, factures, suivi financier).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Renforcer la visibilité (site web, présence commerciale).</w:t>
      </w:r>
    </w:p>
    <w:p>
      <w:pPr>
        <w:pStyle w:val="Heading2"/>
        <w:spacing w:after="80" w:before="200"/>
      </w:pPr>
      <w:r>
        <w:t xml:space="preserve">Moyen terme (1 – 3 ans)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Développer de nouveaux pôles d'activité et gammes de produits.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Élargir le réseau de distribution aux principales régions du Mali.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Nouer des partenariats stratégiques avec des fournisseurs internationaux.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Atteindre les objectifs de chiffre d'affaires et de rentabilité fixés.</w:t>
      </w:r>
    </w:p>
    <w:p>
      <w:pPr>
        <w:pStyle w:val="Heading2"/>
        <w:spacing w:after="80" w:before="200"/>
      </w:pPr>
      <w:r>
        <w:t xml:space="preserve">Long terme (3 – 5 ans et +)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S'imposer comme un leader régional du commerce général.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Étendre les activités à la sous-région (CEDEAO).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Investir dans la logistique, le stockage et la digitalisation.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Créer de l'emploi durable et renforcer l'impact social.</w:t>
      </w:r>
    </w:p>
    <w:p>
      <w:pPr>
        <w:pBdr>
          <w:top w:val="single" w:color="E2E8F0" w:sz="4"/>
        </w:pBdr>
        <w:spacing w:before="400"/>
      </w:pPr>
      <w:r>
        <w:rPr>
          <w:color w:val="64748B"/>
          <w:sz w:val="16"/>
          <w:szCs w:val="16"/>
        </w:rPr>
        <w:t xml:space="preserve">SOKATF SARL — NIF : 084153962X · RCCM : MA.BKo-2026-B-1280</w:t>
      </w:r>
    </w:p>
    <w:p>
      <w:r>
        <w:rPr>
          <w:color w:val="64748B"/>
          <w:sz w:val="16"/>
          <w:szCs w:val="16"/>
        </w:rPr>
        <w:t xml:space="preserve">Quartier Hamdallaye ACI 2000, Immeuble Assan Thiero — Bamako, Mali · Tél : (+223) 66 77 32 75 / 70 04 02 13 · contact@sokatf.com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Objectifs de l'entreprise</dc:title>
  <dc:creator>SOKATF SARL</dc:creator>
  <cp:lastModifiedBy>Un-named</cp:lastModifiedBy>
  <cp:revision>1</cp:revision>
  <dcterms:created xsi:type="dcterms:W3CDTF">2026-07-15T17:35:31.209Z</dcterms:created>
  <dcterms:modified xsi:type="dcterms:W3CDTF">2026-07-15T17:35:31.209Z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