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0F172A"/>
          <w:sz w:val="28"/>
          <w:szCs w:val="28"/>
        </w:rPr>
        <w:t xml:space="preserve">SOKATF SARL</w:t>
      </w:r>
    </w:p>
    <w:p>
      <w:pPr>
        <w:spacing w:after="200"/>
      </w:pPr>
      <w:r>
        <w:rPr>
          <w:i/>
          <w:iCs/>
          <w:color w:val="64748B"/>
          <w:sz w:val="18"/>
          <w:szCs w:val="18"/>
        </w:rPr>
        <w:t xml:space="preserve">Commerce général multisectoriel au Mali</w:t>
      </w:r>
    </w:p>
    <w:p>
      <w:pPr>
        <w:pStyle w:val="Heading1"/>
        <w:spacing w:after="60" w:before="120"/>
      </w:pPr>
      <w:r>
        <w:t xml:space="preserve">Organigramme de l'entreprise</w:t>
      </w:r>
    </w:p>
    <w:p>
      <w:pPr>
        <w:spacing w:after="200"/>
      </w:pPr>
      <w:r>
        <w:rPr>
          <w:i/>
          <w:iCs/>
          <w:color w:val="B8860B"/>
          <w:sz w:val="22"/>
          <w:szCs w:val="22"/>
        </w:rPr>
        <w:t xml:space="preserve">Structure de direction — SOKATF SARL</w:t>
      </w:r>
    </w:p>
    <w:p>
      <w:pPr>
        <w:spacing w:after="120"/>
      </w:pPr>
      <w:r>
        <w:rPr>
          <w:sz w:val="22"/>
          <w:szCs w:val="22"/>
        </w:rPr>
        <w:t xml:space="preserve">L'organigramme présente la structure hiérarchique et fonctionnelle de SOKATF SARL. Il définit les lignes de responsabilité et de reporting entre les organes de direction.</w:t>
      </w:r>
    </w:p>
    <w:p>
      <w:pPr>
        <w:pBdr>
          <w:top w:val="single" w:color="CBD5E1" w:sz="4"/>
          <w:bottom w:val="single" w:color="CBD5E1" w:sz="4"/>
          <w:left w:val="single" w:color="CBD5E1" w:sz="4"/>
          <w:right w:val="single" w:color="CBD5E1" w:sz="4"/>
        </w:pBdr>
        <w:spacing w:after="20"/>
        <w:jc w:val="center"/>
      </w:pPr>
      <w:r>
        <w:rPr>
          <w:b/>
          <w:bCs/>
          <w:color w:val="0F172A"/>
          <w:sz w:val="22"/>
          <w:szCs w:val="22"/>
        </w:rPr>
        <w:t xml:space="preserve">Président Directeur Général (PDG)</w:t>
      </w:r>
      <w:r>
        <w:rPr>
          <w:color w:val="B8860B"/>
          <w:sz w:val="22"/>
          <w:szCs w:val="22"/>
        </w:rPr>
        <w:t xml:space="preserve">  —  Cheick A. Thiero</w:t>
      </w:r>
    </w:p>
    <w:p>
      <w:pPr>
        <w:spacing w:after="20"/>
        <w:jc w:val="center"/>
      </w:pPr>
      <w:r>
        <w:rPr>
          <w:color w:val="64748B"/>
        </w:rPr>
        <w:t xml:space="preserve">▼</w:t>
      </w:r>
    </w:p>
    <w:p>
      <w:pPr>
        <w:pBdr>
          <w:top w:val="single" w:color="CBD5E1" w:sz="4"/>
          <w:bottom w:val="single" w:color="CBD5E1" w:sz="4"/>
          <w:left w:val="single" w:color="CBD5E1" w:sz="4"/>
          <w:right w:val="single" w:color="CBD5E1" w:sz="4"/>
        </w:pBdr>
        <w:spacing w:after="20"/>
        <w:jc w:val="center"/>
      </w:pPr>
      <w:r>
        <w:rPr>
          <w:b/>
          <w:bCs/>
          <w:color w:val="0F172A"/>
          <w:sz w:val="22"/>
          <w:szCs w:val="22"/>
        </w:rPr>
        <w:t xml:space="preserve">Directeur Général (DG)</w:t>
      </w:r>
      <w:r>
        <w:rPr>
          <w:color w:val="B8860B"/>
          <w:sz w:val="22"/>
          <w:szCs w:val="22"/>
        </w:rPr>
        <w:t xml:space="preserve">  —  Abdoulaye Anaïssoum Touré</w:t>
      </w:r>
    </w:p>
    <w:p>
      <w:pPr>
        <w:spacing w:after="20"/>
        <w:jc w:val="center"/>
      </w:pPr>
      <w:r>
        <w:rPr>
          <w:color w:val="64748B"/>
        </w:rPr>
        <w:t xml:space="preserve">▼</w:t>
      </w:r>
    </w:p>
    <w:p>
      <w:pPr>
        <w:pBdr>
          <w:top w:val="single" w:color="CBD5E1" w:sz="4"/>
          <w:bottom w:val="single" w:color="CBD5E1" w:sz="4"/>
          <w:left w:val="single" w:color="CBD5E1" w:sz="4"/>
          <w:right w:val="single" w:color="CBD5E1" w:sz="4"/>
        </w:pBdr>
        <w:spacing w:after="20"/>
        <w:jc w:val="center"/>
      </w:pPr>
      <w:r>
        <w:rPr>
          <w:b/>
          <w:bCs/>
          <w:color w:val="0F172A"/>
          <w:sz w:val="22"/>
          <w:szCs w:val="22"/>
        </w:rPr>
        <w:t xml:space="preserve">Directeur Général Adjoint &amp; Commercial (DGA)</w:t>
      </w:r>
      <w:r>
        <w:rPr>
          <w:color w:val="B8860B"/>
          <w:sz w:val="22"/>
          <w:szCs w:val="22"/>
        </w:rPr>
        <w:t xml:space="preserve">  —  Sidi Mohamed Thiero</w:t>
      </w:r>
    </w:p>
    <w:p>
      <w:pPr>
        <w:spacing w:after="20"/>
        <w:jc w:val="center"/>
      </w:pPr>
      <w:r>
        <w:rPr>
          <w:color w:val="64748B"/>
        </w:rPr>
        <w:t xml:space="preserve">▼</w:t>
      </w:r>
    </w:p>
    <w:p>
      <w:pPr>
        <w:pBdr>
          <w:top w:val="single" w:color="CBD5E1" w:sz="4"/>
          <w:bottom w:val="single" w:color="CBD5E1" w:sz="4"/>
          <w:left w:val="single" w:color="CBD5E1" w:sz="4"/>
          <w:right w:val="single" w:color="CBD5E1" w:sz="4"/>
        </w:pBdr>
        <w:spacing w:after="20"/>
        <w:jc w:val="center"/>
      </w:pPr>
      <w:r>
        <w:rPr>
          <w:b/>
          <w:bCs/>
          <w:color w:val="0F172A"/>
          <w:sz w:val="22"/>
          <w:szCs w:val="22"/>
        </w:rPr>
        <w:t xml:space="preserve">Administrateur Financier &amp; Ressources Humaines</w:t>
      </w:r>
      <w:r>
        <w:rPr>
          <w:color w:val="B8860B"/>
          <w:sz w:val="22"/>
          <w:szCs w:val="22"/>
        </w:rPr>
        <w:t xml:space="preserve">  —  Abdrahamane Dembélé</w:t>
      </w:r>
    </w:p>
    <w:p>
      <w:pPr>
        <w:spacing w:after="20"/>
        <w:jc w:val="center"/>
      </w:pPr>
      <w:r>
        <w:rPr>
          <w:color w:val="64748B"/>
        </w:rPr>
        <w:t xml:space="preserve">▼</w:t>
      </w:r>
    </w:p>
    <w:p>
      <w:pPr>
        <w:pBdr>
          <w:top w:val="single" w:color="CBD5E1" w:sz="4"/>
          <w:bottom w:val="single" w:color="CBD5E1" w:sz="4"/>
          <w:left w:val="single" w:color="CBD5E1" w:sz="4"/>
          <w:right w:val="single" w:color="CBD5E1" w:sz="4"/>
        </w:pBdr>
        <w:spacing w:after="20"/>
        <w:jc w:val="center"/>
      </w:pPr>
      <w:r>
        <w:rPr>
          <w:b/>
          <w:bCs/>
          <w:color w:val="0F172A"/>
          <w:sz w:val="22"/>
          <w:szCs w:val="22"/>
        </w:rPr>
        <w:t xml:space="preserve">Manager &amp; Conseiller</w:t>
      </w:r>
      <w:r>
        <w:rPr>
          <w:color w:val="B8860B"/>
          <w:sz w:val="22"/>
          <w:szCs w:val="22"/>
        </w:rPr>
        <w:t xml:space="preserve">  —  Oumar Mahdi</w:t>
      </w:r>
    </w:p>
    <w:p>
      <w:pPr>
        <w:spacing w:after="120"/>
      </w:pPr>
    </w:p>
    <w:p>
      <w:pPr>
        <w:pStyle w:val="Heading2"/>
        <w:spacing w:after="80" w:before="200"/>
      </w:pPr>
      <w:r>
        <w:t xml:space="preserve">Rôles clés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Le PDG définit la vision stratégique et représente l'entreprise auprès des tiers.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Le DG pilote l'exploitation et coordonne l'ensemble des directions.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Le DGA &amp; Commercial dirige le développement commercial et les partenariats.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L'Administrateur Financier &amp; RH assure la gestion financière, comptable et des ressources humaines.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Le Manager &amp; Conseiller encadre les équipes opérationnelles et conseille la direction.</w:t>
      </w:r>
    </w:p>
    <w:p>
      <w:pPr>
        <w:spacing w:after="120"/>
      </w:pPr>
      <w:r>
        <w:rPr>
          <w:sz w:val="22"/>
          <w:szCs w:val="22"/>
        </w:rPr>
        <w:t xml:space="preserve">Note : la structure évolue avec la croissance de l'entreprise ; les fiches de poste détaillées figurent dans le document dédié.</w:t>
      </w:r>
    </w:p>
    <w:p>
      <w:pPr>
        <w:pBdr>
          <w:top w:val="single" w:color="E2E8F0" w:sz="4"/>
        </w:pBdr>
        <w:spacing w:before="400"/>
      </w:pPr>
      <w:r>
        <w:rPr>
          <w:color w:val="64748B"/>
          <w:sz w:val="16"/>
          <w:szCs w:val="16"/>
        </w:rPr>
        <w:t xml:space="preserve">SOKATF SARL — NIF : 084153962X · RCCM : MA.BKo-2026-B-1280</w:t>
      </w:r>
    </w:p>
    <w:p>
      <w:r>
        <w:rPr>
          <w:color w:val="64748B"/>
          <w:sz w:val="16"/>
          <w:szCs w:val="16"/>
        </w:rPr>
        <w:t xml:space="preserve">Quartier Hamdallaye ACI 2000, Immeuble Assan Thiero — Bamako, Mali · Tél : (+223) 66 77 32 75 / 70 04 02 13 · contact@sokatf.com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Organigramme de l'entreprise</dc:title>
  <dc:creator>SOKATF SARL</dc:creator>
  <cp:lastModifiedBy>Un-named</cp:lastModifiedBy>
  <cp:revision>1</cp:revision>
  <dcterms:created xsi:type="dcterms:W3CDTF">2026-07-15T17:35:31.090Z</dcterms:created>
  <dcterms:modified xsi:type="dcterms:W3CDTF">2026-07-15T17:35:31.090Z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