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28"/>
          <w:szCs w:val="28"/>
        </w:rPr>
        <w:t xml:space="preserve">SOKATF SARL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Règlement intérieur</w:t>
      </w:r>
    </w:p>
    <w:p>
      <w:pPr>
        <w:spacing w:after="120"/>
      </w:pPr>
      <w:r>
        <w:rPr>
          <w:sz w:val="22"/>
          <w:szCs w:val="22"/>
        </w:rPr>
        <w:t xml:space="preserve">Le présent règlement intérieur fixe les règles applicables à l'ensemble du personnel de SOKATF SARL en matière de discipline, d'hygiène et de sécurité, conformément à la législation du travail en vigueur au Mali.</w:t>
      </w:r>
    </w:p>
    <w:p>
      <w:pPr>
        <w:pStyle w:val="Heading2"/>
        <w:spacing w:after="80" w:before="200"/>
      </w:pPr>
      <w:r>
        <w:t xml:space="preserve">1. Discipline générale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Respect des horaires de travail et des consignes hiérarchiques.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Comportement professionnel et courtois envers collègues, clients et partenaires.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Interdiction de toute activité étrangère au service pendant les heures de travail.</w:t>
      </w:r>
    </w:p>
    <w:p>
      <w:pPr>
        <w:pStyle w:val="Heading2"/>
        <w:spacing w:after="80" w:before="200"/>
      </w:pPr>
      <w:r>
        <w:t xml:space="preserve">2. Hygiène et sécurité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Respect des consignes de sécurité sur les sites et lors des opérations.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 des équipements de protection lorsque requis.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Maintien de la propreté des locaux et du matériel.</w:t>
      </w:r>
    </w:p>
    <w:p>
      <w:pPr>
        <w:pStyle w:val="Heading2"/>
        <w:spacing w:after="80" w:before="200"/>
      </w:pPr>
      <w:r>
        <w:t xml:space="preserve">3. Absences et retards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Toute absence doit être justifiée et communiquée dans les meilleurs délais.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congés sont soumis à autorisation préalable de la hiérarchie.</w:t>
      </w:r>
    </w:p>
    <w:p>
      <w:pPr>
        <w:pStyle w:val="Heading2"/>
        <w:spacing w:after="80" w:before="200"/>
      </w:pPr>
      <w:r>
        <w:t xml:space="preserve">4. Sanctions</w:t>
      </w:r>
    </w:p>
    <w:p>
      <w:pPr>
        <w:spacing w:after="120"/>
      </w:pPr>
      <w:r>
        <w:rPr>
          <w:sz w:val="22"/>
          <w:szCs w:val="22"/>
        </w:rPr>
        <w:t xml:space="preserve">Tout manquement peut donner lieu, selon sa gravité, à un avertissement, un blâme, une mise à pied ou un licenciement, dans le respect de la procédure légale.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Règlement intérieur</dc:title>
  <dc:creator>SOKATF SARL</dc:creator>
  <cp:lastModifiedBy>Un-named</cp:lastModifiedBy>
  <cp:revision>1</cp:revision>
  <dcterms:created xsi:type="dcterms:W3CDTF">2026-07-15T17:35:31.306Z</dcterms:created>
  <dcterms:modified xsi:type="dcterms:W3CDTF">2026-07-15T17:35:31.306Z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