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1A4C" w14:textId="77777777" w:rsidR="00A11D2E" w:rsidRDefault="00A11D2E" w:rsidP="00A11D2E">
      <w:pPr>
        <w:pStyle w:val="BodyText"/>
        <w:spacing w:line="360" w:lineRule="auto"/>
        <w:ind w:left="448"/>
        <w:rPr>
          <w:sz w:val="20"/>
        </w:rPr>
      </w:pPr>
      <w:r>
        <w:rPr>
          <w:noProof/>
          <w:sz w:val="20"/>
          <w:lang w:val="en-IN" w:eastAsia="en-IN"/>
        </w:rPr>
        <w:drawing>
          <wp:inline distT="0" distB="0" distL="0" distR="0" wp14:anchorId="5FD2E03E" wp14:editId="37F1A063">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07986" cy="695325"/>
                    </a:xfrm>
                    <a:prstGeom prst="rect">
                      <a:avLst/>
                    </a:prstGeom>
                  </pic:spPr>
                </pic:pic>
              </a:graphicData>
            </a:graphic>
          </wp:inline>
        </w:drawing>
      </w:r>
    </w:p>
    <w:p w14:paraId="247FD8E3" w14:textId="77777777" w:rsidR="00A11D2E" w:rsidRDefault="00A11D2E" w:rsidP="00A11D2E">
      <w:pPr>
        <w:pStyle w:val="BodyText"/>
        <w:spacing w:before="298" w:line="360" w:lineRule="auto"/>
        <w:rPr>
          <w:sz w:val="40"/>
        </w:rPr>
      </w:pPr>
    </w:p>
    <w:p w14:paraId="57B038EE" w14:textId="77777777" w:rsidR="00A11D2E" w:rsidRPr="00A84437" w:rsidRDefault="00A11D2E" w:rsidP="00A11D2E">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573DA9AA" w14:textId="77777777" w:rsidR="00A11D2E" w:rsidRDefault="00A11D2E" w:rsidP="00A11D2E">
      <w:pPr>
        <w:spacing w:line="360" w:lineRule="auto"/>
        <w:ind w:left="105"/>
        <w:jc w:val="center"/>
        <w:rPr>
          <w:rFonts w:ascii="Times New Roman" w:hAnsi="Times New Roman" w:cs="Times New Roman"/>
          <w:b/>
          <w:sz w:val="28"/>
        </w:rPr>
      </w:pPr>
      <w:r w:rsidRPr="00A11D2E">
        <w:rPr>
          <w:rFonts w:ascii="Times New Roman" w:hAnsi="Times New Roman" w:cs="Times New Roman"/>
          <w:b/>
          <w:sz w:val="28"/>
        </w:rPr>
        <w:t>Architecture Design Assignment</w:t>
      </w:r>
    </w:p>
    <w:p w14:paraId="6D5FC0F9" w14:textId="5AC87502" w:rsidR="00A11D2E" w:rsidRPr="00A84437" w:rsidRDefault="00A11D2E" w:rsidP="00A11D2E">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0D7B0BA4" w14:textId="77777777" w:rsidR="00A11D2E" w:rsidRPr="00A84437" w:rsidRDefault="00A11D2E" w:rsidP="00A11D2E">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447A5DBB" w14:textId="77777777" w:rsidR="00A11D2E" w:rsidRPr="00A84437" w:rsidRDefault="00A11D2E" w:rsidP="00A11D2E">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256AAFE5" w14:textId="77777777" w:rsidR="00A11D2E" w:rsidRPr="00A84437" w:rsidRDefault="00A11D2E" w:rsidP="00A11D2E">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08EA9952" w14:textId="77777777" w:rsidR="00A11D2E" w:rsidRPr="004C0316" w:rsidRDefault="00A11D2E" w:rsidP="00A11D2E">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2B0889F3" w14:textId="77777777" w:rsidR="00A11D2E" w:rsidRPr="00A84437" w:rsidRDefault="00A11D2E" w:rsidP="00A11D2E">
      <w:pPr>
        <w:pStyle w:val="BodyText"/>
        <w:spacing w:before="87" w:line="360" w:lineRule="auto"/>
        <w:rPr>
          <w:b/>
          <w:sz w:val="28"/>
        </w:rPr>
      </w:pPr>
    </w:p>
    <w:p w14:paraId="01A0FABC" w14:textId="77777777" w:rsidR="00A11D2E" w:rsidRPr="00A84437" w:rsidRDefault="00A11D2E" w:rsidP="00A11D2E">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17BFAE67" w14:textId="77777777" w:rsidR="00A11D2E" w:rsidRPr="00A84437" w:rsidRDefault="00A11D2E" w:rsidP="00A11D2E">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2F92706C" w14:textId="77777777" w:rsidR="00A11D2E" w:rsidRPr="004C0316" w:rsidRDefault="00A11D2E" w:rsidP="00A11D2E">
      <w:pPr>
        <w:spacing w:line="360" w:lineRule="auto"/>
        <w:jc w:val="center"/>
        <w:rPr>
          <w:rFonts w:ascii="Times New Roman" w:hAnsi="Times New Roman" w:cs="Times New Roman"/>
          <w:noProof/>
          <w:sz w:val="24"/>
          <w:szCs w:val="24"/>
        </w:rPr>
      </w:pPr>
    </w:p>
    <w:p w14:paraId="1FEFBDC2" w14:textId="77777777" w:rsidR="00A11D2E" w:rsidRPr="004C0316" w:rsidRDefault="00A11D2E" w:rsidP="00A11D2E">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4B4F877E" w14:textId="77777777" w:rsidR="00A11D2E" w:rsidRPr="004C0316" w:rsidRDefault="00A11D2E" w:rsidP="00A11D2E">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450DBDF5" w14:textId="77777777" w:rsidR="00A11D2E" w:rsidRPr="004C0316" w:rsidRDefault="00A11D2E" w:rsidP="00A11D2E">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3B3D459B" w14:textId="77777777" w:rsidR="00A11D2E" w:rsidRPr="004C0316" w:rsidRDefault="00A11D2E" w:rsidP="00A11D2E">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38A430D6" w14:textId="77777777" w:rsidR="00A11D2E" w:rsidRPr="004C0316" w:rsidRDefault="00A11D2E" w:rsidP="00A11D2E">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0DF2604E" w14:textId="77777777" w:rsidR="00A11D2E" w:rsidRDefault="00A11D2E" w:rsidP="00A11D2E">
      <w:pPr>
        <w:spacing w:line="360" w:lineRule="auto"/>
        <w:jc w:val="center"/>
        <w:rPr>
          <w:b/>
          <w:sz w:val="28"/>
        </w:rPr>
        <w:sectPr w:rsidR="00A11D2E" w:rsidSect="00A11D2E">
          <w:footerReference w:type="default" r:id="rId8"/>
          <w:pgSz w:w="11920" w:h="16840"/>
          <w:pgMar w:top="1600" w:right="992" w:bottom="1280" w:left="992" w:header="0" w:footer="1084" w:gutter="0"/>
          <w:pgNumType w:start="1"/>
          <w:cols w:space="720"/>
        </w:sectPr>
      </w:pPr>
    </w:p>
    <w:p w14:paraId="26654CA8" w14:textId="77777777" w:rsidR="00A11D2E" w:rsidRPr="00A84437" w:rsidRDefault="00A11D2E" w:rsidP="00A11D2E">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59264" behindDoc="0" locked="0" layoutInCell="1" allowOverlap="1" wp14:anchorId="4BA2C517" wp14:editId="3E6FD600">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0288" behindDoc="0" locked="0" layoutInCell="1" allowOverlap="1" wp14:anchorId="6371A540" wp14:editId="19DD6DA1">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173A84FA" w14:textId="77777777" w:rsidR="00A11D2E" w:rsidRPr="00A84437" w:rsidRDefault="00A11D2E" w:rsidP="00A11D2E">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3B0C2A49" w14:textId="77777777" w:rsidR="00A11D2E" w:rsidRDefault="00A11D2E" w:rsidP="00A11D2E">
      <w:pPr>
        <w:pStyle w:val="BodyText"/>
        <w:spacing w:line="360" w:lineRule="auto"/>
        <w:rPr>
          <w:b/>
          <w:sz w:val="28"/>
        </w:rPr>
      </w:pPr>
    </w:p>
    <w:p w14:paraId="5CBF0696" w14:textId="77777777" w:rsidR="00A11D2E" w:rsidRDefault="00A11D2E" w:rsidP="00A11D2E">
      <w:pPr>
        <w:pStyle w:val="BodyText"/>
        <w:spacing w:before="178" w:line="360" w:lineRule="auto"/>
        <w:rPr>
          <w:b/>
          <w:sz w:val="28"/>
        </w:rPr>
      </w:pPr>
    </w:p>
    <w:p w14:paraId="276CA10E" w14:textId="77777777" w:rsidR="00A11D2E" w:rsidRPr="005517A5" w:rsidRDefault="00A11D2E" w:rsidP="00A11D2E">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0D6B5388" w14:textId="77777777" w:rsidR="00A11D2E" w:rsidRDefault="00A11D2E" w:rsidP="00A11D2E">
      <w:pPr>
        <w:pStyle w:val="BodyText"/>
        <w:spacing w:before="39" w:line="360" w:lineRule="auto"/>
        <w:rPr>
          <w:b/>
        </w:rPr>
      </w:pPr>
    </w:p>
    <w:p w14:paraId="697039C8" w14:textId="77777777" w:rsidR="00A11D2E" w:rsidRPr="00782269" w:rsidRDefault="00A11D2E" w:rsidP="00A11D2E">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1165A266" w14:textId="77777777" w:rsidR="00A11D2E" w:rsidRDefault="00A11D2E" w:rsidP="00A11D2E">
      <w:pPr>
        <w:pStyle w:val="BodyText"/>
        <w:spacing w:line="360" w:lineRule="auto"/>
      </w:pPr>
    </w:p>
    <w:p w14:paraId="0313D662" w14:textId="77777777" w:rsidR="00A11D2E" w:rsidRDefault="00A11D2E" w:rsidP="00A11D2E">
      <w:pPr>
        <w:pStyle w:val="BodyText"/>
        <w:spacing w:line="360" w:lineRule="auto"/>
      </w:pPr>
    </w:p>
    <w:p w14:paraId="2B143157" w14:textId="77777777" w:rsidR="00A11D2E" w:rsidRDefault="00A11D2E" w:rsidP="00A11D2E">
      <w:pPr>
        <w:pStyle w:val="BodyText"/>
        <w:spacing w:before="258" w:line="360" w:lineRule="auto"/>
      </w:pPr>
    </w:p>
    <w:p w14:paraId="40B591E0" w14:textId="77777777" w:rsidR="00A11D2E" w:rsidRPr="005517A5" w:rsidRDefault="00A11D2E" w:rsidP="00A11D2E">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10AA22DB" w14:textId="7F97D6A4" w:rsidR="00A11D2E" w:rsidRPr="005517A5" w:rsidRDefault="00A11D2E" w:rsidP="00A11D2E">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 xml:space="preserve">Date: </w:t>
      </w:r>
      <w:r w:rsidR="000A2DF7">
        <w:rPr>
          <w:rFonts w:ascii="Times New Roman" w:hAnsi="Times New Roman" w:cs="Times New Roman"/>
          <w:spacing w:val="-2"/>
          <w:sz w:val="28"/>
        </w:rPr>
        <w:t>06</w:t>
      </w:r>
      <w:r w:rsidRPr="005517A5">
        <w:rPr>
          <w:rFonts w:ascii="Times New Roman" w:hAnsi="Times New Roman" w:cs="Times New Roman"/>
          <w:spacing w:val="-2"/>
          <w:sz w:val="28"/>
        </w:rPr>
        <w:t>/</w:t>
      </w:r>
      <w:r w:rsidR="000A2DF7">
        <w:rPr>
          <w:rFonts w:ascii="Times New Roman" w:hAnsi="Times New Roman" w:cs="Times New Roman"/>
          <w:spacing w:val="-2"/>
          <w:sz w:val="28"/>
        </w:rPr>
        <w:t>08</w:t>
      </w:r>
      <w:r w:rsidRPr="005517A5">
        <w:rPr>
          <w:rFonts w:ascii="Times New Roman" w:hAnsi="Times New Roman" w:cs="Times New Roman"/>
          <w:spacing w:val="-2"/>
          <w:sz w:val="28"/>
        </w:rPr>
        <w:t>/2026</w:t>
      </w:r>
    </w:p>
    <w:p w14:paraId="6A07F549" w14:textId="77777777" w:rsidR="00A11D2E" w:rsidRPr="005517A5" w:rsidRDefault="00A11D2E" w:rsidP="00A11D2E">
      <w:pPr>
        <w:pStyle w:val="BodyText"/>
        <w:spacing w:line="360" w:lineRule="auto"/>
        <w:rPr>
          <w:sz w:val="28"/>
        </w:rPr>
      </w:pPr>
    </w:p>
    <w:p w14:paraId="4E59E788" w14:textId="77777777" w:rsidR="00A11D2E" w:rsidRPr="005517A5" w:rsidRDefault="00A11D2E" w:rsidP="00A11D2E">
      <w:pPr>
        <w:pStyle w:val="BodyText"/>
        <w:spacing w:line="360" w:lineRule="auto"/>
        <w:rPr>
          <w:sz w:val="28"/>
        </w:rPr>
      </w:pPr>
    </w:p>
    <w:p w14:paraId="6A142977" w14:textId="77777777" w:rsidR="00A11D2E" w:rsidRPr="005517A5" w:rsidRDefault="00A11D2E" w:rsidP="00A11D2E">
      <w:pPr>
        <w:pStyle w:val="BodyText"/>
        <w:spacing w:line="360" w:lineRule="auto"/>
        <w:rPr>
          <w:sz w:val="28"/>
        </w:rPr>
      </w:pPr>
    </w:p>
    <w:p w14:paraId="2287AB00" w14:textId="77777777" w:rsidR="00A11D2E" w:rsidRPr="005517A5" w:rsidRDefault="00A11D2E" w:rsidP="00A11D2E">
      <w:pPr>
        <w:pStyle w:val="BodyText"/>
        <w:spacing w:line="360" w:lineRule="auto"/>
        <w:rPr>
          <w:sz w:val="28"/>
        </w:rPr>
      </w:pPr>
    </w:p>
    <w:p w14:paraId="49B7E0A3" w14:textId="77777777" w:rsidR="00A11D2E" w:rsidRPr="005517A5" w:rsidRDefault="00A11D2E" w:rsidP="00A11D2E">
      <w:pPr>
        <w:pStyle w:val="BodyText"/>
        <w:spacing w:before="175" w:line="360" w:lineRule="auto"/>
        <w:rPr>
          <w:sz w:val="28"/>
        </w:rPr>
      </w:pPr>
    </w:p>
    <w:p w14:paraId="2E31AB8D" w14:textId="77777777" w:rsidR="00A11D2E" w:rsidRPr="005517A5" w:rsidRDefault="00A11D2E" w:rsidP="00A11D2E">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428F0E00" w14:textId="77777777" w:rsidR="00A11D2E" w:rsidRPr="005517A5" w:rsidRDefault="00A11D2E" w:rsidP="00A11D2E">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0518DE4F" w14:textId="77777777" w:rsidR="00A11D2E" w:rsidRDefault="00A11D2E" w:rsidP="00A11D2E">
      <w:pPr>
        <w:spacing w:line="360" w:lineRule="auto"/>
        <w:rPr>
          <w:sz w:val="28"/>
        </w:rPr>
      </w:pPr>
      <w:r>
        <w:rPr>
          <w:sz w:val="28"/>
        </w:rPr>
        <w:t xml:space="preserve">                                                                               </w:t>
      </w:r>
    </w:p>
    <w:p w14:paraId="26153B0B" w14:textId="77777777" w:rsidR="00A11D2E" w:rsidRDefault="00A11D2E" w:rsidP="00A11D2E">
      <w:pPr>
        <w:spacing w:line="360" w:lineRule="auto"/>
        <w:rPr>
          <w:b/>
          <w:spacing w:val="-2"/>
          <w:sz w:val="40"/>
        </w:rPr>
      </w:pPr>
      <w:r>
        <w:rPr>
          <w:sz w:val="28"/>
        </w:rPr>
        <w:t xml:space="preserve">                                                                               </w:t>
      </w:r>
    </w:p>
    <w:p w14:paraId="1786CD45" w14:textId="77777777" w:rsidR="00A11D2E" w:rsidRDefault="00A11D2E" w:rsidP="00A11D2E">
      <w:pPr>
        <w:spacing w:line="360" w:lineRule="auto"/>
        <w:rPr>
          <w:b/>
          <w:sz w:val="40"/>
        </w:rPr>
        <w:sectPr w:rsidR="00A11D2E" w:rsidSect="00A11D2E">
          <w:pgSz w:w="11920" w:h="16840"/>
          <w:pgMar w:top="1380" w:right="992" w:bottom="1280" w:left="992" w:header="0" w:footer="1084" w:gutter="0"/>
          <w:cols w:space="720"/>
        </w:sectPr>
      </w:pPr>
    </w:p>
    <w:p w14:paraId="297D935B" w14:textId="77777777" w:rsidR="00A11D2E" w:rsidRPr="00A11D2E" w:rsidRDefault="00A11D2E" w:rsidP="00A11D2E">
      <w:pPr>
        <w:spacing w:line="360" w:lineRule="auto"/>
        <w:jc w:val="center"/>
        <w:rPr>
          <w:rFonts w:ascii="Times New Roman" w:hAnsi="Times New Roman" w:cs="Times New Roman"/>
          <w:b/>
          <w:spacing w:val="-2"/>
          <w:sz w:val="40"/>
        </w:rPr>
      </w:pPr>
      <w:bookmarkStart w:id="0" w:name="____________"/>
      <w:bookmarkStart w:id="1" w:name="______________________"/>
      <w:bookmarkEnd w:id="0"/>
      <w:bookmarkEnd w:id="1"/>
      <w:r w:rsidRPr="00A11D2E">
        <w:rPr>
          <w:rFonts w:ascii="Times New Roman" w:hAnsi="Times New Roman" w:cs="Times New Roman"/>
          <w:b/>
          <w:spacing w:val="-2"/>
          <w:sz w:val="40"/>
        </w:rPr>
        <w:lastRenderedPageBreak/>
        <w:t>ACKNOWLEDGEMENT</w:t>
      </w:r>
    </w:p>
    <w:p w14:paraId="518AC1E1" w14:textId="77777777" w:rsidR="00A11D2E" w:rsidRDefault="00A11D2E" w:rsidP="00A11D2E">
      <w:pPr>
        <w:pStyle w:val="BodyText"/>
        <w:spacing w:before="70" w:line="360" w:lineRule="auto"/>
        <w:ind w:right="600"/>
        <w:jc w:val="center"/>
      </w:pPr>
    </w:p>
    <w:p w14:paraId="533CBAF1" w14:textId="77777777" w:rsidR="00A11D2E" w:rsidRDefault="00A11D2E" w:rsidP="00A11D2E">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5BDC8019" w14:textId="77777777" w:rsidR="00A11D2E" w:rsidRDefault="00A11D2E" w:rsidP="00A11D2E">
      <w:pPr>
        <w:pStyle w:val="BodyText"/>
        <w:spacing w:before="70" w:line="360" w:lineRule="auto"/>
        <w:ind w:right="600"/>
        <w:jc w:val="both"/>
      </w:pPr>
    </w:p>
    <w:p w14:paraId="352B230A" w14:textId="77777777" w:rsidR="00A11D2E" w:rsidRDefault="00A11D2E" w:rsidP="00A11D2E">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52EBF5F2" w14:textId="77777777" w:rsidR="00A11D2E" w:rsidRDefault="00A11D2E" w:rsidP="00A11D2E">
      <w:pPr>
        <w:pStyle w:val="BodyText"/>
        <w:spacing w:before="70" w:line="360" w:lineRule="auto"/>
        <w:ind w:right="600"/>
        <w:jc w:val="both"/>
      </w:pPr>
    </w:p>
    <w:p w14:paraId="41473169" w14:textId="77777777" w:rsidR="00A11D2E" w:rsidRDefault="00A11D2E" w:rsidP="00A11D2E">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633F6395" w14:textId="77777777" w:rsidR="00A11D2E" w:rsidRDefault="00A11D2E" w:rsidP="00A11D2E">
      <w:pPr>
        <w:pStyle w:val="BodyText"/>
        <w:spacing w:line="360" w:lineRule="auto"/>
        <w:jc w:val="center"/>
      </w:pPr>
    </w:p>
    <w:p w14:paraId="11DC2E30" w14:textId="77777777" w:rsidR="00A11D2E" w:rsidRDefault="00A11D2E" w:rsidP="00A11D2E">
      <w:pPr>
        <w:pStyle w:val="BodyText"/>
        <w:spacing w:line="360" w:lineRule="auto"/>
        <w:jc w:val="center"/>
      </w:pPr>
    </w:p>
    <w:p w14:paraId="46E49FDC" w14:textId="77777777" w:rsidR="00A11D2E" w:rsidRDefault="00A11D2E" w:rsidP="00A11D2E">
      <w:pPr>
        <w:pStyle w:val="BodyText"/>
        <w:spacing w:line="360" w:lineRule="auto"/>
        <w:jc w:val="center"/>
      </w:pPr>
    </w:p>
    <w:p w14:paraId="4BD58C25" w14:textId="77777777" w:rsidR="00A11D2E" w:rsidRDefault="00A11D2E" w:rsidP="00A11D2E">
      <w:pPr>
        <w:pStyle w:val="BodyText"/>
        <w:spacing w:line="360" w:lineRule="auto"/>
        <w:jc w:val="center"/>
      </w:pPr>
    </w:p>
    <w:p w14:paraId="5A6E3D62" w14:textId="77777777" w:rsidR="00A11D2E" w:rsidRDefault="00A11D2E" w:rsidP="00A11D2E">
      <w:pPr>
        <w:pStyle w:val="BodyText"/>
        <w:spacing w:before="87" w:line="360" w:lineRule="auto"/>
        <w:jc w:val="center"/>
      </w:pPr>
    </w:p>
    <w:p w14:paraId="5235BF8D" w14:textId="77777777" w:rsidR="00A11D2E" w:rsidRPr="00556CF3" w:rsidRDefault="00A11D2E" w:rsidP="00A11D2E">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73027416" w14:textId="77777777" w:rsidR="00A11D2E" w:rsidRDefault="00A11D2E" w:rsidP="00A11D2E">
      <w:pPr>
        <w:pStyle w:val="BodyText"/>
        <w:spacing w:before="1" w:line="360" w:lineRule="auto"/>
        <w:ind w:left="6717"/>
        <w:jc w:val="center"/>
      </w:pPr>
    </w:p>
    <w:p w14:paraId="402C7776" w14:textId="77777777" w:rsidR="00A11D2E" w:rsidRPr="00A84437" w:rsidRDefault="00A11D2E" w:rsidP="00A11D2E">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p>
    <w:p w14:paraId="04EFD34C" w14:textId="77777777" w:rsidR="00A11D2E" w:rsidRDefault="00A11D2E" w:rsidP="00A11D2E">
      <w:pPr>
        <w:pStyle w:val="Heading1"/>
        <w:spacing w:line="360" w:lineRule="auto"/>
      </w:pPr>
    </w:p>
    <w:p w14:paraId="7F89AD86" w14:textId="77777777" w:rsidR="00A11D2E" w:rsidRDefault="00A11D2E" w:rsidP="00A11D2E">
      <w:r>
        <w:br w:type="page"/>
      </w:r>
    </w:p>
    <w:p w14:paraId="0AA79B47" w14:textId="77777777" w:rsidR="00D53BB6" w:rsidRPr="00A11D2E" w:rsidRDefault="00000000" w:rsidP="00A11D2E">
      <w:pPr>
        <w:pStyle w:val="Heading1"/>
        <w:pBdr>
          <w:bottom w:val="single" w:sz="6" w:space="31" w:color="1F4E79"/>
        </w:pBdr>
        <w:spacing w:after="300" w:line="360" w:lineRule="auto"/>
        <w:jc w:val="center"/>
        <w:rPr>
          <w:rFonts w:ascii="Times New Roman" w:hAnsi="Times New Roman" w:cs="Times New Roman"/>
          <w:b/>
          <w:bCs/>
          <w:color w:val="000000" w:themeColor="text1"/>
          <w:sz w:val="28"/>
          <w:szCs w:val="28"/>
        </w:rPr>
      </w:pPr>
      <w:r w:rsidRPr="00A11D2E">
        <w:rPr>
          <w:rFonts w:ascii="Times New Roman" w:hAnsi="Times New Roman" w:cs="Times New Roman"/>
          <w:b/>
          <w:bCs/>
          <w:color w:val="000000" w:themeColor="text1"/>
          <w:sz w:val="28"/>
          <w:szCs w:val="28"/>
        </w:rPr>
        <w:lastRenderedPageBreak/>
        <w:t>TABLE OF CONTENTS</w:t>
      </w:r>
    </w:p>
    <w:tbl>
      <w:tblPr>
        <w:tblStyle w:val="TableGrid"/>
        <w:tblpPr w:leftFromText="180" w:rightFromText="180" w:vertAnchor="page" w:horzAnchor="margin" w:tblpXSpec="center" w:tblpY="3145"/>
        <w:tblW w:w="7881" w:type="dxa"/>
        <w:tblLook w:val="0000" w:firstRow="0" w:lastRow="0" w:firstColumn="0" w:lastColumn="0" w:noHBand="0" w:noVBand="0"/>
      </w:tblPr>
      <w:tblGrid>
        <w:gridCol w:w="757"/>
        <w:gridCol w:w="5727"/>
        <w:gridCol w:w="1397"/>
      </w:tblGrid>
      <w:tr w:rsidR="00A11D2E" w:rsidRPr="00A11D2E" w14:paraId="771D7A11" w14:textId="77777777" w:rsidTr="00A11D2E">
        <w:trPr>
          <w:trHeight w:val="490"/>
        </w:trPr>
        <w:tc>
          <w:tcPr>
            <w:tcW w:w="757" w:type="dxa"/>
          </w:tcPr>
          <w:p w14:paraId="35E94FD2"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rPr>
              <w:t>S.NO</w:t>
            </w:r>
          </w:p>
        </w:tc>
        <w:tc>
          <w:tcPr>
            <w:tcW w:w="5727" w:type="dxa"/>
          </w:tcPr>
          <w:p w14:paraId="52A80C78"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rPr>
              <w:t>TOPIC</w:t>
            </w:r>
          </w:p>
        </w:tc>
        <w:tc>
          <w:tcPr>
            <w:tcW w:w="1397" w:type="dxa"/>
          </w:tcPr>
          <w:p w14:paraId="13F347FD"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rPr>
              <w:t>PAGE NO.</w:t>
            </w:r>
          </w:p>
        </w:tc>
      </w:tr>
      <w:tr w:rsidR="00A11D2E" w:rsidRPr="00A11D2E" w14:paraId="3309BB63" w14:textId="77777777" w:rsidTr="00A11D2E">
        <w:trPr>
          <w:trHeight w:val="507"/>
        </w:trPr>
        <w:tc>
          <w:tcPr>
            <w:tcW w:w="757" w:type="dxa"/>
          </w:tcPr>
          <w:p w14:paraId="40E0D11E"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1</w:t>
            </w:r>
          </w:p>
        </w:tc>
        <w:tc>
          <w:tcPr>
            <w:tcW w:w="5727" w:type="dxa"/>
          </w:tcPr>
          <w:p w14:paraId="0BC337F4"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SYSTEM REQUIREMENTS ANALYSIS</w:t>
            </w:r>
          </w:p>
        </w:tc>
        <w:tc>
          <w:tcPr>
            <w:tcW w:w="1397" w:type="dxa"/>
          </w:tcPr>
          <w:p w14:paraId="5B464D20"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3</w:t>
            </w:r>
          </w:p>
        </w:tc>
      </w:tr>
      <w:tr w:rsidR="00A11D2E" w:rsidRPr="00A11D2E" w14:paraId="5AD54B48" w14:textId="77777777" w:rsidTr="00A11D2E">
        <w:trPr>
          <w:trHeight w:val="490"/>
        </w:trPr>
        <w:tc>
          <w:tcPr>
            <w:tcW w:w="757" w:type="dxa"/>
          </w:tcPr>
          <w:p w14:paraId="17669AFC"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2</w:t>
            </w:r>
          </w:p>
        </w:tc>
        <w:tc>
          <w:tcPr>
            <w:tcW w:w="5727" w:type="dxa"/>
          </w:tcPr>
          <w:p w14:paraId="56547D1A"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SELECTION OF SOFTWARE ARCHITECTURE</w:t>
            </w:r>
          </w:p>
        </w:tc>
        <w:tc>
          <w:tcPr>
            <w:tcW w:w="1397" w:type="dxa"/>
          </w:tcPr>
          <w:p w14:paraId="02503A32"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4-5</w:t>
            </w:r>
          </w:p>
        </w:tc>
      </w:tr>
      <w:tr w:rsidR="00A11D2E" w:rsidRPr="00A11D2E" w14:paraId="1FAE4FA9" w14:textId="77777777" w:rsidTr="00A11D2E">
        <w:trPr>
          <w:trHeight w:val="507"/>
        </w:trPr>
        <w:tc>
          <w:tcPr>
            <w:tcW w:w="757" w:type="dxa"/>
          </w:tcPr>
          <w:p w14:paraId="43B5EF10"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3</w:t>
            </w:r>
          </w:p>
        </w:tc>
        <w:tc>
          <w:tcPr>
            <w:tcW w:w="5727" w:type="dxa"/>
          </w:tcPr>
          <w:p w14:paraId="35A1047E"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SOFTWARE ARCHITECTURE DIAGRAM</w:t>
            </w:r>
          </w:p>
        </w:tc>
        <w:tc>
          <w:tcPr>
            <w:tcW w:w="1397" w:type="dxa"/>
          </w:tcPr>
          <w:p w14:paraId="7D361AC7"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6</w:t>
            </w:r>
          </w:p>
        </w:tc>
      </w:tr>
      <w:tr w:rsidR="00A11D2E" w:rsidRPr="00A11D2E" w14:paraId="2E2C6D1B" w14:textId="77777777" w:rsidTr="00A11D2E">
        <w:trPr>
          <w:trHeight w:val="490"/>
        </w:trPr>
        <w:tc>
          <w:tcPr>
            <w:tcW w:w="757" w:type="dxa"/>
          </w:tcPr>
          <w:p w14:paraId="7D32DA89"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4</w:t>
            </w:r>
          </w:p>
        </w:tc>
        <w:tc>
          <w:tcPr>
            <w:tcW w:w="5727" w:type="dxa"/>
          </w:tcPr>
          <w:p w14:paraId="22F6B94D"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COMPONENTS AND THEIR INTERACTIONS</w:t>
            </w:r>
          </w:p>
        </w:tc>
        <w:tc>
          <w:tcPr>
            <w:tcW w:w="1397" w:type="dxa"/>
          </w:tcPr>
          <w:p w14:paraId="6E2F7871"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7-8</w:t>
            </w:r>
          </w:p>
        </w:tc>
      </w:tr>
      <w:tr w:rsidR="00A11D2E" w:rsidRPr="00A11D2E" w14:paraId="5B12A621" w14:textId="77777777" w:rsidTr="00A11D2E">
        <w:trPr>
          <w:trHeight w:val="507"/>
        </w:trPr>
        <w:tc>
          <w:tcPr>
            <w:tcW w:w="757" w:type="dxa"/>
          </w:tcPr>
          <w:p w14:paraId="79626791"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5</w:t>
            </w:r>
          </w:p>
        </w:tc>
        <w:tc>
          <w:tcPr>
            <w:tcW w:w="5727" w:type="dxa"/>
          </w:tcPr>
          <w:p w14:paraId="4F2C1FCF"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QUALITY ATTRIBUTES</w:t>
            </w:r>
          </w:p>
        </w:tc>
        <w:tc>
          <w:tcPr>
            <w:tcW w:w="1397" w:type="dxa"/>
          </w:tcPr>
          <w:p w14:paraId="6ACD2508"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9-10</w:t>
            </w:r>
          </w:p>
        </w:tc>
      </w:tr>
      <w:tr w:rsidR="00A11D2E" w:rsidRPr="00A11D2E" w14:paraId="65A8A4AA" w14:textId="77777777" w:rsidTr="00A11D2E">
        <w:trPr>
          <w:trHeight w:val="490"/>
        </w:trPr>
        <w:tc>
          <w:tcPr>
            <w:tcW w:w="757" w:type="dxa"/>
          </w:tcPr>
          <w:p w14:paraId="757C3480"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6</w:t>
            </w:r>
          </w:p>
        </w:tc>
        <w:tc>
          <w:tcPr>
            <w:tcW w:w="5727" w:type="dxa"/>
          </w:tcPr>
          <w:p w14:paraId="38F6FDA6"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ARCHITECTURAL JUSTIFICATION AND TRADE-OFFS</w:t>
            </w:r>
          </w:p>
        </w:tc>
        <w:tc>
          <w:tcPr>
            <w:tcW w:w="1397" w:type="dxa"/>
          </w:tcPr>
          <w:p w14:paraId="766D998D"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11</w:t>
            </w:r>
          </w:p>
        </w:tc>
      </w:tr>
      <w:tr w:rsidR="00A11D2E" w:rsidRPr="00A11D2E" w14:paraId="204856A4" w14:textId="77777777" w:rsidTr="00A11D2E">
        <w:trPr>
          <w:trHeight w:val="490"/>
        </w:trPr>
        <w:tc>
          <w:tcPr>
            <w:tcW w:w="757" w:type="dxa"/>
          </w:tcPr>
          <w:p w14:paraId="11C20413"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7</w:t>
            </w:r>
          </w:p>
        </w:tc>
        <w:tc>
          <w:tcPr>
            <w:tcW w:w="5727" w:type="dxa"/>
          </w:tcPr>
          <w:p w14:paraId="5B22F91C" w14:textId="77777777" w:rsidR="00A11D2E" w:rsidRPr="00A11D2E" w:rsidRDefault="00A11D2E" w:rsidP="00A11D2E">
            <w:pPr>
              <w:spacing w:line="360" w:lineRule="auto"/>
              <w:rPr>
                <w:rFonts w:ascii="Times New Roman" w:hAnsi="Times New Roman" w:cs="Times New Roman"/>
                <w:color w:val="000000" w:themeColor="text1"/>
              </w:rPr>
            </w:pPr>
            <w:r w:rsidRPr="00A11D2E">
              <w:rPr>
                <w:rFonts w:ascii="Times New Roman" w:hAnsi="Times New Roman" w:cs="Times New Roman"/>
                <w:b/>
                <w:bCs/>
                <w:color w:val="000000" w:themeColor="text1"/>
              </w:rPr>
              <w:t>UML DESIGN DIAGRAMS (CLASS, USE CASE &amp; ACTIVITY)</w:t>
            </w:r>
          </w:p>
        </w:tc>
        <w:tc>
          <w:tcPr>
            <w:tcW w:w="1397" w:type="dxa"/>
          </w:tcPr>
          <w:p w14:paraId="67BB8774" w14:textId="77777777" w:rsidR="00A11D2E" w:rsidRPr="00A11D2E" w:rsidRDefault="00A11D2E"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color w:val="000000" w:themeColor="text1"/>
              </w:rPr>
              <w:t>12-14</w:t>
            </w:r>
          </w:p>
        </w:tc>
      </w:tr>
    </w:tbl>
    <w:p w14:paraId="6914A195"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br w:type="page"/>
      </w:r>
    </w:p>
    <w:p w14:paraId="5787C09F" w14:textId="77777777" w:rsidR="00D53BB6" w:rsidRPr="00A11D2E" w:rsidRDefault="00000000" w:rsidP="00A11D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1. System Requirements Analysis</w:t>
      </w:r>
    </w:p>
    <w:p w14:paraId="0DF57865"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1.1 System Objectives</w:t>
      </w:r>
    </w:p>
    <w:p w14:paraId="1D186BFF"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Smart EV Charging Network Management Platform must connect EV owners, station operators, and administrators through a single digital system that provides real-time station discovery, advance slot reservation, automated charging-session handling, digital payment, predictive maintenance, and network analytics. The architecture must be designed so that these capabilities can be delivered reliably as the number of stations, users, and transactions grows over time.</w:t>
      </w:r>
    </w:p>
    <w:p w14:paraId="4CF3DD0B"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1.2 Functional Requirements Influencing the Architecture</w:t>
      </w:r>
    </w:p>
    <w:p w14:paraId="4273CCCE"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Real-time synchronization of charging station status between IoT hardware and the cloud platform — requires a low-latency, message-based communication mechanism rather than pure request/response polling.</w:t>
      </w:r>
    </w:p>
    <w:p w14:paraId="6F84E48F"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Concurrent slot reservation across many stations — requires transactional consistency at the data layer to prevent double-booking.</w:t>
      </w:r>
    </w:p>
    <w:p w14:paraId="5841271A"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Independent evolution of features (booking, payment, analytics) — requires the system to be decomposed into independently deployable units rather than a single monolith.</w:t>
      </w:r>
    </w:p>
    <w:p w14:paraId="5685F2AD"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Integration with external systems (payment gateway, mapping service) — requires well-defined API boundaries and gateway-based routing.</w:t>
      </w:r>
    </w:p>
    <w:p w14:paraId="6BBBB5B4"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Fault detection from streaming sensor data — requires an event-driven processing path in addition to standard CRUD APIs.</w:t>
      </w:r>
    </w:p>
    <w:p w14:paraId="1B36B8F2"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1.3 Non-Functional Requirements Influencing the Architecture</w:t>
      </w:r>
    </w:p>
    <w:tbl>
      <w:tblPr>
        <w:tblStyle w:val="TableGrid"/>
        <w:tblW w:w="9360" w:type="dxa"/>
        <w:tblLook w:val="0000" w:firstRow="0" w:lastRow="0" w:firstColumn="0" w:lastColumn="0" w:noHBand="0" w:noVBand="0"/>
      </w:tblPr>
      <w:tblGrid>
        <w:gridCol w:w="4680"/>
        <w:gridCol w:w="4680"/>
      </w:tblGrid>
      <w:tr w:rsidR="00D53BB6" w:rsidRPr="00A11D2E" w14:paraId="31052600" w14:textId="77777777" w:rsidTr="00A11D2E">
        <w:tc>
          <w:tcPr>
            <w:tcW w:w="4680" w:type="dxa"/>
          </w:tcPr>
          <w:p w14:paraId="1D61EDD0"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Quality Attribute</w:t>
            </w:r>
          </w:p>
        </w:tc>
        <w:tc>
          <w:tcPr>
            <w:tcW w:w="4680" w:type="dxa"/>
          </w:tcPr>
          <w:p w14:paraId="50ED0C7E"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Architectural Implication</w:t>
            </w:r>
          </w:p>
        </w:tc>
      </w:tr>
      <w:tr w:rsidR="00D53BB6" w:rsidRPr="00A11D2E" w14:paraId="115C809A" w14:textId="77777777" w:rsidTr="00A11D2E">
        <w:tc>
          <w:tcPr>
            <w:tcW w:w="4680" w:type="dxa"/>
          </w:tcPr>
          <w:p w14:paraId="2D8F9AE1"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Scalability</w:t>
            </w:r>
          </w:p>
        </w:tc>
        <w:tc>
          <w:tcPr>
            <w:tcW w:w="4680" w:type="dxa"/>
          </w:tcPr>
          <w:p w14:paraId="79356B26"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The system must scale horizontally as stations and users grow into the thousands/tens of thousands — favours stateless, independently scalable services.</w:t>
            </w:r>
          </w:p>
        </w:tc>
      </w:tr>
      <w:tr w:rsidR="00D53BB6" w:rsidRPr="00A11D2E" w14:paraId="48A3043C" w14:textId="77777777" w:rsidTr="00A11D2E">
        <w:tc>
          <w:tcPr>
            <w:tcW w:w="4680" w:type="dxa"/>
          </w:tcPr>
          <w:p w14:paraId="24BE47B9"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Performance</w:t>
            </w:r>
          </w:p>
        </w:tc>
        <w:tc>
          <w:tcPr>
            <w:tcW w:w="4680" w:type="dxa"/>
          </w:tcPr>
          <w:p w14:paraId="32D24B64"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Station search and availability must respond within ~2 seconds — favours caching and asynchronous telemetry ingestion rather than synchronous polling of every station.</w:t>
            </w:r>
          </w:p>
        </w:tc>
      </w:tr>
      <w:tr w:rsidR="00D53BB6" w:rsidRPr="00A11D2E" w14:paraId="36F86F9E" w14:textId="77777777" w:rsidTr="00A11D2E">
        <w:tc>
          <w:tcPr>
            <w:tcW w:w="4680" w:type="dxa"/>
          </w:tcPr>
          <w:p w14:paraId="30E64186"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Reliability</w:t>
            </w:r>
          </w:p>
        </w:tc>
        <w:tc>
          <w:tcPr>
            <w:tcW w:w="4680" w:type="dxa"/>
          </w:tcPr>
          <w:p w14:paraId="0C6C6F59"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Payment and session data must not be lost even during partial outages — favours message queuing and retry mechanisms over direct synchronous-only calls.</w:t>
            </w:r>
          </w:p>
        </w:tc>
      </w:tr>
      <w:tr w:rsidR="00D53BB6" w:rsidRPr="00A11D2E" w14:paraId="5FF86689" w14:textId="77777777" w:rsidTr="00A11D2E">
        <w:tc>
          <w:tcPr>
            <w:tcW w:w="4680" w:type="dxa"/>
          </w:tcPr>
          <w:p w14:paraId="73DEC268"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Security</w:t>
            </w:r>
          </w:p>
        </w:tc>
        <w:tc>
          <w:tcPr>
            <w:tcW w:w="4680" w:type="dxa"/>
          </w:tcPr>
          <w:p w14:paraId="43D510F5"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 xml:space="preserve">Payment and personal data must be protected — favours a centralized API gateway for </w:t>
            </w:r>
            <w:r w:rsidRPr="00A11D2E">
              <w:rPr>
                <w:rFonts w:ascii="Times New Roman" w:hAnsi="Times New Roman" w:cs="Times New Roman"/>
                <w:color w:val="000000" w:themeColor="text1"/>
                <w:sz w:val="20"/>
                <w:szCs w:val="20"/>
              </w:rPr>
              <w:lastRenderedPageBreak/>
              <w:t>authentication/authorization rather than each service handling security independently.</w:t>
            </w:r>
          </w:p>
        </w:tc>
      </w:tr>
      <w:tr w:rsidR="00D53BB6" w:rsidRPr="00A11D2E" w14:paraId="2E5FAF3B" w14:textId="77777777" w:rsidTr="00A11D2E">
        <w:tc>
          <w:tcPr>
            <w:tcW w:w="4680" w:type="dxa"/>
          </w:tcPr>
          <w:p w14:paraId="57828650"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lastRenderedPageBreak/>
              <w:t>Maintainability</w:t>
            </w:r>
          </w:p>
        </w:tc>
        <w:tc>
          <w:tcPr>
            <w:tcW w:w="4680" w:type="dxa"/>
          </w:tcPr>
          <w:p w14:paraId="45677E28"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Different teams may work on booking, payment, and analytics independently — favours loosely coupled components with clear API contracts.</w:t>
            </w:r>
          </w:p>
        </w:tc>
      </w:tr>
      <w:tr w:rsidR="00D53BB6" w:rsidRPr="00A11D2E" w14:paraId="54250914" w14:textId="77777777" w:rsidTr="00A11D2E">
        <w:tc>
          <w:tcPr>
            <w:tcW w:w="4680" w:type="dxa"/>
          </w:tcPr>
          <w:p w14:paraId="27D23716"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Availability</w:t>
            </w:r>
          </w:p>
        </w:tc>
        <w:tc>
          <w:tcPr>
            <w:tcW w:w="4680" w:type="dxa"/>
          </w:tcPr>
          <w:p w14:paraId="469819DD"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The platform must remain available close to 24/7 — favours redundancy and the ability to deploy/restart individual services without full-system downtime.</w:t>
            </w:r>
          </w:p>
        </w:tc>
      </w:tr>
    </w:tbl>
    <w:p w14:paraId="2BDA1D48" w14:textId="77777777" w:rsidR="00D53BB6" w:rsidRPr="00A11D2E" w:rsidRDefault="00D53BB6" w:rsidP="00A11D2E">
      <w:pPr>
        <w:spacing w:after="160" w:line="360" w:lineRule="auto"/>
        <w:rPr>
          <w:rFonts w:ascii="Times New Roman" w:hAnsi="Times New Roman" w:cs="Times New Roman"/>
          <w:color w:val="000000" w:themeColor="text1"/>
        </w:rPr>
      </w:pPr>
    </w:p>
    <w:p w14:paraId="69A224E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br w:type="page"/>
      </w:r>
    </w:p>
    <w:p w14:paraId="0C6E9247" w14:textId="77777777" w:rsidR="00D53BB6" w:rsidRPr="00A11D2E" w:rsidRDefault="00000000" w:rsidP="00A11D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2. Selection of Software Architecture</w:t>
      </w:r>
    </w:p>
    <w:p w14:paraId="08EE77E7"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2.1 Candidate Architectural Styles Considered</w:t>
      </w:r>
    </w:p>
    <w:tbl>
      <w:tblPr>
        <w:tblStyle w:val="TableGrid"/>
        <w:tblW w:w="9360" w:type="dxa"/>
        <w:tblLook w:val="0000" w:firstRow="0" w:lastRow="0" w:firstColumn="0" w:lastColumn="0" w:noHBand="0" w:noVBand="0"/>
      </w:tblPr>
      <w:tblGrid>
        <w:gridCol w:w="4680"/>
        <w:gridCol w:w="4680"/>
      </w:tblGrid>
      <w:tr w:rsidR="00D53BB6" w:rsidRPr="00A11D2E" w14:paraId="0AB8A730" w14:textId="77777777" w:rsidTr="00A11D2E">
        <w:tc>
          <w:tcPr>
            <w:tcW w:w="4680" w:type="dxa"/>
          </w:tcPr>
          <w:p w14:paraId="3F7A7EAF"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Architectural Style</w:t>
            </w:r>
          </w:p>
        </w:tc>
        <w:tc>
          <w:tcPr>
            <w:tcW w:w="4680" w:type="dxa"/>
          </w:tcPr>
          <w:p w14:paraId="595AC807"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Suitability for This System</w:t>
            </w:r>
          </w:p>
        </w:tc>
      </w:tr>
      <w:tr w:rsidR="00D53BB6" w:rsidRPr="00A11D2E" w14:paraId="717646A1" w14:textId="77777777" w:rsidTr="00A11D2E">
        <w:tc>
          <w:tcPr>
            <w:tcW w:w="4680" w:type="dxa"/>
          </w:tcPr>
          <w:p w14:paraId="68F28C7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Monolithic Layered Architecture</w:t>
            </w:r>
          </w:p>
        </w:tc>
        <w:tc>
          <w:tcPr>
            <w:tcW w:w="4680" w:type="dxa"/>
          </w:tcPr>
          <w:p w14:paraId="3C039BA1"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Simple to build initially, but a single deployable unit makes independent scaling of booking vs. payment vs. analytics impossible, and any change requires redeploying the entire system — not suitable for a growing, multi-team platform.</w:t>
            </w:r>
          </w:p>
        </w:tc>
      </w:tr>
      <w:tr w:rsidR="00D53BB6" w:rsidRPr="00A11D2E" w14:paraId="604CC2AE" w14:textId="77777777" w:rsidTr="00A11D2E">
        <w:tc>
          <w:tcPr>
            <w:tcW w:w="4680" w:type="dxa"/>
          </w:tcPr>
          <w:p w14:paraId="618071D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Pure Client-Server</w:t>
            </w:r>
          </w:p>
        </w:tc>
        <w:tc>
          <w:tcPr>
            <w:tcW w:w="4680" w:type="dxa"/>
          </w:tcPr>
          <w:p w14:paraId="179C3FEA"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Too coarse-grained; does not naturally support the mix of synchronous booking requests and asynchronous IoT telemetry streams the platform needs.</w:t>
            </w:r>
          </w:p>
        </w:tc>
      </w:tr>
      <w:tr w:rsidR="00D53BB6" w:rsidRPr="00A11D2E" w14:paraId="22EF1AA1" w14:textId="77777777" w:rsidTr="00A11D2E">
        <w:tc>
          <w:tcPr>
            <w:tcW w:w="4680" w:type="dxa"/>
          </w:tcPr>
          <w:p w14:paraId="7BD582C5"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Service-Oriented Architecture (SOA)</w:t>
            </w:r>
          </w:p>
        </w:tc>
        <w:tc>
          <w:tcPr>
            <w:tcW w:w="4680" w:type="dxa"/>
          </w:tcPr>
          <w:p w14:paraId="4906BF8B"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Conceptually close to what is needed, but its typical heavyweight enterprise service bus (ESB) middleware adds unnecessary complexity/latency compared to lightweight REST-based microservices for this scale of system.</w:t>
            </w:r>
          </w:p>
        </w:tc>
      </w:tr>
      <w:tr w:rsidR="00D53BB6" w:rsidRPr="00A11D2E" w14:paraId="353C9B6D" w14:textId="77777777" w:rsidTr="00A11D2E">
        <w:tc>
          <w:tcPr>
            <w:tcW w:w="4680" w:type="dxa"/>
          </w:tcPr>
          <w:p w14:paraId="49DD51E1"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Serverless (Functions-as-a-Service)</w:t>
            </w:r>
          </w:p>
        </w:tc>
        <w:tc>
          <w:tcPr>
            <w:tcW w:w="4680" w:type="dxa"/>
          </w:tcPr>
          <w:p w14:paraId="4A9AF1D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Attractive for bursty, event-driven workloads (e.g., fault-alert processing) but less suitable as the sole style for stateful, latency-sensitive booking transactions due to cold-start latency.</w:t>
            </w:r>
          </w:p>
        </w:tc>
      </w:tr>
      <w:tr w:rsidR="00D53BB6" w:rsidRPr="00A11D2E" w14:paraId="7AFCACF1" w14:textId="77777777" w:rsidTr="00A11D2E">
        <w:tc>
          <w:tcPr>
            <w:tcW w:w="4680" w:type="dxa"/>
          </w:tcPr>
          <w:p w14:paraId="712361A9"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Microservices + Event-Driven (Hybrid) — SELECTED</w:t>
            </w:r>
          </w:p>
        </w:tc>
        <w:tc>
          <w:tcPr>
            <w:tcW w:w="4680" w:type="dxa"/>
          </w:tcPr>
          <w:p w14:paraId="75669204"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Allows each business capability (auth, booking, session, payment, analytics, maintenance) to be developed, deployed, and scaled independently, while an event-driven messaging layer cleanly handles the high-volume, asynchronous IoT telemetry stream separately from synchronous user-facing APIs.</w:t>
            </w:r>
          </w:p>
        </w:tc>
      </w:tr>
    </w:tbl>
    <w:p w14:paraId="4A83A5BE" w14:textId="77777777" w:rsidR="00D53BB6" w:rsidRPr="00A11D2E" w:rsidRDefault="00D53BB6" w:rsidP="00A11D2E">
      <w:pPr>
        <w:spacing w:after="160" w:line="360" w:lineRule="auto"/>
        <w:rPr>
          <w:rFonts w:ascii="Times New Roman" w:hAnsi="Times New Roman" w:cs="Times New Roman"/>
          <w:color w:val="000000" w:themeColor="text1"/>
        </w:rPr>
      </w:pPr>
    </w:p>
    <w:p w14:paraId="377A3E2B"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2.2 Selected Architecture: Hybrid Microservices with Event-Driven Components</w:t>
      </w:r>
    </w:p>
    <w:p w14:paraId="67AFD0C9"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proposed system adopts a Hybrid Microservices Architecture: business capabilities are decomposed into independent microservices exposed through a central API Gateway (synchronous REST/HTTPS communication for user-facing operations), combined with an Event-Driven Architecture (EDA) layer built around a message broker (MQTT + Kafka-style event streaming) for high-volume, asynchronous IoT telemetry and fault-event processing.</w:t>
      </w:r>
    </w:p>
    <w:p w14:paraId="43B11339" w14:textId="77777777" w:rsidR="00A11D2E" w:rsidRDefault="00A11D2E" w:rsidP="00A11D2E">
      <w:pPr>
        <w:pStyle w:val="Heading2"/>
        <w:spacing w:before="260" w:after="120" w:line="360" w:lineRule="auto"/>
        <w:jc w:val="both"/>
        <w:rPr>
          <w:rFonts w:ascii="Times New Roman" w:hAnsi="Times New Roman" w:cs="Times New Roman"/>
          <w:color w:val="000000" w:themeColor="text1"/>
        </w:rPr>
      </w:pPr>
    </w:p>
    <w:p w14:paraId="54B93542" w14:textId="77777777" w:rsidR="00A11D2E" w:rsidRDefault="00A11D2E" w:rsidP="00A11D2E">
      <w:pPr>
        <w:pStyle w:val="Heading2"/>
        <w:spacing w:before="260" w:after="120" w:line="360" w:lineRule="auto"/>
        <w:jc w:val="both"/>
        <w:rPr>
          <w:rFonts w:ascii="Times New Roman" w:hAnsi="Times New Roman" w:cs="Times New Roman"/>
          <w:color w:val="000000" w:themeColor="text1"/>
        </w:rPr>
      </w:pPr>
    </w:p>
    <w:p w14:paraId="5EE98EB4" w14:textId="2A13CD56"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2.3 Justification</w:t>
      </w:r>
    </w:p>
    <w:p w14:paraId="41146782"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Independent scalability: the Booking Service and Session Service (high traffic) can be scaled independently of the Analytics Service (lower, batch-oriented traffic), which a monolith cannot do.</w:t>
      </w:r>
    </w:p>
    <w:p w14:paraId="46D3B114"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 xml:space="preserve">Independent </w:t>
      </w:r>
      <w:proofErr w:type="spellStart"/>
      <w:r w:rsidRPr="00A11D2E">
        <w:rPr>
          <w:rFonts w:ascii="Times New Roman" w:hAnsi="Times New Roman" w:cs="Times New Roman"/>
          <w:color w:val="000000" w:themeColor="text1"/>
        </w:rPr>
        <w:t>deployability</w:t>
      </w:r>
      <w:proofErr w:type="spellEnd"/>
      <w:r w:rsidRPr="00A11D2E">
        <w:rPr>
          <w:rFonts w:ascii="Times New Roman" w:hAnsi="Times New Roman" w:cs="Times New Roman"/>
          <w:color w:val="000000" w:themeColor="text1"/>
        </w:rPr>
        <w:t>: new features (e.g., a new payment method) can be deployed to the Payment Service alone without redeploying the entire platform, directly supporting continuous delivery under the Agile/Scrum process used for this project.</w:t>
      </w:r>
    </w:p>
    <w:p w14:paraId="423D37B7"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Natural fit for IoT data: charging stations generate a continuous stream of telemetry that is naturally asynchronous — an event-driven messaging layer decouples station hardware from application services and prevents telemetry spikes from overwhelming synchronous APIs.</w:t>
      </w:r>
    </w:p>
    <w:p w14:paraId="418F2D17"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Fault isolation: if the Analytics Service fails, EV owners can still search, book, and charge — the failure is contained rather than bringing down the whole platform, directly supporting the Reliability and Availability requirements.</w:t>
      </w:r>
    </w:p>
    <w:p w14:paraId="2CC19B61" w14:textId="77777777" w:rsidR="00D53BB6" w:rsidRPr="00A11D2E" w:rsidRDefault="00000000" w:rsidP="00A11D2E">
      <w:pPr>
        <w:pStyle w:val="ListParagraph"/>
        <w:numPr>
          <w:ilvl w:val="0"/>
          <w:numId w:val="1"/>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Alignment with team structure: separate microservices allow separate Scrum teams to own separate services, consistent with the Agile Sprint Planning already carried out for this project.</w:t>
      </w:r>
    </w:p>
    <w:p w14:paraId="1A72B1C8" w14:textId="77777777" w:rsidR="00D53BB6" w:rsidRPr="00A11D2E" w:rsidRDefault="00000000" w:rsidP="00A11D2E">
      <w:pPr>
        <w:spacing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br w:type="page"/>
      </w:r>
    </w:p>
    <w:p w14:paraId="3D1AFB75" w14:textId="77777777" w:rsidR="00D53BB6" w:rsidRPr="00A11D2E" w:rsidRDefault="00000000" w:rsidP="00A11D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3. Software Architecture Diagram</w:t>
      </w:r>
    </w:p>
    <w:p w14:paraId="4F2D7B04"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diagram below shows the complete hybrid architecture: a client presentation layer, an API Gateway layer for synchronous routing and security, a microservices business-logic layer, an event-driven messaging layer for asynchronous IoT communication, a polyglot data layer, the field/IoT layer, and external systems (payment gateway, mapping service).</w:t>
      </w:r>
    </w:p>
    <w:p w14:paraId="1ED5152F"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drawing>
          <wp:inline distT="0" distB="0" distL="0" distR="0" wp14:anchorId="20410B43" wp14:editId="7A59C73A">
            <wp:extent cx="5762625"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409825"/>
                    </a:xfrm>
                    <a:prstGeom prst="rect">
                      <a:avLst/>
                    </a:prstGeom>
                  </pic:spPr>
                </pic:pic>
              </a:graphicData>
            </a:graphic>
          </wp:inline>
        </w:drawing>
      </w:r>
    </w:p>
    <w:p w14:paraId="6F9A5F8C" w14:textId="5D866D42" w:rsidR="00D53BB6" w:rsidRPr="00A11D2E" w:rsidRDefault="000A2DF7" w:rsidP="00A11D2E">
      <w:pPr>
        <w:spacing w:after="240" w:line="360" w:lineRule="auto"/>
        <w:jc w:val="center"/>
        <w:rPr>
          <w:rFonts w:ascii="Times New Roman" w:hAnsi="Times New Roman" w:cs="Times New Roman"/>
          <w:color w:val="000000" w:themeColor="text1"/>
        </w:rPr>
      </w:pPr>
      <w:r w:rsidRPr="000A2DF7">
        <w:rPr>
          <w:rFonts w:ascii="Times New Roman" w:hAnsi="Times New Roman" w:cs="Times New Roman"/>
          <w:color w:val="000000" w:themeColor="text1"/>
        </w:rPr>
        <w:drawing>
          <wp:anchor distT="0" distB="0" distL="114300" distR="114300" simplePos="0" relativeHeight="251661312" behindDoc="0" locked="0" layoutInCell="1" allowOverlap="1" wp14:anchorId="53104CFC" wp14:editId="56DE44EC">
            <wp:simplePos x="0" y="0"/>
            <wp:positionH relativeFrom="margin">
              <wp:align>center</wp:align>
            </wp:positionH>
            <wp:positionV relativeFrom="paragraph">
              <wp:posOffset>267970</wp:posOffset>
            </wp:positionV>
            <wp:extent cx="4137660" cy="4274820"/>
            <wp:effectExtent l="0" t="0" r="0" b="0"/>
            <wp:wrapSquare wrapText="bothSides"/>
            <wp:docPr id="26357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3421" name=""/>
                    <pic:cNvPicPr/>
                  </pic:nvPicPr>
                  <pic:blipFill>
                    <a:blip r:embed="rId12">
                      <a:extLst>
                        <a:ext uri="{28A0092B-C50C-407E-A947-70E740481C1C}">
                          <a14:useLocalDpi xmlns:a14="http://schemas.microsoft.com/office/drawing/2010/main" val="0"/>
                        </a:ext>
                      </a:extLst>
                    </a:blip>
                    <a:stretch>
                      <a:fillRect/>
                    </a:stretch>
                  </pic:blipFill>
                  <pic:spPr>
                    <a:xfrm>
                      <a:off x="0" y="0"/>
                      <a:ext cx="4137660" cy="4274820"/>
                    </a:xfrm>
                    <a:prstGeom prst="rect">
                      <a:avLst/>
                    </a:prstGeom>
                  </pic:spPr>
                </pic:pic>
              </a:graphicData>
            </a:graphic>
            <wp14:sizeRelH relativeFrom="margin">
              <wp14:pctWidth>0</wp14:pctWidth>
            </wp14:sizeRelH>
            <wp14:sizeRelV relativeFrom="margin">
              <wp14:pctHeight>0</wp14:pctHeight>
            </wp14:sizeRelV>
          </wp:anchor>
        </w:drawing>
      </w:r>
      <w:r w:rsidR="00000000" w:rsidRPr="00A11D2E">
        <w:rPr>
          <w:rFonts w:ascii="Times New Roman" w:hAnsi="Times New Roman" w:cs="Times New Roman"/>
          <w:i/>
          <w:iCs/>
          <w:color w:val="000000" w:themeColor="text1"/>
          <w:sz w:val="20"/>
          <w:szCs w:val="20"/>
        </w:rPr>
        <w:t>Figure 3.1: Hybrid Microservices + Event-Driven Architecture Diagram</w:t>
      </w:r>
    </w:p>
    <w:p w14:paraId="7DAD3358" w14:textId="77777777" w:rsidR="000A2DF7" w:rsidRDefault="000A2DF7" w:rsidP="000A2DF7">
      <w:pPr>
        <w:spacing w:after="240" w:line="360" w:lineRule="auto"/>
        <w:rPr>
          <w:rFonts w:ascii="Times New Roman" w:hAnsi="Times New Roman" w:cs="Times New Roman"/>
          <w:color w:val="000000" w:themeColor="text1"/>
        </w:rPr>
      </w:pPr>
    </w:p>
    <w:p w14:paraId="6C38E8BC" w14:textId="77777777" w:rsidR="000A2DF7" w:rsidRPr="000A2DF7" w:rsidRDefault="000A2DF7" w:rsidP="000A2DF7">
      <w:pPr>
        <w:rPr>
          <w:rFonts w:ascii="Times New Roman" w:hAnsi="Times New Roman" w:cs="Times New Roman"/>
        </w:rPr>
      </w:pPr>
    </w:p>
    <w:p w14:paraId="2959A6D6" w14:textId="77777777" w:rsidR="000A2DF7" w:rsidRPr="000A2DF7" w:rsidRDefault="000A2DF7" w:rsidP="000A2DF7">
      <w:pPr>
        <w:rPr>
          <w:rFonts w:ascii="Times New Roman" w:hAnsi="Times New Roman" w:cs="Times New Roman"/>
        </w:rPr>
      </w:pPr>
    </w:p>
    <w:p w14:paraId="225CA7F0" w14:textId="77777777" w:rsidR="000A2DF7" w:rsidRPr="000A2DF7" w:rsidRDefault="000A2DF7" w:rsidP="000A2DF7">
      <w:pPr>
        <w:rPr>
          <w:rFonts w:ascii="Times New Roman" w:hAnsi="Times New Roman" w:cs="Times New Roman"/>
        </w:rPr>
      </w:pPr>
    </w:p>
    <w:p w14:paraId="32DD4C9E" w14:textId="77777777" w:rsidR="000A2DF7" w:rsidRPr="000A2DF7" w:rsidRDefault="000A2DF7" w:rsidP="000A2DF7">
      <w:pPr>
        <w:rPr>
          <w:rFonts w:ascii="Times New Roman" w:hAnsi="Times New Roman" w:cs="Times New Roman"/>
        </w:rPr>
      </w:pPr>
    </w:p>
    <w:p w14:paraId="65BDC9CD" w14:textId="77777777" w:rsidR="000A2DF7" w:rsidRPr="000A2DF7" w:rsidRDefault="000A2DF7" w:rsidP="000A2DF7">
      <w:pPr>
        <w:rPr>
          <w:rFonts w:ascii="Times New Roman" w:hAnsi="Times New Roman" w:cs="Times New Roman"/>
        </w:rPr>
      </w:pPr>
    </w:p>
    <w:p w14:paraId="6851261C" w14:textId="77777777" w:rsidR="000A2DF7" w:rsidRPr="000A2DF7" w:rsidRDefault="000A2DF7" w:rsidP="000A2DF7">
      <w:pPr>
        <w:rPr>
          <w:rFonts w:ascii="Times New Roman" w:hAnsi="Times New Roman" w:cs="Times New Roman"/>
        </w:rPr>
      </w:pPr>
    </w:p>
    <w:p w14:paraId="286E75D8" w14:textId="77777777" w:rsidR="000A2DF7" w:rsidRPr="000A2DF7" w:rsidRDefault="000A2DF7" w:rsidP="000A2DF7">
      <w:pPr>
        <w:rPr>
          <w:rFonts w:ascii="Times New Roman" w:hAnsi="Times New Roman" w:cs="Times New Roman"/>
        </w:rPr>
      </w:pPr>
    </w:p>
    <w:p w14:paraId="418D1B73" w14:textId="77777777" w:rsidR="000A2DF7" w:rsidRPr="000A2DF7" w:rsidRDefault="000A2DF7" w:rsidP="000A2DF7">
      <w:pPr>
        <w:rPr>
          <w:rFonts w:ascii="Times New Roman" w:hAnsi="Times New Roman" w:cs="Times New Roman"/>
        </w:rPr>
      </w:pPr>
    </w:p>
    <w:p w14:paraId="335430D1" w14:textId="77777777" w:rsidR="000A2DF7" w:rsidRPr="000A2DF7" w:rsidRDefault="000A2DF7" w:rsidP="000A2DF7">
      <w:pPr>
        <w:rPr>
          <w:rFonts w:ascii="Times New Roman" w:hAnsi="Times New Roman" w:cs="Times New Roman"/>
        </w:rPr>
      </w:pPr>
    </w:p>
    <w:p w14:paraId="4B61140D" w14:textId="77777777" w:rsidR="000A2DF7" w:rsidRPr="000A2DF7" w:rsidRDefault="000A2DF7" w:rsidP="000A2DF7">
      <w:pPr>
        <w:rPr>
          <w:rFonts w:ascii="Times New Roman" w:hAnsi="Times New Roman" w:cs="Times New Roman"/>
        </w:rPr>
      </w:pPr>
    </w:p>
    <w:p w14:paraId="675186CB" w14:textId="77777777" w:rsidR="000A2DF7" w:rsidRPr="000A2DF7" w:rsidRDefault="000A2DF7" w:rsidP="000A2DF7">
      <w:pPr>
        <w:rPr>
          <w:rFonts w:ascii="Times New Roman" w:hAnsi="Times New Roman" w:cs="Times New Roman"/>
        </w:rPr>
      </w:pPr>
    </w:p>
    <w:p w14:paraId="3484540E" w14:textId="77777777" w:rsidR="000A2DF7" w:rsidRPr="000A2DF7" w:rsidRDefault="000A2DF7" w:rsidP="000A2DF7">
      <w:pPr>
        <w:rPr>
          <w:rFonts w:ascii="Times New Roman" w:hAnsi="Times New Roman" w:cs="Times New Roman"/>
        </w:rPr>
      </w:pPr>
    </w:p>
    <w:p w14:paraId="3EF6107B" w14:textId="77777777" w:rsidR="000A2DF7" w:rsidRPr="000A2DF7" w:rsidRDefault="000A2DF7" w:rsidP="000A2DF7">
      <w:pPr>
        <w:rPr>
          <w:rFonts w:ascii="Times New Roman" w:hAnsi="Times New Roman" w:cs="Times New Roman"/>
        </w:rPr>
      </w:pPr>
    </w:p>
    <w:p w14:paraId="223F2938" w14:textId="77777777" w:rsidR="000A2DF7" w:rsidRPr="000A2DF7" w:rsidRDefault="000A2DF7" w:rsidP="000A2DF7">
      <w:pPr>
        <w:rPr>
          <w:rFonts w:ascii="Times New Roman" w:hAnsi="Times New Roman" w:cs="Times New Roman"/>
        </w:rPr>
      </w:pPr>
    </w:p>
    <w:p w14:paraId="2F2D20B0" w14:textId="77777777" w:rsidR="000A2DF7" w:rsidRPr="000A2DF7" w:rsidRDefault="000A2DF7" w:rsidP="000A2DF7">
      <w:pPr>
        <w:rPr>
          <w:rFonts w:ascii="Times New Roman" w:hAnsi="Times New Roman" w:cs="Times New Roman"/>
        </w:rPr>
      </w:pPr>
    </w:p>
    <w:p w14:paraId="045C0B13" w14:textId="77777777" w:rsidR="000A2DF7" w:rsidRPr="000A2DF7" w:rsidRDefault="000A2DF7" w:rsidP="000A2DF7">
      <w:pPr>
        <w:rPr>
          <w:rFonts w:ascii="Times New Roman" w:hAnsi="Times New Roman" w:cs="Times New Roman"/>
        </w:rPr>
      </w:pPr>
    </w:p>
    <w:p w14:paraId="541AD7D7" w14:textId="77777777" w:rsidR="000A2DF7" w:rsidRPr="000A2DF7" w:rsidRDefault="000A2DF7" w:rsidP="000A2DF7">
      <w:pPr>
        <w:rPr>
          <w:rFonts w:ascii="Times New Roman" w:hAnsi="Times New Roman" w:cs="Times New Roman"/>
        </w:rPr>
      </w:pPr>
    </w:p>
    <w:p w14:paraId="6F70BFBD" w14:textId="77777777" w:rsidR="000A2DF7" w:rsidRPr="000A2DF7" w:rsidRDefault="000A2DF7" w:rsidP="000A2DF7">
      <w:pPr>
        <w:rPr>
          <w:rFonts w:ascii="Times New Roman" w:hAnsi="Times New Roman" w:cs="Times New Roman"/>
        </w:rPr>
      </w:pPr>
    </w:p>
    <w:p w14:paraId="54176862" w14:textId="77777777" w:rsidR="000A2DF7" w:rsidRPr="000A2DF7" w:rsidRDefault="000A2DF7" w:rsidP="000A2DF7">
      <w:pPr>
        <w:rPr>
          <w:rFonts w:ascii="Times New Roman" w:hAnsi="Times New Roman" w:cs="Times New Roman"/>
        </w:rPr>
      </w:pPr>
    </w:p>
    <w:p w14:paraId="7174C405" w14:textId="77777777" w:rsidR="000A2DF7" w:rsidRPr="000A2DF7" w:rsidRDefault="000A2DF7" w:rsidP="000A2DF7">
      <w:pPr>
        <w:rPr>
          <w:rFonts w:ascii="Times New Roman" w:hAnsi="Times New Roman" w:cs="Times New Roman"/>
        </w:rPr>
      </w:pPr>
    </w:p>
    <w:p w14:paraId="7E899A03" w14:textId="77777777" w:rsidR="000A2DF7" w:rsidRPr="000A2DF7" w:rsidRDefault="000A2DF7" w:rsidP="000A2DF7">
      <w:pPr>
        <w:rPr>
          <w:rFonts w:ascii="Times New Roman" w:hAnsi="Times New Roman" w:cs="Times New Roman"/>
        </w:rPr>
      </w:pPr>
    </w:p>
    <w:p w14:paraId="4355F0C0" w14:textId="77777777" w:rsidR="000A2DF7" w:rsidRPr="000A2DF7" w:rsidRDefault="000A2DF7" w:rsidP="000A2DF7">
      <w:pPr>
        <w:rPr>
          <w:rFonts w:ascii="Times New Roman" w:hAnsi="Times New Roman" w:cs="Times New Roman"/>
        </w:rPr>
      </w:pPr>
    </w:p>
    <w:p w14:paraId="08BC1790" w14:textId="77777777" w:rsidR="000A2DF7" w:rsidRPr="000A2DF7" w:rsidRDefault="000A2DF7" w:rsidP="000A2DF7">
      <w:pPr>
        <w:rPr>
          <w:rFonts w:ascii="Times New Roman" w:hAnsi="Times New Roman" w:cs="Times New Roman"/>
        </w:rPr>
      </w:pPr>
    </w:p>
    <w:p w14:paraId="710B1772" w14:textId="77777777" w:rsidR="000A2DF7" w:rsidRPr="000A2DF7" w:rsidRDefault="000A2DF7" w:rsidP="000A2DF7">
      <w:pPr>
        <w:rPr>
          <w:rFonts w:ascii="Times New Roman" w:hAnsi="Times New Roman" w:cs="Times New Roman"/>
        </w:rPr>
      </w:pPr>
    </w:p>
    <w:p w14:paraId="0695E872" w14:textId="2DB8A799" w:rsidR="000A2DF7" w:rsidRPr="00A11D2E" w:rsidRDefault="000A2DF7" w:rsidP="000A2DF7">
      <w:pPr>
        <w:tabs>
          <w:tab w:val="left" w:pos="3468"/>
        </w:tabs>
        <w:spacing w:after="2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F</w:t>
      </w:r>
      <w:r w:rsidRPr="00A11D2E">
        <w:rPr>
          <w:rFonts w:ascii="Times New Roman" w:hAnsi="Times New Roman" w:cs="Times New Roman"/>
          <w:i/>
          <w:iCs/>
          <w:color w:val="000000" w:themeColor="text1"/>
          <w:sz w:val="20"/>
          <w:szCs w:val="20"/>
        </w:rPr>
        <w:t>igure 3.</w:t>
      </w:r>
      <w:r>
        <w:rPr>
          <w:rFonts w:ascii="Times New Roman" w:hAnsi="Times New Roman" w:cs="Times New Roman"/>
          <w:i/>
          <w:iCs/>
          <w:color w:val="000000" w:themeColor="text1"/>
          <w:sz w:val="20"/>
          <w:szCs w:val="20"/>
        </w:rPr>
        <w:t>2</w:t>
      </w:r>
      <w:r w:rsidRPr="00A11D2E">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Hand written</w:t>
      </w:r>
      <w:r w:rsidRPr="00A11D2E">
        <w:rPr>
          <w:rFonts w:ascii="Times New Roman" w:hAnsi="Times New Roman" w:cs="Times New Roman"/>
          <w:i/>
          <w:iCs/>
          <w:color w:val="000000" w:themeColor="text1"/>
          <w:sz w:val="20"/>
          <w:szCs w:val="20"/>
        </w:rPr>
        <w:t xml:space="preserve"> Architecture Diagram</w:t>
      </w:r>
    </w:p>
    <w:p w14:paraId="105075E6" w14:textId="40030A85" w:rsidR="00D53BB6" w:rsidRPr="00A11D2E" w:rsidRDefault="00D53BB6" w:rsidP="00A11D2E">
      <w:pPr>
        <w:spacing w:line="360" w:lineRule="auto"/>
        <w:rPr>
          <w:rFonts w:ascii="Times New Roman" w:hAnsi="Times New Roman" w:cs="Times New Roman"/>
          <w:color w:val="000000" w:themeColor="text1"/>
        </w:rPr>
      </w:pPr>
    </w:p>
    <w:p w14:paraId="79C7ABBA" w14:textId="77777777" w:rsidR="00D53BB6" w:rsidRPr="00A11D2E" w:rsidRDefault="00000000" w:rsidP="00A11D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4. Components and Their Interactions</w:t>
      </w:r>
    </w:p>
    <w:p w14:paraId="7C140118"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4.1 Component Responsibilities</w:t>
      </w:r>
    </w:p>
    <w:tbl>
      <w:tblPr>
        <w:tblStyle w:val="TableGrid"/>
        <w:tblW w:w="9360" w:type="dxa"/>
        <w:tblLook w:val="0000" w:firstRow="0" w:lastRow="0" w:firstColumn="0" w:lastColumn="0" w:noHBand="0" w:noVBand="0"/>
      </w:tblPr>
      <w:tblGrid>
        <w:gridCol w:w="4680"/>
        <w:gridCol w:w="4680"/>
      </w:tblGrid>
      <w:tr w:rsidR="00D53BB6" w:rsidRPr="00A11D2E" w14:paraId="699B4F67" w14:textId="77777777" w:rsidTr="00A11D2E">
        <w:tc>
          <w:tcPr>
            <w:tcW w:w="4680" w:type="dxa"/>
          </w:tcPr>
          <w:p w14:paraId="267ADFBF"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Component</w:t>
            </w:r>
          </w:p>
        </w:tc>
        <w:tc>
          <w:tcPr>
            <w:tcW w:w="4680" w:type="dxa"/>
          </w:tcPr>
          <w:p w14:paraId="52E656C3" w14:textId="77777777" w:rsidR="00D53BB6" w:rsidRPr="00A11D2E" w:rsidRDefault="00000000" w:rsidP="00A11D2E">
            <w:pPr>
              <w:spacing w:line="360" w:lineRule="auto"/>
              <w:jc w:val="center"/>
              <w:rPr>
                <w:rFonts w:ascii="Times New Roman" w:hAnsi="Times New Roman" w:cs="Times New Roman"/>
                <w:color w:val="000000" w:themeColor="text1"/>
              </w:rPr>
            </w:pPr>
            <w:r w:rsidRPr="00A11D2E">
              <w:rPr>
                <w:rFonts w:ascii="Times New Roman" w:hAnsi="Times New Roman" w:cs="Times New Roman"/>
                <w:b/>
                <w:bCs/>
                <w:color w:val="000000" w:themeColor="text1"/>
                <w:sz w:val="20"/>
                <w:szCs w:val="20"/>
              </w:rPr>
              <w:t>Responsibility</w:t>
            </w:r>
          </w:p>
        </w:tc>
      </w:tr>
      <w:tr w:rsidR="00D53BB6" w:rsidRPr="00A11D2E" w14:paraId="2C966B8E" w14:textId="77777777" w:rsidTr="00A11D2E">
        <w:tc>
          <w:tcPr>
            <w:tcW w:w="4680" w:type="dxa"/>
          </w:tcPr>
          <w:p w14:paraId="06421716"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API Gateway</w:t>
            </w:r>
          </w:p>
        </w:tc>
        <w:tc>
          <w:tcPr>
            <w:tcW w:w="4680" w:type="dxa"/>
          </w:tcPr>
          <w:p w14:paraId="307C535A"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Single entry point for all client requests; handles authentication, request routing, and rate-limiting.</w:t>
            </w:r>
          </w:p>
        </w:tc>
      </w:tr>
      <w:tr w:rsidR="00D53BB6" w:rsidRPr="00A11D2E" w14:paraId="1390869D" w14:textId="77777777" w:rsidTr="00A11D2E">
        <w:tc>
          <w:tcPr>
            <w:tcW w:w="4680" w:type="dxa"/>
          </w:tcPr>
          <w:p w14:paraId="21A8E17B"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Load Balancer</w:t>
            </w:r>
          </w:p>
        </w:tc>
        <w:tc>
          <w:tcPr>
            <w:tcW w:w="4680" w:type="dxa"/>
          </w:tcPr>
          <w:p w14:paraId="66DEFCAE"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Distributes incoming traffic across multiple instances of the API Gateway/services for high availability.</w:t>
            </w:r>
          </w:p>
        </w:tc>
      </w:tr>
      <w:tr w:rsidR="00D53BB6" w:rsidRPr="00A11D2E" w14:paraId="4D3D758E" w14:textId="77777777" w:rsidTr="00A11D2E">
        <w:tc>
          <w:tcPr>
            <w:tcW w:w="4680" w:type="dxa"/>
          </w:tcPr>
          <w:p w14:paraId="2A8901FD"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Auth Service</w:t>
            </w:r>
          </w:p>
        </w:tc>
        <w:tc>
          <w:tcPr>
            <w:tcW w:w="4680" w:type="dxa"/>
          </w:tcPr>
          <w:p w14:paraId="651E0F4A"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Manages user registration, login, and token issuance/validation.</w:t>
            </w:r>
          </w:p>
        </w:tc>
      </w:tr>
      <w:tr w:rsidR="00D53BB6" w:rsidRPr="00A11D2E" w14:paraId="3CB64679" w14:textId="77777777" w:rsidTr="00A11D2E">
        <w:tc>
          <w:tcPr>
            <w:tcW w:w="4680" w:type="dxa"/>
          </w:tcPr>
          <w:p w14:paraId="49D3A319"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Station &amp; Booking Service</w:t>
            </w:r>
          </w:p>
        </w:tc>
        <w:tc>
          <w:tcPr>
            <w:tcW w:w="4680" w:type="dxa"/>
          </w:tcPr>
          <w:p w14:paraId="5724E01B"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Handles station search, availability queries, and slot reservation logic.</w:t>
            </w:r>
          </w:p>
        </w:tc>
      </w:tr>
      <w:tr w:rsidR="00D53BB6" w:rsidRPr="00A11D2E" w14:paraId="403FBA13" w14:textId="77777777" w:rsidTr="00A11D2E">
        <w:tc>
          <w:tcPr>
            <w:tcW w:w="4680" w:type="dxa"/>
          </w:tcPr>
          <w:p w14:paraId="37BA618E"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AI Allocation Service</w:t>
            </w:r>
          </w:p>
        </w:tc>
        <w:tc>
          <w:tcPr>
            <w:tcW w:w="4680" w:type="dxa"/>
          </w:tcPr>
          <w:p w14:paraId="043D5703"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Recommends the optimal station/slot based on location, live occupancy, and demand prediction.</w:t>
            </w:r>
          </w:p>
        </w:tc>
      </w:tr>
      <w:tr w:rsidR="00D53BB6" w:rsidRPr="00A11D2E" w14:paraId="7358F727" w14:textId="77777777" w:rsidTr="00A11D2E">
        <w:tc>
          <w:tcPr>
            <w:tcW w:w="4680" w:type="dxa"/>
          </w:tcPr>
          <w:p w14:paraId="67D2364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Charging Session Service</w:t>
            </w:r>
          </w:p>
        </w:tc>
        <w:tc>
          <w:tcPr>
            <w:tcW w:w="4680" w:type="dxa"/>
          </w:tcPr>
          <w:p w14:paraId="067937A9"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Manages session authentication, start/stop commands, and energy-usage metering.</w:t>
            </w:r>
          </w:p>
        </w:tc>
      </w:tr>
      <w:tr w:rsidR="00D53BB6" w:rsidRPr="00A11D2E" w14:paraId="478F8FD5" w14:textId="77777777" w:rsidTr="00A11D2E">
        <w:tc>
          <w:tcPr>
            <w:tcW w:w="4680" w:type="dxa"/>
          </w:tcPr>
          <w:p w14:paraId="370E8C2E"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Payment Service</w:t>
            </w:r>
          </w:p>
        </w:tc>
        <w:tc>
          <w:tcPr>
            <w:tcW w:w="4680" w:type="dxa"/>
          </w:tcPr>
          <w:p w14:paraId="442481AD"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Calculates cost, integrates with the external payment gateway, and generates invoices.</w:t>
            </w:r>
          </w:p>
        </w:tc>
      </w:tr>
      <w:tr w:rsidR="00D53BB6" w:rsidRPr="00A11D2E" w14:paraId="33EDE84E" w14:textId="77777777" w:rsidTr="00A11D2E">
        <w:tc>
          <w:tcPr>
            <w:tcW w:w="4680" w:type="dxa"/>
          </w:tcPr>
          <w:p w14:paraId="698DAAE1"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Maintenance Service</w:t>
            </w:r>
          </w:p>
        </w:tc>
        <w:tc>
          <w:tcPr>
            <w:tcW w:w="4680" w:type="dxa"/>
          </w:tcPr>
          <w:p w14:paraId="7AE16508"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Consumes fault events from telemetry and raises alerts to operators/technicians.</w:t>
            </w:r>
          </w:p>
        </w:tc>
      </w:tr>
      <w:tr w:rsidR="00D53BB6" w:rsidRPr="00A11D2E" w14:paraId="2E148565" w14:textId="77777777" w:rsidTr="00A11D2E">
        <w:tc>
          <w:tcPr>
            <w:tcW w:w="4680" w:type="dxa"/>
          </w:tcPr>
          <w:p w14:paraId="48F5D0AD"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Analytics &amp; Reporting Service</w:t>
            </w:r>
          </w:p>
        </w:tc>
        <w:tc>
          <w:tcPr>
            <w:tcW w:w="4680" w:type="dxa"/>
          </w:tcPr>
          <w:p w14:paraId="19535C9C"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Aggregates usage, revenue, and telemetry data into reports and dashboards.</w:t>
            </w:r>
          </w:p>
        </w:tc>
      </w:tr>
      <w:tr w:rsidR="00D53BB6" w:rsidRPr="00A11D2E" w14:paraId="0EE15A8A" w14:textId="77777777" w:rsidTr="00A11D2E">
        <w:tc>
          <w:tcPr>
            <w:tcW w:w="4680" w:type="dxa"/>
          </w:tcPr>
          <w:p w14:paraId="644E3A6C"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Message Broker (MQTT + Kafka)</w:t>
            </w:r>
          </w:p>
        </w:tc>
        <w:tc>
          <w:tcPr>
            <w:tcW w:w="4680" w:type="dxa"/>
          </w:tcPr>
          <w:p w14:paraId="28242D0F"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Decouples IoT stations from backend services via publish/subscribe event streaming.</w:t>
            </w:r>
          </w:p>
        </w:tc>
      </w:tr>
      <w:tr w:rsidR="00D53BB6" w:rsidRPr="00A11D2E" w14:paraId="575CF6C4" w14:textId="77777777" w:rsidTr="00A11D2E">
        <w:tc>
          <w:tcPr>
            <w:tcW w:w="4680" w:type="dxa"/>
          </w:tcPr>
          <w:p w14:paraId="765B1B8C"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Relational DB (PostgreSQL)</w:t>
            </w:r>
          </w:p>
        </w:tc>
        <w:tc>
          <w:tcPr>
            <w:tcW w:w="4680" w:type="dxa"/>
          </w:tcPr>
          <w:p w14:paraId="203CCBA3"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Stores structured transactional data — users, bookings, and billing records.</w:t>
            </w:r>
          </w:p>
        </w:tc>
      </w:tr>
      <w:tr w:rsidR="00D53BB6" w:rsidRPr="00A11D2E" w14:paraId="3C736083" w14:textId="77777777" w:rsidTr="00A11D2E">
        <w:tc>
          <w:tcPr>
            <w:tcW w:w="4680" w:type="dxa"/>
          </w:tcPr>
          <w:p w14:paraId="2473B324"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Time-Series DB (</w:t>
            </w:r>
            <w:proofErr w:type="spellStart"/>
            <w:r w:rsidRPr="00A11D2E">
              <w:rPr>
                <w:rFonts w:ascii="Times New Roman" w:hAnsi="Times New Roman" w:cs="Times New Roman"/>
                <w:color w:val="000000" w:themeColor="text1"/>
                <w:sz w:val="20"/>
                <w:szCs w:val="20"/>
              </w:rPr>
              <w:t>InfluxDB</w:t>
            </w:r>
            <w:proofErr w:type="spellEnd"/>
            <w:r w:rsidRPr="00A11D2E">
              <w:rPr>
                <w:rFonts w:ascii="Times New Roman" w:hAnsi="Times New Roman" w:cs="Times New Roman"/>
                <w:color w:val="000000" w:themeColor="text1"/>
                <w:sz w:val="20"/>
                <w:szCs w:val="20"/>
              </w:rPr>
              <w:t>)</w:t>
            </w:r>
          </w:p>
        </w:tc>
        <w:tc>
          <w:tcPr>
            <w:tcW w:w="4680" w:type="dxa"/>
          </w:tcPr>
          <w:p w14:paraId="05AC422D"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Stores high-volume telemetry data optimized for time-based queries and analytics.</w:t>
            </w:r>
          </w:p>
        </w:tc>
      </w:tr>
      <w:tr w:rsidR="00D53BB6" w:rsidRPr="00A11D2E" w14:paraId="0190E01C" w14:textId="77777777" w:rsidTr="00A11D2E">
        <w:tc>
          <w:tcPr>
            <w:tcW w:w="4680" w:type="dxa"/>
          </w:tcPr>
          <w:p w14:paraId="314A42DB"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Cache (Redis)</w:t>
            </w:r>
          </w:p>
        </w:tc>
        <w:tc>
          <w:tcPr>
            <w:tcW w:w="4680" w:type="dxa"/>
          </w:tcPr>
          <w:p w14:paraId="08F3870E"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sz w:val="20"/>
                <w:szCs w:val="20"/>
              </w:rPr>
              <w:t>Reduces database load and latency for frequently accessed data such as live station availability.</w:t>
            </w:r>
          </w:p>
        </w:tc>
      </w:tr>
    </w:tbl>
    <w:p w14:paraId="2DF2323E" w14:textId="77777777" w:rsidR="00D53BB6" w:rsidRPr="00A11D2E" w:rsidRDefault="00D53BB6" w:rsidP="00A11D2E">
      <w:pPr>
        <w:spacing w:after="160" w:line="360" w:lineRule="auto"/>
        <w:rPr>
          <w:rFonts w:ascii="Times New Roman" w:hAnsi="Times New Roman" w:cs="Times New Roman"/>
          <w:color w:val="000000" w:themeColor="text1"/>
        </w:rPr>
      </w:pPr>
    </w:p>
    <w:p w14:paraId="3F7E4479"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4.2 Communication Mechanisms</w:t>
      </w:r>
    </w:p>
    <w:p w14:paraId="6A15B407"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architecture uses two distinct communication patterns depending on the nature of the interaction: synchronous REST/HTTPS calls for user-initiated, request/response operations, and asynchronous publish/subscribe messaging for high-frequency IoT telemetry and fault events. This separation keeps user-facing latency low while still processing continuous sensor data efficiently.</w:t>
      </w:r>
    </w:p>
    <w:p w14:paraId="5DA85F6F"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lastRenderedPageBreak/>
        <w:drawing>
          <wp:inline distT="0" distB="0" distL="0" distR="0" wp14:anchorId="613CFD9F" wp14:editId="7BDA98D8">
            <wp:extent cx="5762625" cy="914400"/>
            <wp:effectExtent l="0" t="0" r="0" b="0"/>
            <wp:docPr id="510578187" name="Picture 51057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914400"/>
                    </a:xfrm>
                    <a:prstGeom prst="rect">
                      <a:avLst/>
                    </a:prstGeom>
                  </pic:spPr>
                </pic:pic>
              </a:graphicData>
            </a:graphic>
          </wp:inline>
        </w:drawing>
      </w:r>
    </w:p>
    <w:p w14:paraId="1F621EEF" w14:textId="77777777"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4.1: Synchronous vs Asynchronous Communication Patterns</w:t>
      </w:r>
    </w:p>
    <w:p w14:paraId="12498919"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4.3 End-to-End Workflow</w:t>
      </w:r>
    </w:p>
    <w:p w14:paraId="2A1D487E"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numbered workflow below illustrates how a typical booking-to-charging request flows through the architecture's components, from the initial request by the EV owner to the final analytics update.</w:t>
      </w:r>
    </w:p>
    <w:p w14:paraId="4072DD65"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drawing>
          <wp:inline distT="0" distB="0" distL="0" distR="0" wp14:anchorId="0C269FBE" wp14:editId="40CAE682">
            <wp:extent cx="5762625" cy="523875"/>
            <wp:effectExtent l="0" t="0" r="0" b="0"/>
            <wp:docPr id="1216045535" name="Picture 121604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523875"/>
                    </a:xfrm>
                    <a:prstGeom prst="rect">
                      <a:avLst/>
                    </a:prstGeom>
                  </pic:spPr>
                </pic:pic>
              </a:graphicData>
            </a:graphic>
          </wp:inline>
        </w:drawing>
      </w:r>
    </w:p>
    <w:p w14:paraId="11A43A72" w14:textId="77777777"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4.2: End-to-End Request Workflow Through the Architecture</w:t>
      </w:r>
    </w:p>
    <w:p w14:paraId="6462D737"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br w:type="page"/>
      </w:r>
    </w:p>
    <w:p w14:paraId="3EE754D6" w14:textId="77777777" w:rsidR="00D53BB6" w:rsidRPr="00A11D2E" w:rsidRDefault="00000000" w:rsidP="00A11D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5. Quality Attributes</w:t>
      </w:r>
    </w:p>
    <w:p w14:paraId="4BAE793F"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5.1 Scalability</w:t>
      </w:r>
    </w:p>
    <w:p w14:paraId="7F6E481D"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Each microservice is stateless and independently deployable behind the load balancer, allowing horizontal scaling — additional instances (pods) of high-traffic services such as Booking and Session can be added automatically under load, as illustrated in the scalability/deployment view below, without needing to scale lower-traffic services such as Analytics.</w:t>
      </w:r>
    </w:p>
    <w:p w14:paraId="44D185C2"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drawing>
          <wp:inline distT="0" distB="0" distL="0" distR="0" wp14:anchorId="42F9E2B1" wp14:editId="077A757F">
            <wp:extent cx="4572000" cy="3333750"/>
            <wp:effectExtent l="0" t="0" r="0" b="0"/>
            <wp:docPr id="1859736003" name="Picture 185973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333750"/>
                    </a:xfrm>
                    <a:prstGeom prst="rect">
                      <a:avLst/>
                    </a:prstGeom>
                  </pic:spPr>
                </pic:pic>
              </a:graphicData>
            </a:graphic>
          </wp:inline>
        </w:drawing>
      </w:r>
    </w:p>
    <w:p w14:paraId="35053BD1" w14:textId="77777777"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5.1: Scalability and Deployment View (Auto-scaling &amp; DB Replication)</w:t>
      </w:r>
    </w:p>
    <w:p w14:paraId="24D4A0B0"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5.2 Security</w:t>
      </w:r>
    </w:p>
    <w:p w14:paraId="0C2538A9"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All external traffic passes through the API Gateway, which centralizes authentication and authorization, so individual microservices do not each need to re-implement security logic. Data is encrypted in transit (HTTPS/TLS) and at rest, and the Payment Service isolates sensitive financial data from the rest of the system, communicating with the external payment gateway over a secured channel.</w:t>
      </w:r>
    </w:p>
    <w:p w14:paraId="0AFB7221" w14:textId="77777777" w:rsidR="00D53BB6" w:rsidRPr="00A11D2E" w:rsidRDefault="00000000" w:rsidP="00A11D2E">
      <w:pPr>
        <w:pStyle w:val="Heading2"/>
        <w:spacing w:before="260" w:after="12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5.3 Performance</w:t>
      </w:r>
    </w:p>
    <w:p w14:paraId="6B562172"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Frequently accessed data — such as live station availability — is served from the Redis cache rather than querying the relational database on every request, keeping response times low. Asynchronous ingestion of IoT telemetry via the message broker prevents high-frequency sensor updates from adding load to the synchronous, user-facing request path.</w:t>
      </w:r>
    </w:p>
    <w:p w14:paraId="279A473B" w14:textId="77777777" w:rsidR="00A11D2E" w:rsidRDefault="00A11D2E" w:rsidP="00A11D2E">
      <w:pPr>
        <w:pStyle w:val="Heading2"/>
        <w:spacing w:before="260" w:after="120" w:line="360" w:lineRule="auto"/>
        <w:rPr>
          <w:rFonts w:ascii="Times New Roman" w:hAnsi="Times New Roman" w:cs="Times New Roman"/>
          <w:color w:val="000000" w:themeColor="text1"/>
        </w:rPr>
      </w:pPr>
    </w:p>
    <w:p w14:paraId="624DFADD" w14:textId="38837E8A"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5.4 Reliability</w:t>
      </w:r>
    </w:p>
    <w:p w14:paraId="649DD237"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event-driven messaging layer provides durable, at-least-once delivery of telemetry and fault events, so temporary service outages do not result in lost data — messages are retained in the broker until successfully processed. Database replication (primary plus read replicas) further protects against data loss and read-path failures.</w:t>
      </w:r>
    </w:p>
    <w:p w14:paraId="15967155"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5.5 Maintainability</w:t>
      </w:r>
    </w:p>
    <w:p w14:paraId="47868C31"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Because each microservice owns a single, well-defined responsibility and communicates only through defined API/event contracts, individual services can be modified, tested, and redeployed independently — a change to the Payment Service, for example, does not require retesting or redeploying the Booking or Analytics services.</w:t>
      </w:r>
    </w:p>
    <w:p w14:paraId="0FBD0421"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5.6 Availability</w:t>
      </w:r>
    </w:p>
    <w:p w14:paraId="61540EAC"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Redundant instances behind a load balancer mean the platform can continue serving requests even if an individual service instance fails. Fault isolation between microservices ensures that a failure in one component (e.g., Analytics) does not cascade into a full-platform outage, supporting the target of near-continuous availability.</w:t>
      </w:r>
    </w:p>
    <w:p w14:paraId="70C3CE86" w14:textId="77777777" w:rsidR="00D53BB6" w:rsidRPr="00A11D2E" w:rsidRDefault="00000000" w:rsidP="00A11D2E">
      <w:pPr>
        <w:spacing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br w:type="page"/>
      </w:r>
    </w:p>
    <w:p w14:paraId="22D6D60E" w14:textId="77777777" w:rsidR="00D53BB6" w:rsidRPr="00A11D2E" w:rsidRDefault="00000000" w:rsidP="00A11D2E">
      <w:pPr>
        <w:pStyle w:val="Heading1"/>
        <w:pBdr>
          <w:bottom w:val="single" w:sz="6" w:space="4" w:color="1F4E79"/>
        </w:pBdr>
        <w:spacing w:before="400" w:after="20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6. Architectural Justification and Trade-offs</w:t>
      </w:r>
    </w:p>
    <w:p w14:paraId="26DE95CE"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6.1 Rationale Summary</w:t>
      </w:r>
    </w:p>
    <w:p w14:paraId="4425B496"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hybrid microservices and event-driven architecture was chosen because it directly satisfies the platform's core non-functional demands — independent scalability, fault isolation, and efficient handling of high-volume asynchronous IoT data — while remaining compatible with the Agile, team-based delivery approach already established for this project's sprint planning.</w:t>
      </w:r>
    </w:p>
    <w:p w14:paraId="758DB388"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6.2 Trade-offs Considered</w:t>
      </w:r>
    </w:p>
    <w:p w14:paraId="582D6ED4" w14:textId="77777777" w:rsidR="00D53BB6" w:rsidRPr="00A11D2E" w:rsidRDefault="00000000" w:rsidP="00A11D2E">
      <w:pPr>
        <w:pStyle w:val="ListParagraph"/>
        <w:numPr>
          <w:ilvl w:val="1"/>
          <w:numId w:val="3"/>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 xml:space="preserve">Operational complexity vs flexibility: microservices introduce more moving parts (service discovery, inter-service networking, distributed monitoring) than a monolith, but this cost is accepted in exchange for independent scalability and </w:t>
      </w:r>
      <w:proofErr w:type="spellStart"/>
      <w:r w:rsidRPr="00A11D2E">
        <w:rPr>
          <w:rFonts w:ascii="Times New Roman" w:hAnsi="Times New Roman" w:cs="Times New Roman"/>
          <w:color w:val="000000" w:themeColor="text1"/>
        </w:rPr>
        <w:t>deployability</w:t>
      </w:r>
      <w:proofErr w:type="spellEnd"/>
      <w:r w:rsidRPr="00A11D2E">
        <w:rPr>
          <w:rFonts w:ascii="Times New Roman" w:hAnsi="Times New Roman" w:cs="Times New Roman"/>
          <w:color w:val="000000" w:themeColor="text1"/>
        </w:rPr>
        <w:t>, which are essential at the platform's target scale.</w:t>
      </w:r>
    </w:p>
    <w:p w14:paraId="62018FC2" w14:textId="77777777" w:rsidR="00D53BB6" w:rsidRPr="00A11D2E" w:rsidRDefault="00000000" w:rsidP="00A11D2E">
      <w:pPr>
        <w:pStyle w:val="ListParagraph"/>
        <w:numPr>
          <w:ilvl w:val="1"/>
          <w:numId w:val="3"/>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Eventual consistency vs strict consistency: the event-driven telemetry path favours eventual consistency (a brief delay before a station's status updates network-wide) in exchange for higher throughput and resilience; this is an acceptable trade-off since a few seconds of telemetry lag does not materially affect the user experience, whereas booking/payment transactions retain strict consistency in the relational database.</w:t>
      </w:r>
    </w:p>
    <w:p w14:paraId="70F4F006" w14:textId="77777777" w:rsidR="00D53BB6" w:rsidRPr="00A11D2E" w:rsidRDefault="00000000" w:rsidP="00A11D2E">
      <w:pPr>
        <w:pStyle w:val="ListParagraph"/>
        <w:numPr>
          <w:ilvl w:val="1"/>
          <w:numId w:val="3"/>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Infrastructure cost vs reliability: running redundant service instances and database replicas increases infrastructure cost compared to a single-instance deployment, but this is justified by the platform's availability requirement given its role in daily commuter mobility.</w:t>
      </w:r>
    </w:p>
    <w:p w14:paraId="7FA8FB41"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6.3 Support for Future Enhancements</w:t>
      </w:r>
    </w:p>
    <w:p w14:paraId="10BBEE2B" w14:textId="77777777" w:rsidR="00D53BB6" w:rsidRPr="00A11D2E" w:rsidRDefault="00000000" w:rsidP="00A11D2E">
      <w:pPr>
        <w:pStyle w:val="ListParagraph"/>
        <w:numPr>
          <w:ilvl w:val="1"/>
          <w:numId w:val="4"/>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New capabilities (e.g., Vehicle-to-Grid support, dynamic pricing, route-based trip planning) can be added as new independent microservices without modifying existing ones.</w:t>
      </w:r>
    </w:p>
    <w:p w14:paraId="14AC9D59" w14:textId="77777777" w:rsidR="00D53BB6" w:rsidRPr="00A11D2E" w:rsidRDefault="00000000" w:rsidP="00A11D2E">
      <w:pPr>
        <w:pStyle w:val="ListParagraph"/>
        <w:numPr>
          <w:ilvl w:val="1"/>
          <w:numId w:val="4"/>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The event-driven layer can absorb new IoT data types (e.g., battery health telemetry) by adding new event topics/consumers without changing the synchronous API surface.</w:t>
      </w:r>
    </w:p>
    <w:p w14:paraId="3D1D1BE0" w14:textId="77777777" w:rsidR="00D53BB6" w:rsidRPr="00A11D2E" w:rsidRDefault="00000000" w:rsidP="00A11D2E">
      <w:pPr>
        <w:pStyle w:val="ListParagraph"/>
        <w:numPr>
          <w:ilvl w:val="1"/>
          <w:numId w:val="4"/>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The API Gateway provides a natural integration point for future external partners (e.g., fleet management systems) without exposing internal service boundaries.</w:t>
      </w:r>
    </w:p>
    <w:p w14:paraId="20C3313A" w14:textId="77777777" w:rsidR="00D53BB6" w:rsidRPr="00A11D2E" w:rsidRDefault="00000000" w:rsidP="00A11D2E">
      <w:pPr>
        <w:pStyle w:val="ListParagraph"/>
        <w:numPr>
          <w:ilvl w:val="1"/>
          <w:numId w:val="4"/>
        </w:numPr>
        <w:spacing w:after="90" w:line="360" w:lineRule="auto"/>
        <w:jc w:val="both"/>
        <w:rPr>
          <w:rFonts w:ascii="Times New Roman" w:hAnsi="Times New Roman" w:cs="Times New Roman"/>
          <w:color w:val="000000" w:themeColor="text1"/>
        </w:rPr>
      </w:pPr>
      <w:r w:rsidRPr="00A11D2E">
        <w:rPr>
          <w:rFonts w:ascii="Times New Roman" w:hAnsi="Times New Roman" w:cs="Times New Roman"/>
          <w:color w:val="000000" w:themeColor="text1"/>
        </w:rPr>
        <w:t>Because services are independently deployable, the system can adopt new technology (e.g., a new database for a specific service) incrementally rather than requiring a full-platform migration.</w:t>
      </w:r>
    </w:p>
    <w:p w14:paraId="021F3A2F" w14:textId="65762E88" w:rsidR="00D53BB6" w:rsidRPr="00A11D2E" w:rsidRDefault="00000000" w:rsidP="00A11D2E">
      <w:pPr>
        <w:spacing w:after="160" w:line="360" w:lineRule="auto"/>
        <w:ind w:left="1080"/>
        <w:jc w:val="both"/>
        <w:rPr>
          <w:rFonts w:ascii="Times New Roman" w:hAnsi="Times New Roman" w:cs="Times New Roman"/>
          <w:color w:val="000000" w:themeColor="text1"/>
        </w:rPr>
      </w:pPr>
      <w:r w:rsidRPr="00A11D2E">
        <w:rPr>
          <w:rFonts w:ascii="Times New Roman" w:hAnsi="Times New Roman" w:cs="Times New Roman"/>
          <w:color w:val="000000" w:themeColor="text1"/>
        </w:rPr>
        <w:t>In summary, the selected hybrid microservices and event-driven architecture provides the scalability, reliability, security, maintainability, and availability the Smart EV Charging Network Management Platform requires today, while remaining flexible enough to support the system's long-term growth and evolution.</w:t>
      </w:r>
      <w:r w:rsidRPr="00A11D2E">
        <w:rPr>
          <w:rFonts w:ascii="Times New Roman" w:hAnsi="Times New Roman" w:cs="Times New Roman"/>
          <w:color w:val="000000" w:themeColor="text1"/>
        </w:rPr>
        <w:br w:type="page"/>
      </w:r>
    </w:p>
    <w:p w14:paraId="0307BE6C" w14:textId="77777777" w:rsidR="00D53BB6" w:rsidRPr="00A11D2E" w:rsidRDefault="00000000" w:rsidP="00A11D2E">
      <w:pPr>
        <w:pStyle w:val="Heading1"/>
        <w:pBdr>
          <w:bottom w:val="single" w:sz="6" w:space="4" w:color="1F4E79"/>
        </w:pBdr>
        <w:spacing w:before="400" w:after="20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7. UML Design Diagrams (Class, Use Case &amp; Activity)</w:t>
      </w:r>
    </w:p>
    <w:p w14:paraId="5B20E231"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 xml:space="preserve">In addition to the architecture-level diagrams presented in the earlier sections, the following UML design diagrams were modelled using </w:t>
      </w:r>
      <w:proofErr w:type="spellStart"/>
      <w:r w:rsidRPr="00A11D2E">
        <w:rPr>
          <w:rFonts w:ascii="Times New Roman" w:hAnsi="Times New Roman" w:cs="Times New Roman"/>
          <w:color w:val="000000" w:themeColor="text1"/>
        </w:rPr>
        <w:t>Umbrello</w:t>
      </w:r>
      <w:proofErr w:type="spellEnd"/>
      <w:r w:rsidRPr="00A11D2E">
        <w:rPr>
          <w:rFonts w:ascii="Times New Roman" w:hAnsi="Times New Roman" w:cs="Times New Roman"/>
          <w:color w:val="000000" w:themeColor="text1"/>
        </w:rPr>
        <w:t xml:space="preserve"> UML Modeller to capture the static structure and dynamic behaviour of the Smart EV Charging Network Management Platform at the object-oriented design level.</w:t>
      </w:r>
    </w:p>
    <w:p w14:paraId="1792620B"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7.1 Class Diagram</w:t>
      </w:r>
    </w:p>
    <w:p w14:paraId="65C7EF93"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 xml:space="preserve">The class diagram below models the core domain entities of the platform and their relationships, including inheritance between the generic User class and its EVOwner/Admin specializations, and associations between Booking, </w:t>
      </w:r>
      <w:proofErr w:type="spellStart"/>
      <w:r w:rsidRPr="00A11D2E">
        <w:rPr>
          <w:rFonts w:ascii="Times New Roman" w:hAnsi="Times New Roman" w:cs="Times New Roman"/>
          <w:color w:val="000000" w:themeColor="text1"/>
        </w:rPr>
        <w:t>ChargingStation</w:t>
      </w:r>
      <w:proofErr w:type="spellEnd"/>
      <w:r w:rsidRPr="00A11D2E">
        <w:rPr>
          <w:rFonts w:ascii="Times New Roman" w:hAnsi="Times New Roman" w:cs="Times New Roman"/>
          <w:color w:val="000000" w:themeColor="text1"/>
        </w:rPr>
        <w:t xml:space="preserve">, </w:t>
      </w:r>
      <w:proofErr w:type="spellStart"/>
      <w:r w:rsidRPr="00A11D2E">
        <w:rPr>
          <w:rFonts w:ascii="Times New Roman" w:hAnsi="Times New Roman" w:cs="Times New Roman"/>
          <w:color w:val="000000" w:themeColor="text1"/>
        </w:rPr>
        <w:t>ChargingSession</w:t>
      </w:r>
      <w:proofErr w:type="spellEnd"/>
      <w:r w:rsidRPr="00A11D2E">
        <w:rPr>
          <w:rFonts w:ascii="Times New Roman" w:hAnsi="Times New Roman" w:cs="Times New Roman"/>
          <w:color w:val="000000" w:themeColor="text1"/>
        </w:rPr>
        <w:t>, and Payment.</w:t>
      </w:r>
    </w:p>
    <w:p w14:paraId="423EC15B"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drawing>
          <wp:inline distT="0" distB="0" distL="0" distR="0" wp14:anchorId="7FFA50C4" wp14:editId="623BBB63">
            <wp:extent cx="4209765" cy="5805054"/>
            <wp:effectExtent l="0" t="0" r="635" b="5715"/>
            <wp:docPr id="69383308" name="Picture 6938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2893" cy="5809367"/>
                    </a:xfrm>
                    <a:prstGeom prst="rect">
                      <a:avLst/>
                    </a:prstGeom>
                  </pic:spPr>
                </pic:pic>
              </a:graphicData>
            </a:graphic>
          </wp:inline>
        </w:drawing>
      </w:r>
    </w:p>
    <w:p w14:paraId="36863A6C" w14:textId="2890B609"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7.1: UML Class Diagram (</w:t>
      </w:r>
      <w:proofErr w:type="spellStart"/>
      <w:r w:rsidRPr="00A11D2E">
        <w:rPr>
          <w:rFonts w:ascii="Times New Roman" w:hAnsi="Times New Roman" w:cs="Times New Roman"/>
          <w:i/>
          <w:iCs/>
          <w:color w:val="000000" w:themeColor="text1"/>
          <w:sz w:val="20"/>
          <w:szCs w:val="20"/>
        </w:rPr>
        <w:t>Umbrello</w:t>
      </w:r>
      <w:proofErr w:type="spellEnd"/>
      <w:r w:rsidRPr="00A11D2E">
        <w:rPr>
          <w:rFonts w:ascii="Times New Roman" w:hAnsi="Times New Roman" w:cs="Times New Roman"/>
          <w:i/>
          <w:iCs/>
          <w:color w:val="000000" w:themeColor="text1"/>
          <w:sz w:val="20"/>
          <w:szCs w:val="20"/>
        </w:rPr>
        <w:t>)</w:t>
      </w:r>
      <w:r w:rsidRPr="00A11D2E">
        <w:rPr>
          <w:rFonts w:ascii="Times New Roman" w:hAnsi="Times New Roman" w:cs="Times New Roman"/>
          <w:color w:val="000000" w:themeColor="text1"/>
        </w:rPr>
        <w:br w:type="page"/>
      </w:r>
    </w:p>
    <w:p w14:paraId="567C044B"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lastRenderedPageBreak/>
        <w:t>7.2 Use Case Diagram</w:t>
      </w:r>
    </w:p>
    <w:p w14:paraId="6EBDA0E3" w14:textId="77777777" w:rsidR="00D53BB6" w:rsidRPr="00A11D2E" w:rsidRDefault="00000000" w:rsidP="00A11D2E">
      <w:pPr>
        <w:spacing w:after="160" w:line="360" w:lineRule="auto"/>
        <w:ind w:left="720"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use case diagram below captures the interactions between the EV Owner, Station Operator, and System Admin actors and the platform's core use cases, including the external Payment Gateway invoked via an «include» relationship from Make Payment.</w:t>
      </w:r>
    </w:p>
    <w:p w14:paraId="7BD21707"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drawing>
          <wp:inline distT="0" distB="0" distL="0" distR="0" wp14:anchorId="3A2E51CF" wp14:editId="1E053915">
            <wp:extent cx="5667375" cy="5191125"/>
            <wp:effectExtent l="0" t="0" r="0" b="0"/>
            <wp:docPr id="83337398" name="Picture 833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5191125"/>
                    </a:xfrm>
                    <a:prstGeom prst="rect">
                      <a:avLst/>
                    </a:prstGeom>
                  </pic:spPr>
                </pic:pic>
              </a:graphicData>
            </a:graphic>
          </wp:inline>
        </w:drawing>
      </w:r>
    </w:p>
    <w:p w14:paraId="45CA5D68" w14:textId="77777777"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7.2: UML Use Case Diagram (</w:t>
      </w:r>
      <w:proofErr w:type="spellStart"/>
      <w:r w:rsidRPr="00A11D2E">
        <w:rPr>
          <w:rFonts w:ascii="Times New Roman" w:hAnsi="Times New Roman" w:cs="Times New Roman"/>
          <w:i/>
          <w:iCs/>
          <w:color w:val="000000" w:themeColor="text1"/>
          <w:sz w:val="20"/>
          <w:szCs w:val="20"/>
        </w:rPr>
        <w:t>Umbrello</w:t>
      </w:r>
      <w:proofErr w:type="spellEnd"/>
      <w:r w:rsidRPr="00A11D2E">
        <w:rPr>
          <w:rFonts w:ascii="Times New Roman" w:hAnsi="Times New Roman" w:cs="Times New Roman"/>
          <w:i/>
          <w:iCs/>
          <w:color w:val="000000" w:themeColor="text1"/>
          <w:sz w:val="20"/>
          <w:szCs w:val="20"/>
        </w:rPr>
        <w:t>)</w:t>
      </w:r>
    </w:p>
    <w:p w14:paraId="7F6E2DFA" w14:textId="77777777" w:rsidR="00D53BB6" w:rsidRPr="00A11D2E" w:rsidRDefault="00000000" w:rsidP="00A11D2E">
      <w:pPr>
        <w:pStyle w:val="Heading2"/>
        <w:spacing w:before="260" w:after="120" w:line="360" w:lineRule="auto"/>
        <w:rPr>
          <w:rFonts w:ascii="Times New Roman" w:hAnsi="Times New Roman" w:cs="Times New Roman"/>
          <w:color w:val="000000" w:themeColor="text1"/>
        </w:rPr>
      </w:pPr>
      <w:r w:rsidRPr="00A11D2E">
        <w:rPr>
          <w:rFonts w:ascii="Times New Roman" w:hAnsi="Times New Roman" w:cs="Times New Roman"/>
          <w:color w:val="000000" w:themeColor="text1"/>
        </w:rPr>
        <w:t>7.3 Activity Diagram</w:t>
      </w:r>
    </w:p>
    <w:p w14:paraId="40E6CFCC" w14:textId="7F958CB8" w:rsidR="00D53BB6" w:rsidRPr="00A11D2E" w:rsidRDefault="00000000" w:rsidP="00A11D2E">
      <w:pPr>
        <w:spacing w:after="160" w:line="360" w:lineRule="auto"/>
        <w:ind w:firstLine="720"/>
        <w:jc w:val="both"/>
        <w:rPr>
          <w:rFonts w:ascii="Times New Roman" w:hAnsi="Times New Roman" w:cs="Times New Roman"/>
          <w:color w:val="000000" w:themeColor="text1"/>
        </w:rPr>
      </w:pPr>
      <w:r w:rsidRPr="00A11D2E">
        <w:rPr>
          <w:rFonts w:ascii="Times New Roman" w:hAnsi="Times New Roman" w:cs="Times New Roman"/>
          <w:color w:val="000000" w:themeColor="text1"/>
        </w:rPr>
        <w:t>The activity diagram below traces the end-to-end workflow an EV owner follows, from logging into the mobile app through to searching, reserving, charging, and paying — including the decision points for slot availability and charging completion.</w:t>
      </w:r>
    </w:p>
    <w:p w14:paraId="71BEA83D" w14:textId="77777777" w:rsidR="00D53BB6" w:rsidRPr="00A11D2E" w:rsidRDefault="00000000" w:rsidP="00A11D2E">
      <w:pPr>
        <w:spacing w:before="160" w:after="80" w:line="360" w:lineRule="auto"/>
        <w:jc w:val="center"/>
        <w:rPr>
          <w:rFonts w:ascii="Times New Roman" w:hAnsi="Times New Roman" w:cs="Times New Roman"/>
          <w:color w:val="000000" w:themeColor="text1"/>
        </w:rPr>
      </w:pPr>
      <w:r w:rsidRPr="00A11D2E">
        <w:rPr>
          <w:rFonts w:ascii="Times New Roman" w:hAnsi="Times New Roman" w:cs="Times New Roman"/>
          <w:noProof/>
          <w:color w:val="000000" w:themeColor="text1"/>
        </w:rPr>
        <w:lastRenderedPageBreak/>
        <w:drawing>
          <wp:inline distT="0" distB="0" distL="0" distR="0" wp14:anchorId="496BAE06" wp14:editId="42FFFC63">
            <wp:extent cx="1981200" cy="6219825"/>
            <wp:effectExtent l="0" t="0" r="0" b="0"/>
            <wp:docPr id="1618344934" name="Picture 161834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81200" cy="6219825"/>
                    </a:xfrm>
                    <a:prstGeom prst="rect">
                      <a:avLst/>
                    </a:prstGeom>
                  </pic:spPr>
                </pic:pic>
              </a:graphicData>
            </a:graphic>
          </wp:inline>
        </w:drawing>
      </w:r>
    </w:p>
    <w:p w14:paraId="3A4911EA" w14:textId="77777777" w:rsidR="00D53BB6" w:rsidRPr="00A11D2E" w:rsidRDefault="00000000" w:rsidP="00A11D2E">
      <w:pPr>
        <w:spacing w:after="240" w:line="360" w:lineRule="auto"/>
        <w:jc w:val="center"/>
        <w:rPr>
          <w:rFonts w:ascii="Times New Roman" w:hAnsi="Times New Roman" w:cs="Times New Roman"/>
          <w:color w:val="000000" w:themeColor="text1"/>
        </w:rPr>
      </w:pPr>
      <w:r w:rsidRPr="00A11D2E">
        <w:rPr>
          <w:rFonts w:ascii="Times New Roman" w:hAnsi="Times New Roman" w:cs="Times New Roman"/>
          <w:i/>
          <w:iCs/>
          <w:color w:val="000000" w:themeColor="text1"/>
          <w:sz w:val="20"/>
          <w:szCs w:val="20"/>
        </w:rPr>
        <w:t>Figure 7.3: UML Activity Diagram (</w:t>
      </w:r>
      <w:proofErr w:type="spellStart"/>
      <w:r w:rsidRPr="00A11D2E">
        <w:rPr>
          <w:rFonts w:ascii="Times New Roman" w:hAnsi="Times New Roman" w:cs="Times New Roman"/>
          <w:i/>
          <w:iCs/>
          <w:color w:val="000000" w:themeColor="text1"/>
          <w:sz w:val="20"/>
          <w:szCs w:val="20"/>
        </w:rPr>
        <w:t>Umbrello</w:t>
      </w:r>
      <w:proofErr w:type="spellEnd"/>
      <w:r w:rsidRPr="00A11D2E">
        <w:rPr>
          <w:rFonts w:ascii="Times New Roman" w:hAnsi="Times New Roman" w:cs="Times New Roman"/>
          <w:i/>
          <w:iCs/>
          <w:color w:val="000000" w:themeColor="text1"/>
          <w:sz w:val="20"/>
          <w:szCs w:val="20"/>
        </w:rPr>
        <w:t>) — EV Charging Workflow</w:t>
      </w:r>
    </w:p>
    <w:sectPr w:rsidR="00D53BB6" w:rsidRPr="00A11D2E">
      <w:headerReference w:type="default" r:id="rId19"/>
      <w:footerReference w:type="default" r:id="rId20"/>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3E6A" w14:textId="77777777" w:rsidR="00024E83" w:rsidRDefault="00024E83">
      <w:r>
        <w:separator/>
      </w:r>
    </w:p>
  </w:endnote>
  <w:endnote w:type="continuationSeparator" w:id="0">
    <w:p w14:paraId="2AE506F0" w14:textId="77777777" w:rsidR="00024E83" w:rsidRDefault="0002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5D47" w14:textId="77777777" w:rsidR="00A11D2E" w:rsidRDefault="00A11D2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737EE7E3" wp14:editId="6692E447">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EC38A1C" w14:textId="77777777" w:rsidR="00A11D2E" w:rsidRDefault="00A11D2E">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737EE7E3"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5EC38A1C" w14:textId="77777777" w:rsidR="00A11D2E" w:rsidRDefault="00A11D2E">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53E0" w14:textId="77777777" w:rsidR="00D53BB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11D2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066F5" w14:textId="77777777" w:rsidR="00024E83" w:rsidRDefault="00024E83">
      <w:r>
        <w:separator/>
      </w:r>
    </w:p>
  </w:footnote>
  <w:footnote w:type="continuationSeparator" w:id="0">
    <w:p w14:paraId="752550B5" w14:textId="77777777" w:rsidR="00024E83" w:rsidRDefault="00024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D942" w14:textId="77777777" w:rsidR="00D53BB6" w:rsidRDefault="00000000">
    <w:pPr>
      <w:jc w:val="right"/>
    </w:pPr>
    <w:r>
      <w:rPr>
        <w:color w:val="888888"/>
        <w:sz w:val="16"/>
        <w:szCs w:val="16"/>
      </w:rPr>
      <w:t>Architecture Design — Smart EV Charging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3414"/>
    <w:multiLevelType w:val="hybridMultilevel"/>
    <w:tmpl w:val="C90AFB7E"/>
    <w:lvl w:ilvl="0" w:tplc="FFFFFFFF">
      <w:start w:val="1"/>
      <w:numFmt w:val="bullet"/>
      <w:lvlText w:val="●"/>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A7B5B92"/>
    <w:multiLevelType w:val="hybridMultilevel"/>
    <w:tmpl w:val="A8B0E998"/>
    <w:lvl w:ilvl="0" w:tplc="030E898E">
      <w:start w:val="1"/>
      <w:numFmt w:val="bullet"/>
      <w:lvlText w:val="●"/>
      <w:lvlJc w:val="left"/>
      <w:pPr>
        <w:ind w:left="720" w:hanging="360"/>
      </w:pPr>
    </w:lvl>
    <w:lvl w:ilvl="1" w:tplc="7F8E0D12">
      <w:start w:val="1"/>
      <w:numFmt w:val="bullet"/>
      <w:lvlText w:val="○"/>
      <w:lvlJc w:val="left"/>
      <w:pPr>
        <w:ind w:left="1440" w:hanging="360"/>
      </w:pPr>
    </w:lvl>
    <w:lvl w:ilvl="2" w:tplc="BDA2A29E">
      <w:start w:val="1"/>
      <w:numFmt w:val="bullet"/>
      <w:lvlText w:val="■"/>
      <w:lvlJc w:val="left"/>
      <w:pPr>
        <w:ind w:left="2160" w:hanging="360"/>
      </w:pPr>
    </w:lvl>
    <w:lvl w:ilvl="3" w:tplc="0F601A76">
      <w:start w:val="1"/>
      <w:numFmt w:val="bullet"/>
      <w:lvlText w:val="●"/>
      <w:lvlJc w:val="left"/>
      <w:pPr>
        <w:ind w:left="2880" w:hanging="360"/>
      </w:pPr>
    </w:lvl>
    <w:lvl w:ilvl="4" w:tplc="5F1A0302">
      <w:start w:val="1"/>
      <w:numFmt w:val="bullet"/>
      <w:lvlText w:val="○"/>
      <w:lvlJc w:val="left"/>
      <w:pPr>
        <w:ind w:left="3600" w:hanging="360"/>
      </w:pPr>
    </w:lvl>
    <w:lvl w:ilvl="5" w:tplc="C738637C">
      <w:start w:val="1"/>
      <w:numFmt w:val="bullet"/>
      <w:lvlText w:val="■"/>
      <w:lvlJc w:val="left"/>
      <w:pPr>
        <w:ind w:left="4320" w:hanging="360"/>
      </w:pPr>
    </w:lvl>
    <w:lvl w:ilvl="6" w:tplc="E81898F8">
      <w:start w:val="1"/>
      <w:numFmt w:val="bullet"/>
      <w:lvlText w:val="●"/>
      <w:lvlJc w:val="left"/>
      <w:pPr>
        <w:ind w:left="5040" w:hanging="360"/>
      </w:pPr>
    </w:lvl>
    <w:lvl w:ilvl="7" w:tplc="DD4C3EF8">
      <w:start w:val="1"/>
      <w:numFmt w:val="bullet"/>
      <w:lvlText w:val="●"/>
      <w:lvlJc w:val="left"/>
      <w:pPr>
        <w:ind w:left="5760" w:hanging="360"/>
      </w:pPr>
    </w:lvl>
    <w:lvl w:ilvl="8" w:tplc="3B42D954">
      <w:start w:val="1"/>
      <w:numFmt w:val="bullet"/>
      <w:lvlText w:val="●"/>
      <w:lvlJc w:val="left"/>
      <w:pPr>
        <w:ind w:left="6480" w:hanging="360"/>
      </w:pPr>
    </w:lvl>
  </w:abstractNum>
  <w:abstractNum w:abstractNumId="2" w15:restartNumberingAfterBreak="0">
    <w:nsid w:val="430438A7"/>
    <w:multiLevelType w:val="hybridMultilevel"/>
    <w:tmpl w:val="25C0AF5E"/>
    <w:lvl w:ilvl="0" w:tplc="FFFFFFFF">
      <w:start w:val="1"/>
      <w:numFmt w:val="bullet"/>
      <w:lvlText w:val="●"/>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61625770">
    <w:abstractNumId w:val="1"/>
    <w:lvlOverride w:ilvl="0">
      <w:startOverride w:val="1"/>
    </w:lvlOverride>
  </w:num>
  <w:num w:numId="2" w16cid:durableId="2137218532">
    <w:abstractNumId w:val="1"/>
  </w:num>
  <w:num w:numId="3" w16cid:durableId="430928653">
    <w:abstractNumId w:val="2"/>
  </w:num>
  <w:num w:numId="4" w16cid:durableId="59664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BB6"/>
    <w:rsid w:val="00024E83"/>
    <w:rsid w:val="000A2DF7"/>
    <w:rsid w:val="00804986"/>
    <w:rsid w:val="00A11D2E"/>
    <w:rsid w:val="00D53B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49F3"/>
  <w15:docId w15:val="{85D2F1A4-9704-45D6-98EF-5B275116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11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11D2E"/>
    <w:rPr>
      <w:color w:val="2E74B5"/>
      <w:sz w:val="32"/>
      <w:szCs w:val="32"/>
    </w:rPr>
  </w:style>
  <w:style w:type="character" w:customStyle="1" w:styleId="TitleChar">
    <w:name w:val="Title Char"/>
    <w:basedOn w:val="DefaultParagraphFont"/>
    <w:link w:val="Title"/>
    <w:uiPriority w:val="1"/>
    <w:rsid w:val="00A11D2E"/>
    <w:rPr>
      <w:sz w:val="56"/>
      <w:szCs w:val="56"/>
    </w:rPr>
  </w:style>
  <w:style w:type="paragraph" w:styleId="BodyText">
    <w:name w:val="Body Text"/>
    <w:basedOn w:val="Normal"/>
    <w:link w:val="BodyTextChar"/>
    <w:uiPriority w:val="1"/>
    <w:qFormat/>
    <w:rsid w:val="00A11D2E"/>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A11D2E"/>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2655</Words>
  <Characters>15135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RAKSHITH R.R</cp:lastModifiedBy>
  <cp:revision>2</cp:revision>
  <dcterms:created xsi:type="dcterms:W3CDTF">2026-08-06T12:49:00Z</dcterms:created>
  <dcterms:modified xsi:type="dcterms:W3CDTF">2026-08-06T12:49:00Z</dcterms:modified>
</cp:coreProperties>
</file>