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6AB2E">
      <w:pPr>
        <w:spacing w:after="263" w:line="259" w:lineRule="auto"/>
        <w:ind w:left="2" w:firstLine="0"/>
        <w:jc w:val="center"/>
        <w:rPr>
          <w:b/>
          <w:sz w:val="28"/>
        </w:rPr>
      </w:pPr>
      <w:r>
        <w:rPr>
          <w:b/>
          <w:sz w:val="28"/>
        </w:rPr>
        <w:t xml:space="preserve"> GROUP ASSIGNMENT</w:t>
      </w:r>
    </w:p>
    <w:p w14:paraId="0287D0F4">
      <w:pPr>
        <w:spacing w:after="263" w:line="259" w:lineRule="auto"/>
        <w:ind w:left="2" w:firstLine="0"/>
        <w:jc w:val="center"/>
        <w:rPr>
          <w:b/>
        </w:rPr>
      </w:pPr>
      <w:r>
        <w:rPr>
          <w:b/>
        </w:rPr>
        <w:t>AI-Based Early Detection of Alzheimer's Disease Using Medical Images</w:t>
      </w:r>
    </w:p>
    <w:p w14:paraId="2F67C462">
      <w:pPr>
        <w:spacing w:after="0" w:line="267" w:lineRule="auto"/>
        <w:ind w:left="-5"/>
      </w:pPr>
      <w:r>
        <w:rPr>
          <w:b/>
        </w:rPr>
        <w:t xml:space="preserve"> A. Assignment Information </w:t>
      </w:r>
    </w:p>
    <w:tbl>
      <w:tblPr>
        <w:tblStyle w:val="13"/>
        <w:tblW w:w="9540" w:type="dxa"/>
        <w:tblInd w:w="8" w:type="dxa"/>
        <w:tblLayout w:type="autofit"/>
        <w:tblCellMar>
          <w:top w:w="0" w:type="dxa"/>
          <w:left w:w="98" w:type="dxa"/>
          <w:bottom w:w="0" w:type="dxa"/>
          <w:right w:w="115" w:type="dxa"/>
        </w:tblCellMar>
      </w:tblPr>
      <w:tblGrid>
        <w:gridCol w:w="3360"/>
        <w:gridCol w:w="6180"/>
      </w:tblGrid>
      <w:tr w14:paraId="6C7E7DE6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810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E5AFBB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 Particular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937865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 Details </w:t>
            </w:r>
          </w:p>
        </w:tc>
      </w:tr>
      <w:tr w14:paraId="40C1C505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BB0DE22">
            <w:pPr>
              <w:spacing w:after="0" w:line="259" w:lineRule="auto"/>
              <w:ind w:left="0" w:firstLine="0"/>
            </w:pPr>
            <w:r>
              <w:t xml:space="preserve"> Department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46A8AC">
            <w:pPr>
              <w:spacing w:after="160" w:line="259" w:lineRule="auto"/>
              <w:ind w:left="0" w:firstLine="0"/>
            </w:pPr>
            <w:r>
              <w:t>Electronics And Communication Engineering</w:t>
            </w:r>
          </w:p>
        </w:tc>
      </w:tr>
      <w:tr w14:paraId="750B5AE1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B0384A">
            <w:pPr>
              <w:spacing w:after="0" w:line="259" w:lineRule="auto"/>
              <w:ind w:left="0" w:firstLine="0"/>
            </w:pPr>
            <w:r>
              <w:t xml:space="preserve"> Programme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6C692A">
            <w:pPr>
              <w:spacing w:after="160" w:line="259" w:lineRule="auto"/>
              <w:ind w:left="0" w:firstLine="0"/>
            </w:pPr>
            <w:r>
              <w:t>B.Tech /B.E</w:t>
            </w:r>
          </w:p>
        </w:tc>
      </w:tr>
      <w:tr w14:paraId="12B02341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AA55C9">
            <w:pPr>
              <w:spacing w:after="0" w:line="259" w:lineRule="auto"/>
              <w:ind w:left="0" w:firstLine="0"/>
            </w:pPr>
            <w:r>
              <w:t xml:space="preserve"> Course Code &amp; Course Name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4A9D729">
            <w:pPr>
              <w:spacing w:after="160" w:line="259" w:lineRule="auto"/>
              <w:ind w:left="0" w:firstLine="0"/>
            </w:pPr>
            <w:r>
              <w:t>CSA1708 &amp; Artificial Intelligence</w:t>
            </w:r>
          </w:p>
        </w:tc>
      </w:tr>
      <w:tr w14:paraId="70886605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45228C">
            <w:pPr>
              <w:spacing w:after="0" w:line="259" w:lineRule="auto"/>
              <w:ind w:left="0" w:firstLine="0"/>
            </w:pPr>
            <w:r>
              <w:t xml:space="preserve"> Academic Year / Batch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4B159A">
            <w:pPr>
              <w:spacing w:after="160" w:line="259" w:lineRule="auto"/>
              <w:ind w:left="0" w:firstLine="0"/>
            </w:pPr>
            <w:r>
              <w:t>2026-2027/ 4th year</w:t>
            </w:r>
          </w:p>
        </w:tc>
      </w:tr>
      <w:tr w14:paraId="51EB5EF6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BECD0C">
            <w:pPr>
              <w:spacing w:after="0" w:line="259" w:lineRule="auto"/>
              <w:ind w:left="0" w:firstLine="0"/>
            </w:pPr>
            <w:r>
              <w:t xml:space="preserve"> Faculty Name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CD0952">
            <w:pPr>
              <w:spacing w:after="160" w:line="259" w:lineRule="auto"/>
              <w:ind w:left="0" w:firstLine="0"/>
            </w:pPr>
            <w:r>
              <w:t>Dr. R. Jeena</w:t>
            </w:r>
          </w:p>
        </w:tc>
      </w:tr>
      <w:tr w14:paraId="78C2A496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A6EAD8">
            <w:pPr>
              <w:spacing w:after="0" w:line="259" w:lineRule="auto"/>
              <w:ind w:left="0" w:firstLine="0"/>
            </w:pPr>
            <w:r>
              <w:t xml:space="preserve"> Assignment Title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8C3464">
            <w:pPr>
              <w:spacing w:after="160" w:line="259" w:lineRule="auto"/>
              <w:ind w:left="0" w:firstLine="0"/>
            </w:pPr>
            <w:r>
              <w:t>AI-Based Early Detection of Alzheimer's Disease Using Medical Images</w:t>
            </w:r>
          </w:p>
        </w:tc>
      </w:tr>
      <w:tr w14:paraId="1308FBCA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30FA8A">
            <w:pPr>
              <w:spacing w:after="0" w:line="259" w:lineRule="auto"/>
              <w:ind w:left="0" w:firstLine="0"/>
            </w:pPr>
            <w:r>
              <w:t xml:space="preserve"> Date of Issue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085747">
            <w:pPr>
              <w:spacing w:after="160" w:line="259" w:lineRule="auto"/>
              <w:ind w:left="0" w:firstLine="0"/>
            </w:pPr>
            <w:r>
              <w:t>01.09.2026</w:t>
            </w:r>
          </w:p>
        </w:tc>
      </w:tr>
      <w:tr w14:paraId="405AA8B3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B02250">
            <w:pPr>
              <w:spacing w:after="0" w:line="259" w:lineRule="auto"/>
              <w:ind w:left="0" w:firstLine="0"/>
            </w:pPr>
            <w:r>
              <w:t xml:space="preserve"> Date of Submission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213E2A">
            <w:pPr>
              <w:spacing w:after="160" w:line="259" w:lineRule="auto"/>
              <w:ind w:left="0" w:firstLine="0"/>
            </w:pPr>
            <w:r>
              <w:t>02.09.2026</w:t>
            </w:r>
          </w:p>
        </w:tc>
      </w:tr>
      <w:tr w14:paraId="35AF14AD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06B3E4">
            <w:pPr>
              <w:spacing w:after="0" w:line="259" w:lineRule="auto"/>
              <w:ind w:left="0" w:firstLine="0"/>
            </w:pPr>
            <w:r>
              <w:t xml:space="preserve"> Maximum Marks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301C01">
            <w:pPr>
              <w:spacing w:after="0" w:line="259" w:lineRule="auto"/>
              <w:ind w:left="3" w:firstLine="0"/>
              <w:jc w:val="center"/>
            </w:pPr>
            <w:r>
              <w:t xml:space="preserve"> 100 </w:t>
            </w:r>
          </w:p>
        </w:tc>
      </w:tr>
      <w:tr w14:paraId="106358F3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B9012C">
            <w:pPr>
              <w:spacing w:after="0" w:line="259" w:lineRule="auto"/>
              <w:ind w:left="0" w:firstLine="0"/>
            </w:pPr>
            <w:r>
              <w:t xml:space="preserve"> Course Outcome(s) – CO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6EC40A">
            <w:pPr>
              <w:spacing w:after="160" w:line="259" w:lineRule="auto"/>
              <w:ind w:left="0" w:firstLine="0"/>
            </w:pPr>
            <w:r>
              <w:t>CO5-AT3</w:t>
            </w:r>
          </w:p>
        </w:tc>
      </w:tr>
      <w:tr w14:paraId="2D68E8D3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582749">
            <w:pPr>
              <w:spacing w:after="0" w:line="259" w:lineRule="auto"/>
              <w:ind w:left="0" w:firstLine="0"/>
            </w:pPr>
            <w:r>
              <w:t xml:space="preserve"> Bloom's Taxonomy Level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E80086">
            <w:pPr>
              <w:spacing w:after="160" w:line="259" w:lineRule="auto"/>
              <w:ind w:left="0" w:firstLine="0"/>
            </w:pPr>
            <w:r>
              <w:t>Formulating, engineering, and assembling the multi-stage detection pipeline, integrating Focal Loss with Squeeze-and-Excitation mechanisms, and developing the end-to-end diagnostic workflow.</w:t>
            </w:r>
          </w:p>
        </w:tc>
      </w:tr>
      <w:tr w14:paraId="0C88FCCA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8BFD2">
            <w:pPr>
              <w:spacing w:after="0" w:line="259" w:lineRule="auto"/>
              <w:ind w:left="0" w:firstLine="0"/>
            </w:pPr>
            <w:r>
              <w:t xml:space="preserve"> SDG Mapping (SDG 1-17)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6A3949C">
            <w:pPr>
              <w:spacing w:after="160" w:line="259" w:lineRule="auto"/>
              <w:ind w:left="0" w:firstLine="0"/>
            </w:pPr>
            <w:r>
              <w:t>Enhance scientific research and upgrade technological capabilities. Demonstrates medical edge-computing innovation by deploying parameter-efficient models (</w:t>
            </w:r>
            <m:oMath>
              <m:r>
                <m:rPr/>
                <w:rPr>
                  <w:rFonts w:ascii="Cambria Math" w:hAnsi="Cambria Math"/>
                </w:rPr>
                <m:t>5.3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M</m:t>
              </m:r>
            </m:oMath>
            <w:r>
              <w:t xml:space="preserve"> parameters) to operate on low-power, localized hospital imaging workstations without massive cloud overhead.</w:t>
            </w:r>
          </w:p>
        </w:tc>
      </w:tr>
      <w:tr w14:paraId="39CE57A5">
        <w:tblPrEx>
          <w:tblCellMar>
            <w:top w:w="0" w:type="dxa"/>
            <w:left w:w="98" w:type="dxa"/>
            <w:bottom w:w="0" w:type="dxa"/>
            <w:right w:w="115" w:type="dxa"/>
          </w:tblCellMar>
        </w:tblPrEx>
        <w:trPr>
          <w:trHeight w:val="555" w:hRule="atLeast"/>
        </w:trPr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569C3C">
            <w:pPr>
              <w:spacing w:after="0" w:line="259" w:lineRule="auto"/>
              <w:ind w:left="0" w:firstLine="0"/>
            </w:pPr>
            <w:r>
              <w:t xml:space="preserve"> Industry / Societal Relevance </w:t>
            </w:r>
          </w:p>
        </w:tc>
        <w:tc>
          <w:tcPr>
            <w:tcW w:w="6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B4953E">
            <w:pPr>
              <w:spacing w:after="160" w:line="259" w:lineRule="auto"/>
              <w:ind w:left="0" w:firstLine="0"/>
            </w:pPr>
            <w:r>
              <w:t>Designed with a sub-10 ms latency and low VRAM footprint (</w:t>
            </w:r>
            <m:oMath>
              <m:r>
                <m:rPr/>
                <w:rPr>
                  <w:rFonts w:ascii="Cambria Math" w:hAnsi="Cambria Math"/>
                </w:rPr>
                <m:t>≤4.1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 GB</m:t>
              </m:r>
            </m:oMath>
            <w:r>
              <w:t>), allowing local deployment on standard hospital PACS (Picture Archiving and Communication System) hardware rather than requiring specialized computing clusters.</w:t>
            </w:r>
          </w:p>
        </w:tc>
      </w:tr>
    </w:tbl>
    <w:p w14:paraId="6BE430F4">
      <w:pPr>
        <w:pStyle w:val="2"/>
        <w:ind w:left="0" w:firstLine="0"/>
      </w:pPr>
    </w:p>
    <w:p w14:paraId="51511C72">
      <w:pPr>
        <w:pStyle w:val="2"/>
        <w:ind w:left="0" w:firstLine="0"/>
      </w:pPr>
    </w:p>
    <w:p w14:paraId="3C0532E7">
      <w:pPr>
        <w:pStyle w:val="2"/>
        <w:ind w:left="0" w:firstLine="0"/>
      </w:pPr>
      <w:r>
        <w:t xml:space="preserve">B. Assignment Problem / Challenge </w:t>
      </w:r>
    </w:p>
    <w:p w14:paraId="1E7FB023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>Design, optimize, and mathematically formalize an end-to-end Deep Learning Computer Vision framework for the early-stage differential diagnosis of Alzheimer’s Disease (AD) and Mild Cognitive Impairment (MCI) using multi-sequence Structural Magnetic Resonance Imaging (sMRI).</w:t>
      </w:r>
    </w:p>
    <w:p w14:paraId="53D2A068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>The framework must overcome severe clinical bottlenecks: high dimensional-to-sample-size ratio, severe inter-class visual similarities between healthy senescence and early neurodegeneration, acquisition variations across multi-center scanning hardware, and the critical need for spatial transparency in clinical diagnostics.</w:t>
      </w:r>
    </w:p>
    <w:p w14:paraId="10F931F3">
      <w:pPr>
        <w:pStyle w:val="2"/>
        <w:ind w:left="-5"/>
        <w:rPr>
          <w:b w:val="0"/>
          <w:bCs/>
          <w:sz w:val="24"/>
        </w:rPr>
      </w:pPr>
      <w:r>
        <w:t xml:space="preserve">C. Problem Statement </w:t>
      </w:r>
    </w:p>
    <w:p w14:paraId="74DD2356">
      <w:pPr>
        <w:pStyle w:val="2"/>
        <w:ind w:left="-5"/>
        <w:rPr>
          <w:bCs/>
        </w:rPr>
      </w:pPr>
      <w:r>
        <w:rPr>
          <w:bCs/>
        </w:rPr>
        <w:t>Clinical and Computational Context</w:t>
      </w:r>
    </w:p>
    <w:p w14:paraId="62A197AC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Alzheimer’s Disease (AD) is a </w:t>
      </w:r>
      <w:r>
        <w:rPr>
          <w:rFonts w:hint="default"/>
          <w:b w:val="0"/>
          <w:bCs/>
          <w:sz w:val="24"/>
          <w:lang/>
        </w:rPr>
        <w:t>-</w:t>
      </w:r>
      <w:r>
        <w:rPr>
          <w:b w:val="0"/>
          <w:bCs/>
          <w:sz w:val="24"/>
        </w:rPr>
        <w:t>progressive neurodegenerative disorder marked pathologically by extracellular amyloid-</w:t>
      </w:r>
      <m:oMath>
        <m:r>
          <m:rPr/>
          <w:rPr>
            <w:rFonts w:ascii="Cambria Math" w:hAnsi="Cambria Math"/>
            <w:sz w:val="24"/>
          </w:rPr>
          <m:t>β</m:t>
        </m:r>
      </m:oMath>
      <w:r>
        <w:rPr>
          <w:b w:val="0"/>
          <w:bCs/>
          <w:sz w:val="24"/>
        </w:rPr>
        <w:t xml:space="preserve"> plaques, intracellular neurofibrillary tangles (hyperphosphorylated tau protein), and widespread synaptic disruption. While macroscopic cortical atrophy is evident in late-stage dementia, early microscopic neurodegeneration—predominantly concentrated in the transentorhinal cortex and the CA1 subfield of the hippocampus—exhibits subtle geometric and intensity variations on T1-weighted sMRI that are difficult to detect visually.</w:t>
      </w:r>
    </w:p>
    <w:p w14:paraId="6C447E05">
      <w:pPr>
        <w:pStyle w:val="2"/>
        <w:ind w:left="-5"/>
        <w:rPr>
          <w:sz w:val="24"/>
        </w:rPr>
      </w:pPr>
      <w:r>
        <w:rPr>
          <w:sz w:val="24"/>
        </w:rPr>
        <w:t>Formal Problem Formulation</w:t>
      </w:r>
    </w:p>
    <w:p w14:paraId="1AA36C2C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Let the diagnostic dataset be denoted as 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</w:rPr>
          <m:t>D</m:t>
        </m:r>
        <m:r>
          <m:rPr/>
          <w:rPr>
            <w:rFonts w:ascii="Cambria Math" w:hAnsi="Cambria Math"/>
            <w:sz w:val="24"/>
          </w:rPr>
          <m:t>=</m:t>
        </m:r>
        <m:sSubSup>
          <m:sSubSup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b w:val="0"/>
                    <w:bCs/>
                    <w:sz w:val="24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b w:val="0"/>
                        <w:bCs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z w:val="24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b w:val="0"/>
                            <w:bCs/>
                            <w:sz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b w:val="0"/>
                        <w:bCs/>
                        <w:sz w:val="24"/>
                      </w:rPr>
                    </m:ctrlPr>
                  </m:e>
                </m:d>
                <m:ctrlPr>
                  <w:rPr>
                    <w:rFonts w:ascii="Cambria Math" w:hAnsi="Cambria Math"/>
                    <w:b w:val="0"/>
                    <w:bCs/>
                    <w:sz w:val="24"/>
                  </w:rPr>
                </m:ctrlPr>
              </m:e>
            </m:d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i=1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p>
        </m:sSubSup>
      </m:oMath>
      <w:r>
        <w:rPr>
          <w:b w:val="0"/>
          <w:bCs/>
          <w:sz w:val="24"/>
        </w:rPr>
        <w:t>, where:</w:t>
      </w:r>
    </w:p>
    <w:p w14:paraId="0A798C42">
      <w:pPr>
        <w:pStyle w:val="2"/>
        <w:numPr>
          <w:ilvl w:val="0"/>
          <w:numId w:val="1"/>
        </w:numPr>
        <w:rPr>
          <w:b w:val="0"/>
          <w:bCs/>
          <w:sz w:val="24"/>
        </w:rPr>
      </w:pP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</w:rPr>
              <m:t>ℝ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H×W×D×C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p>
        </m:sSup>
      </m:oMath>
      <w:r>
        <w:rPr>
          <w:b w:val="0"/>
          <w:bCs/>
          <w:sz w:val="24"/>
        </w:rPr>
        <w:t xml:space="preserve"> represents an </w:t>
      </w:r>
      <m:oMath>
        <m:r>
          <m:rPr/>
          <w:rPr>
            <w:rFonts w:ascii="Cambria Math" w:hAnsi="Cambria Math"/>
            <w:sz w:val="24"/>
          </w:rPr>
          <m:t>s</m:t>
        </m:r>
        <m:r>
          <m:rPr>
            <m:nor/>
            <m:sty m:val="p"/>
          </m:rPr>
          <w:rPr>
            <w:b w:val="0"/>
            <w:bCs/>
            <w:i w:val="0"/>
            <w:sz w:val="24"/>
          </w:rPr>
          <m:t>MRI</m:t>
        </m:r>
      </m:oMath>
      <w:r>
        <w:rPr>
          <w:b w:val="0"/>
          <w:bCs/>
          <w:sz w:val="24"/>
        </w:rPr>
        <w:t xml:space="preserve"> tensor volume with spatial dimensions </w:t>
      </w:r>
      <m:oMath>
        <m:r>
          <m:rPr/>
          <w:rPr>
            <w:rFonts w:ascii="Cambria Math" w:hAnsi="Cambria Math"/>
            <w:sz w:val="24"/>
          </w:rPr>
          <m:t>H×W×D</m:t>
        </m:r>
      </m:oMath>
      <w:r>
        <w:rPr>
          <w:b w:val="0"/>
          <w:bCs/>
          <w:sz w:val="24"/>
        </w:rPr>
        <w:t xml:space="preserve"> (height, width, depth/slices) and channel depth </w:t>
      </w:r>
      <m:oMath>
        <m:r>
          <m:rPr/>
          <w:rPr>
            <w:rFonts w:ascii="Cambria Math" w:hAnsi="Cambria Math"/>
            <w:sz w:val="24"/>
          </w:rPr>
          <m:t>C</m:t>
        </m:r>
      </m:oMath>
      <w:r>
        <w:rPr>
          <w:b w:val="0"/>
          <w:bCs/>
          <w:sz w:val="24"/>
        </w:rPr>
        <w:t xml:space="preserve"> (e.g., structural contrasts).</w:t>
      </w:r>
    </w:p>
    <w:p w14:paraId="74068342">
      <w:pPr>
        <w:pStyle w:val="2"/>
        <w:numPr>
          <w:ilvl w:val="0"/>
          <w:numId w:val="1"/>
        </w:numPr>
        <w:rPr>
          <w:b w:val="0"/>
          <w:bCs/>
          <w:sz w:val="24"/>
        </w:rPr>
      </w:pP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∈</m:t>
        </m:r>
        <m:r>
          <m:rPr>
            <m:sty m:val="p"/>
            <m:scr m:val="script"/>
          </m:rPr>
          <w:rPr>
            <w:rFonts w:ascii="Cambria Math" w:hAnsi="Cambria Math"/>
            <w:sz w:val="24"/>
          </w:rPr>
          <m:t>Y</m:t>
        </m:r>
        <m:r>
          <m:rPr/>
          <w:rPr>
            <w:rFonts w:ascii="Cambria Math" w:hAnsi="Cambria Math"/>
            <w:sz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 w:val="0"/>
                <w:bCs/>
                <w:sz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>0,1,2,3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</m:d>
      </m:oMath>
      <w:r>
        <w:rPr>
          <w:b w:val="0"/>
          <w:bCs/>
          <w:sz w:val="24"/>
        </w:rPr>
        <w:t xml:space="preserve"> corresponds to the discrete ordinal disease trajectory:</w:t>
      </w:r>
    </w:p>
    <w:p w14:paraId="38E67F87">
      <w:pPr>
        <w:pStyle w:val="2"/>
        <w:numPr>
          <w:ilvl w:val="1"/>
          <w:numId w:val="1"/>
        </w:numPr>
        <w:rPr>
          <w:b w:val="0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y=0</m:t>
        </m:r>
      </m:oMath>
      <w:r>
        <w:rPr>
          <w:b w:val="0"/>
          <w:bCs/>
          <w:sz w:val="24"/>
        </w:rPr>
        <w:t>: Normal Cognition / Non-Demented (NC)</w:t>
      </w:r>
    </w:p>
    <w:p w14:paraId="7DB71DF4">
      <w:pPr>
        <w:pStyle w:val="2"/>
        <w:numPr>
          <w:ilvl w:val="1"/>
          <w:numId w:val="1"/>
        </w:numPr>
        <w:rPr>
          <w:b w:val="0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y=1</m:t>
        </m:r>
      </m:oMath>
      <w:r>
        <w:rPr>
          <w:b w:val="0"/>
          <w:bCs/>
          <w:sz w:val="24"/>
        </w:rPr>
        <w:t>: Very Mild Cognitive Impairment / Early MCI (VMCI)</w:t>
      </w:r>
    </w:p>
    <w:p w14:paraId="75051784">
      <w:pPr>
        <w:pStyle w:val="2"/>
        <w:numPr>
          <w:ilvl w:val="1"/>
          <w:numId w:val="1"/>
        </w:numPr>
        <w:rPr>
          <w:b w:val="0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y=2</m:t>
        </m:r>
      </m:oMath>
      <w:r>
        <w:rPr>
          <w:b w:val="0"/>
          <w:bCs/>
          <w:sz w:val="24"/>
        </w:rPr>
        <w:t>: Mild Cognitive Impairment / Late MCI (MCI)</w:t>
      </w:r>
    </w:p>
    <w:p w14:paraId="5F642926">
      <w:pPr>
        <w:pStyle w:val="2"/>
        <w:numPr>
          <w:ilvl w:val="1"/>
          <w:numId w:val="1"/>
        </w:numPr>
        <w:rPr>
          <w:b w:val="0"/>
          <w:bCs/>
          <w:sz w:val="24"/>
        </w:rPr>
      </w:pPr>
      <m:oMath>
        <m:r>
          <m:rPr/>
          <w:rPr>
            <w:rFonts w:ascii="Cambria Math" w:hAnsi="Cambria Math"/>
            <w:sz w:val="24"/>
          </w:rPr>
          <m:t>y=3</m:t>
        </m:r>
      </m:oMath>
      <w:r>
        <w:rPr>
          <w:b w:val="0"/>
          <w:bCs/>
          <w:sz w:val="24"/>
        </w:rPr>
        <w:t>: Moderate/Severe Alzheimer’s Dementia (AD)</w:t>
      </w:r>
    </w:p>
    <w:p w14:paraId="208B7CEF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The mathematical objective is to parameterize a non-linear mapping hypothesis </w:t>
      </w: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:</m:t>
        </m:r>
        <m:r>
          <m:rPr>
            <m:sty m:val="p"/>
            <m:scr m:val="script"/>
          </m:rPr>
          <w:rPr>
            <w:rFonts w:ascii="Cambria Math" w:hAnsi="Cambria Math"/>
            <w:sz w:val="24"/>
          </w:rPr>
          <m:t>X</m:t>
        </m:r>
        <m:r>
          <m:rPr/>
          <w:rPr>
            <w:rFonts w:ascii="Cambria Math" w:hAnsi="Cambria Math"/>
            <w:sz w:val="24"/>
          </w:rPr>
          <m:t>→</m:t>
        </m:r>
        <m:r>
          <m:rPr>
            <m:sty m:val="p"/>
            <m:scr m:val="script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b w:val="0"/>
                <w:bCs/>
                <w:sz w:val="24"/>
              </w:rPr>
            </m:ctrlPr>
          </m:d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</m:d>
      </m:oMath>
      <w:r>
        <w:rPr>
          <w:b w:val="0"/>
          <w:bCs/>
          <w:sz w:val="24"/>
        </w:rPr>
        <w:t xml:space="preserve">, parameterized by weights </w:t>
      </w:r>
      <m:oMath>
        <m:r>
          <m:rPr/>
          <w:rPr>
            <w:rFonts w:ascii="Cambria Math" w:hAnsi="Cambria Math"/>
            <w:sz w:val="24"/>
          </w:rPr>
          <m:t>θ∈</m:t>
        </m:r>
        <m:r>
          <m:rPr>
            <m:sty m:val="p"/>
          </m:rPr>
          <w:rPr>
            <w:rFonts w:ascii="Cambria Math" w:hAnsi="Cambria Math"/>
            <w:sz w:val="24"/>
          </w:rPr>
          <m:t>Θ</m:t>
        </m:r>
      </m:oMath>
      <w:r>
        <w:rPr>
          <w:b w:val="0"/>
          <w:bCs/>
          <w:sz w:val="24"/>
        </w:rPr>
        <w:t xml:space="preserve">, which maps the input MRI manifold to a conditional probability simplex </w:t>
      </w:r>
      <m:oMath>
        <m:sSup>
          <m:sSup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Δ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p>
        </m:sSup>
      </m:oMath>
      <w:r>
        <w:rPr>
          <w:b w:val="0"/>
          <w:bCs/>
          <w:sz w:val="24"/>
        </w:rPr>
        <w:t>:</w:t>
      </w:r>
    </w:p>
    <w:p w14:paraId="2244A668">
      <w:pPr>
        <w:pStyle w:val="2"/>
        <w:ind w:left="-5"/>
      </w:pPr>
      <m:oMathPara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y=c∣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;θ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exp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z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;θ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)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k=0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exp</m:t>
                      </m:r>
                      <m:ctrlPr>
                        <w:rPr>
                          <w:rFonts w:ascii="Cambria Math" w:hAnsi="Cambria Math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z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;θ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)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den>
          </m:f>
        </m:oMath>
      </m:oMathPara>
    </w:p>
    <w:p w14:paraId="3EB0A57E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where </w:t>
      </w: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z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</m:sSub>
      </m:oMath>
      <w:r>
        <w:rPr>
          <w:b w:val="0"/>
          <w:bCs/>
          <w:sz w:val="24"/>
        </w:rPr>
        <w:t xml:space="preserve"> represents the unnormalized logit score for class </w:t>
      </w:r>
      <m:oMath>
        <m:r>
          <m:rPr/>
          <w:rPr>
            <w:rFonts w:ascii="Cambria Math" w:hAnsi="Cambria Math"/>
            <w:sz w:val="24"/>
          </w:rPr>
          <m:t>c</m:t>
        </m:r>
      </m:oMath>
      <w:r>
        <w:rPr>
          <w:b w:val="0"/>
          <w:bCs/>
          <w:sz w:val="24"/>
        </w:rPr>
        <w:t>.</w:t>
      </w:r>
    </w:p>
    <w:p w14:paraId="048D90B7">
      <w:pPr>
        <w:pStyle w:val="2"/>
        <w:ind w:left="-5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The system must output this class probability vector while simultaneously constructing an interpretable spatial attribution map </w:t>
      </w:r>
      <m:oMath>
        <m:sSub>
          <m:sSub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</w:rPr>
              <m:t>ℳ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b>
        </m:sSub>
        <m:d>
          <m:dPr>
            <m:ctrlPr>
              <w:rPr>
                <w:rFonts w:ascii="Cambria Math" w:hAnsi="Cambria Math"/>
                <w:b w:val="0"/>
                <w:bCs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b w:val="0"/>
                <w:bCs/>
                <w:sz w:val="24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</w:rPr>
              <m:t>ℝ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H×W×D</m:t>
            </m:r>
            <m:ctrlPr>
              <w:rPr>
                <w:rFonts w:ascii="Cambria Math" w:hAnsi="Cambria Math"/>
                <w:b w:val="0"/>
                <w:bCs/>
                <w:sz w:val="24"/>
              </w:rPr>
            </m:ctrlPr>
          </m:sup>
        </m:sSup>
      </m:oMath>
      <w:r>
        <w:rPr>
          <w:b w:val="0"/>
          <w:bCs/>
          <w:sz w:val="24"/>
        </w:rPr>
        <w:t xml:space="preserve"> that satisfies axial fidelity with localized neuropathological degeneration.</w:t>
      </w:r>
    </w:p>
    <w:p w14:paraId="37013783">
      <w:pPr>
        <w:pStyle w:val="2"/>
        <w:ind w:left="-5"/>
        <w:rPr>
          <w:sz w:val="24"/>
        </w:rPr>
      </w:pPr>
      <w:r>
        <w:rPr>
          <w:sz w:val="24"/>
        </w:rPr>
        <w:t xml:space="preserve">D. Requirements and Constraints  </w:t>
      </w:r>
    </w:p>
    <w:p w14:paraId="74E8A26C">
      <w:pPr>
        <w:spacing w:after="246"/>
        <w:ind w:left="0" w:firstLine="0"/>
      </w:pPr>
      <w:r>
        <w:t xml:space="preserve">                           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3"/>
      </w:tblGrid>
      <w:tr w14:paraId="1D8A4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5FF38D8D">
            <w:pPr>
              <w:spacing w:after="246"/>
              <w:ind w:left="0" w:firstLine="0"/>
              <w:jc w:val="center"/>
            </w:pPr>
            <w:r>
              <w:t>SYSTEM CONSTRAINTS</w:t>
            </w:r>
          </w:p>
        </w:tc>
      </w:tr>
      <w:tr w14:paraId="4EE74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5CA55CD5">
            <w:pPr>
              <w:spacing w:after="246"/>
              <w:ind w:left="0" w:firstLine="0"/>
            </w:pPr>
            <w:r>
              <w:t xml:space="preserve">│ Operational / Compute   │ Clinical &amp; Diagnostic        │ Regulatory &amp; Compliance </w:t>
            </w:r>
          </w:p>
        </w:tc>
      </w:tr>
      <w:tr w14:paraId="0602A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1962FFF9">
            <w:pPr>
              <w:spacing w:after="246"/>
              <w:ind w:left="0" w:firstLine="0"/>
            </w:pPr>
            <w:r>
              <w:t xml:space="preserve">│ • VRAM ≤ 16 GB          │ • Sensitivity (VMCI) ≥ 88%   │ • Full HIPAA/GDPR PHI   </w:t>
            </w:r>
          </w:p>
        </w:tc>
      </w:tr>
      <w:tr w14:paraId="17250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2E15D8A5">
            <w:pPr>
              <w:spacing w:after="246"/>
              <w:ind w:left="0" w:firstLine="0"/>
            </w:pPr>
            <w:r>
              <w:t xml:space="preserve">│ • Inference ≤ 1.5s/vol  │ • Specificity (NC) ≥ 92%     │   De-identification     </w:t>
            </w:r>
          </w:p>
        </w:tc>
      </w:tr>
      <w:tr w14:paraId="3573C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01DA797F">
            <w:pPr>
              <w:spacing w:after="246"/>
              <w:ind w:left="0" w:firstLine="0"/>
            </w:pPr>
            <w:r>
              <w:t xml:space="preserve">│ • Zero slice-leakage    │ • Grad-CAM localization in   │ • Open-source framework </w:t>
            </w:r>
          </w:p>
        </w:tc>
      </w:tr>
      <w:tr w14:paraId="4DC7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34AF8D2A">
            <w:pPr>
              <w:spacing w:after="246"/>
              <w:ind w:left="0" w:firstLine="0"/>
            </w:pPr>
            <w:r>
              <w:t xml:space="preserve">│   across patients       │   Medial Temporal Lobe (MTL) │   (PyTorch / TorchIO)   </w:t>
            </w:r>
          </w:p>
        </w:tc>
      </w:tr>
    </w:tbl>
    <w:p w14:paraId="4B746681">
      <w:pPr>
        <w:spacing w:after="246"/>
      </w:pPr>
    </w:p>
    <w:p w14:paraId="4B8D4638">
      <w:pPr>
        <w:spacing w:after="246"/>
        <w:rPr>
          <w:b/>
          <w:bCs/>
        </w:rPr>
      </w:pPr>
      <w:r>
        <w:rPr>
          <w:b/>
          <w:bCs/>
        </w:rPr>
        <w:t>1. Functional &amp; Diagnostic Requirements</w:t>
      </w:r>
    </w:p>
    <w:p w14:paraId="05CBA6A4">
      <w:pPr>
        <w:numPr>
          <w:ilvl w:val="0"/>
          <w:numId w:val="2"/>
        </w:numPr>
        <w:spacing w:after="246"/>
      </w:pPr>
      <w:r>
        <w:rPr>
          <w:b/>
          <w:bCs/>
        </w:rPr>
        <w:t>Hierarchical Prediction:</w:t>
      </w:r>
      <w:r>
        <w:t xml:space="preserve"> Accurate inference across four clinical categories with dedicated tracking of the binary boundary between NC (</w:t>
      </w:r>
      <m:oMath>
        <m:r>
          <m:rPr/>
          <w:rPr>
            <w:rFonts w:ascii="Cambria Math" w:hAnsi="Cambria Math"/>
          </w:rPr>
          <m:t>y=0</m:t>
        </m:r>
      </m:oMath>
      <w:r>
        <w:t>) and VMCI (</w:t>
      </w:r>
      <m:oMath>
        <m:r>
          <m:rPr/>
          <w:rPr>
            <w:rFonts w:ascii="Cambria Math" w:hAnsi="Cambria Math"/>
          </w:rPr>
          <m:t>y=1</m:t>
        </m:r>
      </m:oMath>
      <w:r>
        <w:t>).</w:t>
      </w:r>
    </w:p>
    <w:p w14:paraId="70C4A250">
      <w:pPr>
        <w:numPr>
          <w:ilvl w:val="0"/>
          <w:numId w:val="2"/>
        </w:numPr>
        <w:spacing w:after="246"/>
      </w:pPr>
      <w:r>
        <w:rPr>
          <w:b/>
          <w:bCs/>
        </w:rPr>
        <w:t>Anatomical Explainability:</w:t>
      </w:r>
      <w:r>
        <w:t xml:space="preserve"> Automatic extraction of 2D/3D visual saliency maps highlighting voxel clusters whose differential activations govern class assignment.</w:t>
      </w:r>
    </w:p>
    <w:p w14:paraId="4293D4DE">
      <w:pPr>
        <w:numPr>
          <w:ilvl w:val="0"/>
          <w:numId w:val="2"/>
        </w:numPr>
        <w:spacing w:after="246"/>
      </w:pPr>
      <w:r>
        <w:rPr>
          <w:b/>
          <w:bCs/>
        </w:rPr>
        <w:t>Uncertainty Quantification:</w:t>
      </w:r>
      <w:r>
        <w:t xml:space="preserve"> Calculation of predictive entropy </w:t>
      </w:r>
      <m:oMath>
        <m:r>
          <m:rPr>
            <m:sty m:val="p"/>
            <m:scr m:val="script"/>
          </m:rPr>
          <w:rPr>
            <w:rFonts w:ascii="Cambria Math" w:hAnsi="Cambria Math"/>
          </w:rPr>
          <m:t>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y∣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=−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nary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y=c∣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</w:rPr>
            </m:ctrlPr>
          </m:fName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</m:func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y=c∣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to flag ambiguous scans for mandatory secondary radiologist review.</w:t>
      </w:r>
    </w:p>
    <w:p w14:paraId="3C5A2197">
      <w:pPr>
        <w:spacing w:after="246"/>
        <w:rPr>
          <w:b/>
          <w:bCs/>
        </w:rPr>
      </w:pPr>
      <w:r>
        <w:rPr>
          <w:b/>
          <w:bCs/>
        </w:rPr>
        <w:t>2. Engineering &amp; Technical Constraints</w:t>
      </w:r>
    </w:p>
    <w:p w14:paraId="68C768A2">
      <w:pPr>
        <w:numPr>
          <w:ilvl w:val="0"/>
          <w:numId w:val="3"/>
        </w:numPr>
        <w:spacing w:after="246"/>
      </w:pPr>
      <w:r>
        <w:rPr>
          <w:b/>
          <w:bCs/>
        </w:rPr>
        <w:t>Compute Budget:</w:t>
      </w:r>
      <w:r>
        <w:t xml:space="preserve"> Training and inference bounded by single-GPU hardware configurations (e.g., NVIDIA RTX 4090 / A5000 with </w:t>
      </w:r>
      <m:oMath>
        <m:r>
          <m:rPr/>
          <w:rPr>
            <w:rFonts w:ascii="Cambria Math" w:hAnsi="Cambria Math"/>
          </w:rPr>
          <m:t>≤24</m:t>
        </m:r>
        <m:r>
          <m:rPr>
            <m:nor/>
            <m:sty m:val="p"/>
          </m:rPr>
          <w:rPr>
            <w:b w:val="0"/>
            <w:i w:val="0"/>
          </w:rPr>
          <m:t> GB</m:t>
        </m:r>
      </m:oMath>
      <w:r>
        <w:t xml:space="preserve"> VRAM; test-time deployment targets standard </w:t>
      </w:r>
      <m:oMath>
        <m:r>
          <m:rPr/>
          <w:rPr>
            <w:rFonts w:ascii="Cambria Math" w:hAnsi="Cambria Math"/>
          </w:rPr>
          <m:t>≤16</m:t>
        </m:r>
        <m:r>
          <m:rPr>
            <m:nor/>
            <m:sty m:val="p"/>
          </m:rPr>
          <w:rPr>
            <w:b w:val="0"/>
            <w:i w:val="0"/>
          </w:rPr>
          <m:t> GB</m:t>
        </m:r>
      </m:oMath>
      <w:r>
        <w:t xml:space="preserve"> institutional workstations).</w:t>
      </w:r>
    </w:p>
    <w:p w14:paraId="4505F355">
      <w:pPr>
        <w:numPr>
          <w:ilvl w:val="0"/>
          <w:numId w:val="3"/>
        </w:numPr>
        <w:spacing w:after="246"/>
      </w:pPr>
      <w:r>
        <w:rPr>
          <w:b/>
          <w:bCs/>
        </w:rPr>
        <w:t>Batch Pipeline Latency:</w:t>
      </w:r>
      <w:r>
        <w:t xml:space="preserve"> End-to-end inference budget (pre-processing + forward pass + visual heatmap generation) must remain strictly under </w:t>
      </w:r>
      <m:oMath>
        <m:r>
          <m:rPr/>
          <w:rPr>
            <w:rFonts w:ascii="Cambria Math" w:hAnsi="Cambria Math"/>
          </w:rPr>
          <m:t>1.5</m:t>
        </m:r>
        <m:r>
          <m:rPr>
            <m:nor/>
            <m:sty m:val="p"/>
          </m:rPr>
          <w:rPr>
            <w:b w:val="0"/>
            <w:i w:val="0"/>
          </w:rPr>
          <m:t> seconds</m:t>
        </m:r>
      </m:oMath>
      <w:r>
        <w:t xml:space="preserve"> per volume.</w:t>
      </w:r>
    </w:p>
    <w:p w14:paraId="1054CD9D">
      <w:pPr>
        <w:numPr>
          <w:ilvl w:val="0"/>
          <w:numId w:val="3"/>
        </w:numPr>
        <w:spacing w:after="246"/>
      </w:pPr>
      <w:r>
        <w:rPr>
          <w:b/>
          <w:bCs/>
        </w:rPr>
        <w:t>Resolution and Memory Trade-off:</w:t>
      </w:r>
      <w:r>
        <w:t xml:space="preserve"> High-resolution volumetric 3D MRI (</w:t>
      </w:r>
      <m:oMath>
        <m:r>
          <m:rPr/>
          <w:rPr>
            <w:rFonts w:ascii="Cambria Math" w:hAnsi="Cambria Math"/>
          </w:rPr>
          <m:t>256×256×176</m:t>
        </m:r>
      </m:oMath>
      <w:r>
        <w:t>) rapidly exhausts GPU memory during backpropagation. The architecture must balance downsampling strategies against loss of fine hippocampal granular layers.</w:t>
      </w:r>
    </w:p>
    <w:p w14:paraId="30A00C00">
      <w:pPr>
        <w:spacing w:after="246"/>
        <w:rPr>
          <w:b/>
          <w:bCs/>
        </w:rPr>
      </w:pPr>
    </w:p>
    <w:p w14:paraId="201D9B98">
      <w:pPr>
        <w:spacing w:after="246"/>
        <w:rPr>
          <w:b/>
          <w:bCs/>
        </w:rPr>
      </w:pPr>
    </w:p>
    <w:p w14:paraId="2060A953">
      <w:pPr>
        <w:spacing w:after="246"/>
        <w:rPr>
          <w:b/>
          <w:bCs/>
        </w:rPr>
      </w:pPr>
      <w:r>
        <w:rPr>
          <w:b/>
          <w:bCs/>
        </w:rPr>
        <w:t>3. Ethical, Legal, and Data Standards</w:t>
      </w:r>
    </w:p>
    <w:p w14:paraId="374C8BDA">
      <w:pPr>
        <w:numPr>
          <w:ilvl w:val="0"/>
          <w:numId w:val="4"/>
        </w:numPr>
        <w:spacing w:after="246"/>
      </w:pPr>
      <w:r>
        <w:rPr>
          <w:b/>
          <w:bCs/>
        </w:rPr>
        <w:t>HIPAA / GDPR Anonymization:</w:t>
      </w:r>
      <w:r>
        <w:t xml:space="preserve"> Complete stripping of all DICOM tag headers containing metadata (Patient Name, Patient ID, Acquisition Facility, Exact Age, Study Date) prior to tensor conversion.</w:t>
      </w:r>
    </w:p>
    <w:p w14:paraId="0E9DF49A">
      <w:pPr>
        <w:numPr>
          <w:ilvl w:val="0"/>
          <w:numId w:val="4"/>
        </w:numPr>
        <w:spacing w:after="246"/>
      </w:pPr>
      <w:r>
        <w:rPr>
          <w:b/>
          <w:bCs/>
        </w:rPr>
        <w:t>Algorithmic Parity:</w:t>
      </w:r>
      <w:r>
        <w:t xml:space="preserve"> Error rates must not diverge statistically across sex (Male vs. Female cohorts) or scanner magnetic field strength (</w:t>
      </w:r>
      <m:oMath>
        <m:r>
          <m:rPr/>
          <w:rPr>
            <w:rFonts w:ascii="Cambria Math" w:hAnsi="Cambria Math"/>
          </w:rPr>
          <m:t>1.5</m:t>
        </m:r>
        <m:r>
          <m:rPr>
            <m:nor/>
            <m:sty m:val="p"/>
          </m:rPr>
          <w:rPr>
            <w:b w:val="0"/>
            <w:i w:val="0"/>
          </w:rPr>
          <m:t> T</m:t>
        </m:r>
      </m:oMath>
      <w:r>
        <w:t xml:space="preserve"> vs. </w:t>
      </w:r>
      <m:oMath>
        <m:r>
          <m:rPr/>
          <w:rPr>
            <w:rFonts w:ascii="Cambria Math" w:hAnsi="Cambria Math"/>
          </w:rPr>
          <m:t>3.0</m:t>
        </m:r>
        <m:r>
          <m:rPr>
            <m:nor/>
            <m:sty m:val="p"/>
          </m:rPr>
          <w:rPr>
            <w:b w:val="0"/>
            <w:i w:val="0"/>
          </w:rPr>
          <m:t> T</m:t>
        </m:r>
      </m:oMath>
      <w:r>
        <w:t>).</w:t>
      </w:r>
    </w:p>
    <w:p w14:paraId="3895C68C">
      <w:pPr>
        <w:spacing w:after="246"/>
        <w:rPr>
          <w:b/>
          <w:bCs/>
        </w:rPr>
      </w:pPr>
      <w:r>
        <w:rPr>
          <w:b/>
          <w:bCs/>
        </w:rPr>
        <w:t xml:space="preserve"> E. Student Work </w:t>
      </w:r>
    </w:p>
    <w:p w14:paraId="721B3BFB">
      <w:pPr>
        <w:spacing w:after="254"/>
        <w:rPr>
          <w:b/>
          <w:bCs/>
        </w:rPr>
      </w:pPr>
      <w:r>
        <w:t xml:space="preserve"> </w:t>
      </w:r>
      <w:r>
        <w:rPr>
          <w:b/>
          <w:bCs/>
        </w:rPr>
        <w:t>1. Problem Understanding and Formulation</w:t>
      </w:r>
    </w:p>
    <w:p w14:paraId="19D90844">
      <w:pPr>
        <w:spacing w:after="254"/>
        <w:rPr>
          <w:b/>
          <w:bCs/>
        </w:rPr>
      </w:pPr>
      <w:r>
        <w:rPr>
          <w:b/>
          <w:bCs/>
        </w:rPr>
        <w:t>Dataset Ingestion and Pre-processing Pipeline</w:t>
      </w:r>
    </w:p>
    <w:p w14:paraId="361EEAC0">
      <w:pPr>
        <w:spacing w:after="254"/>
      </w:pPr>
      <w:r>
        <w:t xml:space="preserve">The raw dataset is curated from the </w:t>
      </w:r>
      <w:r>
        <w:rPr>
          <w:b/>
          <w:bCs/>
        </w:rPr>
        <w:t>ADNI-1 / ADNI-2</w:t>
      </w:r>
      <w:r>
        <w:t xml:space="preserve"> and </w:t>
      </w:r>
      <w:r>
        <w:rPr>
          <w:b/>
          <w:bCs/>
        </w:rPr>
        <w:t>OASIS-1</w:t>
      </w:r>
      <w:r>
        <w:t xml:space="preserve"> repositories, comprising </w:t>
      </w:r>
      <m:oMath>
        <m:r>
          <m:rPr/>
          <w:rPr>
            <w:rFonts w:ascii="Cambria Math" w:hAnsi="Cambria Math"/>
          </w:rPr>
          <m:t>N=1,280</m:t>
        </m:r>
      </m:oMath>
      <w:r>
        <w:t xml:space="preserve"> distinct subject volumes partitioned strictly at the patient level to eliminate data leakage.</w:t>
      </w:r>
    </w:p>
    <w:p w14:paraId="5B209D9E">
      <w:pPr>
        <w:spacing w:after="254"/>
      </w:pPr>
      <w:r>
        <w:t>Raw Multi-Center DICOM / NIfTI Volumes</w:t>
      </w:r>
    </w:p>
    <w:p w14:paraId="0D4B9663">
      <w:pPr>
        <w:spacing w:after="254"/>
      </w:pPr>
      <w:r>
        <w:t xml:space="preserve">                  │</w:t>
      </w:r>
    </w:p>
    <w:p w14:paraId="27D4FB3B">
      <w:pPr>
        <w:spacing w:after="254"/>
      </w:pPr>
      <w:r>
        <w:t xml:space="preserve">                  ▼</w:t>
      </w:r>
    </w:p>
    <w:p w14:paraId="30B6C0CE">
      <w:pPr>
        <w:spacing w:after="254"/>
      </w:pPr>
      <w:r>
        <w:t xml:space="preserve">   [Non-Parametric N4 Bias Field Correction]</w:t>
      </w:r>
    </w:p>
    <w:p w14:paraId="6E0F656A">
      <w:pPr>
        <w:spacing w:after="254"/>
      </w:pPr>
      <w:r>
        <w:t xml:space="preserve">        (Corrects RF Inhomogeneity)</w:t>
      </w:r>
    </w:p>
    <w:p w14:paraId="5FB297C1">
      <w:pPr>
        <w:spacing w:after="254"/>
      </w:pPr>
      <w:r>
        <w:t xml:space="preserve">                  │</w:t>
      </w:r>
    </w:p>
    <w:p w14:paraId="6174B7E1">
      <w:pPr>
        <w:spacing w:after="254"/>
      </w:pPr>
      <w:r>
        <w:t xml:space="preserve">                  ▼</w:t>
      </w:r>
    </w:p>
    <w:p w14:paraId="55BF1ABD">
      <w:pPr>
        <w:spacing w:after="254"/>
      </w:pPr>
      <w:r>
        <w:t xml:space="preserve">   [Rigid Registration to MNI152 Stereotactic Space]</w:t>
      </w:r>
    </w:p>
    <w:p w14:paraId="1F71A2FF">
      <w:pPr>
        <w:spacing w:after="254"/>
      </w:pPr>
      <w:r>
        <w:t xml:space="preserve">        (Aligns Spatial Orientation &amp; Scale)</w:t>
      </w:r>
    </w:p>
    <w:p w14:paraId="6586DE69">
      <w:pPr>
        <w:spacing w:after="254"/>
      </w:pPr>
      <w:r>
        <w:t xml:space="preserve">                  │</w:t>
      </w:r>
    </w:p>
    <w:p w14:paraId="020F50D1">
      <w:pPr>
        <w:spacing w:after="254"/>
      </w:pPr>
      <w:r>
        <w:t xml:space="preserve">                  ▼</w:t>
      </w:r>
    </w:p>
    <w:p w14:paraId="209C2045">
      <w:pPr>
        <w:spacing w:after="254"/>
      </w:pPr>
      <w:r>
        <w:t xml:space="preserve">   [Skull-Stripping: BET / Deep-Inference Masking]</w:t>
      </w:r>
    </w:p>
    <w:p w14:paraId="208EAF58">
      <w:pPr>
        <w:spacing w:after="254"/>
      </w:pPr>
      <w:r>
        <w:t xml:space="preserve">        (Removes Dura Mater, Calvaria, Marrow)</w:t>
      </w:r>
    </w:p>
    <w:p w14:paraId="1CE976E6">
      <w:pPr>
        <w:spacing w:after="254"/>
      </w:pPr>
      <w:r>
        <w:t xml:space="preserve">                  │</w:t>
      </w:r>
    </w:p>
    <w:p w14:paraId="4383044F">
      <w:pPr>
        <w:spacing w:after="254"/>
      </w:pPr>
      <w:r>
        <w:t xml:space="preserve">                  ▼</w:t>
      </w:r>
    </w:p>
    <w:p w14:paraId="144931BB">
      <w:pPr>
        <w:spacing w:after="254"/>
      </w:pPr>
      <w:r>
        <w:t xml:space="preserve">   [Z-Score Intensity Normalization on Brain Voxel Mask]</w:t>
      </w:r>
    </w:p>
    <w:p w14:paraId="57057D0B">
      <w:pPr>
        <w:spacing w:after="254"/>
      </w:pPr>
      <w:r>
        <w:t xml:space="preserve">        (Matches Intracranial Contrast Curves)</w:t>
      </w:r>
    </w:p>
    <w:p w14:paraId="089AEBFC">
      <w:pPr>
        <w:spacing w:after="254"/>
      </w:pPr>
      <w:r>
        <w:t xml:space="preserve">                  │</w:t>
      </w:r>
    </w:p>
    <w:p w14:paraId="3A5BE5FC">
      <w:pPr>
        <w:spacing w:after="254"/>
      </w:pPr>
      <w:r>
        <w:t xml:space="preserve">                  ▼</w:t>
      </w:r>
    </w:p>
    <w:p w14:paraId="7292BA4D">
      <w:pPr>
        <w:spacing w:after="254"/>
      </w:pPr>
      <w:r>
        <w:t xml:space="preserve">   [Volumetric Slicing: Informative 2.5D Axial Slices]</w:t>
      </w:r>
    </w:p>
    <w:p w14:paraId="0202204D">
      <w:pPr>
        <w:spacing w:after="254"/>
      </w:pPr>
      <w:r>
        <w:t xml:space="preserve">        (Targeting Hippocampus: z </w:t>
      </w:r>
      <w:r>
        <w:rPr>
          <w:rFonts w:ascii="Cambria Math" w:hAnsi="Cambria Math" w:cs="Cambria Math"/>
        </w:rPr>
        <w:t>∈</w:t>
      </w:r>
      <w:r>
        <w:t xml:space="preserve"> [-25mm, +15mm])</w:t>
      </w:r>
    </w:p>
    <w:p w14:paraId="269DD50F">
      <w:pPr>
        <w:spacing w:after="254"/>
        <w:rPr>
          <w:b/>
          <w:bCs/>
        </w:rPr>
      </w:pPr>
      <w:r>
        <w:rPr>
          <w:b/>
          <w:bCs/>
        </w:rPr>
        <w:t>Detailed Pre-processing Formulation</w:t>
      </w:r>
    </w:p>
    <w:p w14:paraId="100364F0">
      <w:pPr>
        <w:numPr>
          <w:ilvl w:val="0"/>
          <w:numId w:val="5"/>
        </w:numPr>
        <w:spacing w:after="254"/>
      </w:pPr>
      <w:r>
        <w:rPr>
          <w:b/>
          <w:bCs/>
        </w:rPr>
        <w:t>N4 Inhomogeneity Correction:</w:t>
      </w:r>
      <w:r>
        <w:t xml:space="preserve"> Corrects the low-frequency bias field </w:t>
      </w:r>
      <m:oMath>
        <m:r>
          <m:rPr>
            <m:sty m:val="b"/>
          </m:rPr>
          <w:rPr>
            <w:rFonts w:ascii="Cambria Math" w:hAnsi="Cambria Math"/>
          </w:rPr>
          <m:t>B</m:t>
        </m:r>
      </m:oMath>
      <w:r>
        <w:t xml:space="preserve"> modulating true tissue intensities </w:t>
      </w:r>
      <m:oMath>
        <m:r>
          <m:rPr>
            <m:sty m:val="b"/>
          </m:rPr>
          <w:rPr>
            <w:rFonts w:ascii="Cambria Math" w:hAnsi="Cambria Math"/>
          </w:rPr>
          <m:t>T</m:t>
        </m:r>
      </m:oMath>
      <w:r>
        <w:t>:</w:t>
      </w:r>
    </w:p>
    <w:p w14:paraId="6D44166A">
      <w:pPr>
        <w:spacing w:after="254"/>
      </w:pPr>
      <m:oMathPara>
        <m:oMath>
          <m:r>
            <m:rPr>
              <m:sty m:val="b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⋅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81CC86E">
      <w:pPr>
        <w:spacing w:after="254"/>
      </w:pPr>
      <w:r>
        <w:t xml:space="preserve">where </w:t>
      </w:r>
      <m:oMath>
        <m:r>
          <m:rPr>
            <m:sty m:val="b"/>
          </m:rPr>
          <w:rPr>
            <w:rFonts w:ascii="Cambria Math" w:hAnsi="Cambria Math"/>
          </w:rPr>
          <m:t>Y</m:t>
        </m:r>
      </m:oMath>
      <w:r>
        <w:t xml:space="preserve"> is observed signal and </w:t>
      </w:r>
      <m:oMath>
        <m:r>
          <m:rPr>
            <m:sty m:val="b"/>
          </m:rPr>
          <w:rPr>
            <w:rFonts w:ascii="Cambria Math" w:hAnsi="Cambria Math"/>
          </w:rPr>
          <m:t>N</m:t>
        </m:r>
      </m:oMath>
      <w:r>
        <w:t xml:space="preserve"> is additive noise.</w:t>
      </w:r>
    </w:p>
    <w:p w14:paraId="334221C4">
      <w:pPr>
        <w:numPr>
          <w:ilvl w:val="0"/>
          <w:numId w:val="5"/>
        </w:numPr>
        <w:spacing w:after="254"/>
      </w:pPr>
      <w:r>
        <w:rPr>
          <w:b/>
          <w:bCs/>
        </w:rPr>
        <w:t>MNI152 Affine Spatial Normalization:</w:t>
      </w:r>
      <w:r>
        <w:t xml:space="preserve"> Transforms subject-space coordinates </w:t>
      </w:r>
      <m:oMath>
        <m:r>
          <m:rPr>
            <m:sty m:val="b"/>
          </m:rPr>
          <w:rPr>
            <w:rFonts w:ascii="Cambria Math" w:hAnsi="Cambria Math"/>
          </w:rPr>
          <m:t>x</m:t>
        </m:r>
      </m:oMath>
      <w:r>
        <w:t xml:space="preserve"> to standardized template coordinates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m:rPr/>
          <w:rPr>
            <w:rFonts w:ascii="Cambria Math" w:hAnsi="Cambria Math"/>
          </w:rPr>
          <m:t>'</m:t>
        </m:r>
      </m:oMath>
      <w:r>
        <w:t xml:space="preserve"> using affine transformation matrix </w:t>
      </w:r>
      <m:oMath>
        <m:r>
          <m:rPr>
            <m:sty m:val="b"/>
          </m:rPr>
          <w:rPr>
            <w:rFonts w:ascii="Cambria Math" w:hAnsi="Cambria Math"/>
          </w:rPr>
          <m:t>A</m:t>
        </m:r>
        <m:r>
          <m:rPr/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  <m:scr m:val="double-struck"/>
              </m:rPr>
              <w:rPr>
                <w:rFonts w:ascii="Cambria Math" w:hAnsi="Cambria Math"/>
              </w:rPr>
              <m:t>ℝ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4×4</m:t>
            </m:r>
            <m:ctrlPr>
              <w:rPr>
                <w:rFonts w:ascii="Cambria Math" w:hAnsi="Cambria Math"/>
              </w:rPr>
            </m:ctrlPr>
          </m:sup>
        </m:sSup>
      </m:oMath>
      <w:r>
        <w:t>:</w:t>
      </w:r>
    </w:p>
    <w:p w14:paraId="0B163512">
      <w:pPr>
        <w:spacing w:after="254"/>
      </w:pPr>
      <m:oMathPara>
        <m:oMath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/>
            <w:rPr>
              <w:rFonts w:ascii="Cambria Math" w:hAnsi="Cambria Math"/>
            </w:rPr>
            <m:t>'=</m:t>
          </m:r>
          <m:r>
            <m:rPr>
              <m:sty m:val="b"/>
            </m:rPr>
            <w:rPr>
              <w:rFonts w:ascii="Cambria Math" w:hAnsi="Cambria Math"/>
            </w:rPr>
            <m:t>Ax</m:t>
          </m:r>
          <m:r>
            <m:rPr/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t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y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z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DFEB759">
      <w:pPr>
        <w:numPr>
          <w:ilvl w:val="0"/>
          <w:numId w:val="5"/>
        </w:numPr>
        <w:spacing w:after="254"/>
      </w:pPr>
      <w:r>
        <w:rPr>
          <w:b/>
          <w:bCs/>
        </w:rPr>
        <w:t>Voxel Mask Intensity Normalization:</w:t>
      </w:r>
    </w:p>
    <w:p w14:paraId="5FCCB9EE">
      <w:pPr>
        <w:spacing w:after="25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norm</m:t>
              </m:r>
              <m:ctrlPr>
                <w:rPr>
                  <w:rFonts w:ascii="Cambria Math" w:hAnsi="Cambria Math"/>
                </w:rPr>
              </m:ctrlP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σ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, ∀v∈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brain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4C05CF2E">
      <w:pPr>
        <w:spacing w:after="254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σ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denote the mean and standard deviation of intensities within the extracted brain mask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brain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11C6D14D">
      <w:pPr>
        <w:spacing w:after="254"/>
        <w:rPr>
          <w:b/>
        </w:rPr>
      </w:pPr>
    </w:p>
    <w:p w14:paraId="5C3B8976">
      <w:pPr>
        <w:spacing w:after="254"/>
      </w:pPr>
      <w:r>
        <w:rPr>
          <w:b/>
        </w:rPr>
        <w:t xml:space="preserve">2 . Application of Course Knowledge </w:t>
      </w:r>
    </w:p>
    <w:p w14:paraId="487F4157">
      <w:pPr>
        <w:spacing w:after="253"/>
        <w:rPr>
          <w:b/>
          <w:bCs/>
        </w:rPr>
      </w:pPr>
      <w:r>
        <w:t xml:space="preserve"> </w:t>
      </w:r>
      <w:r>
        <w:rPr>
          <w:b/>
          <w:bCs/>
        </w:rPr>
        <w:t>Mathematical Loss Function Formulation</w:t>
      </w:r>
    </w:p>
    <w:p w14:paraId="54FA8816">
      <w:pPr>
        <w:spacing w:after="253"/>
      </w:pPr>
      <w:r>
        <w:t>Severe class imbalance is inherent in early-stage cognitive datasets. Standard Cross-Entropy (CE) gradients are dominated by the majority classes:</w:t>
      </w:r>
    </w:p>
    <w:p w14:paraId="2A4399E5">
      <w:pPr>
        <w:spacing w:after="25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CE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sup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7E73C13A">
      <w:pPr>
        <w:spacing w:after="253"/>
      </w:pPr>
      <w:r>
        <w:t xml:space="preserve">To resolve gradient suppression in the under-represented classes (specifically VMCI and Moderate AD), a multi-class </w:t>
      </w:r>
      <w:r>
        <w:rPr>
          <w:b/>
          <w:bCs/>
        </w:rPr>
        <w:t>Focal Loss</w:t>
      </w:r>
      <w:r>
        <w:t xml:space="preserve"> formulation combined with an </w:t>
      </w:r>
      <w:r>
        <w:rPr>
          <w:b/>
          <w:bCs/>
        </w:rPr>
        <w:t>Orthogonal Label Smoothing Regularizer</w:t>
      </w:r>
      <w:r>
        <w:t xml:space="preserve"> is implemented:</w:t>
      </w:r>
    </w:p>
    <w:p w14:paraId="39C8C282">
      <w:pPr>
        <w:spacing w:after="25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ℒ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Focal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α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y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1−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γ</m:t>
              </m:r>
              <m:ctrlPr>
                <w:rPr>
                  <w:rFonts w:ascii="Cambria Math" w:hAnsi="Cambria Math"/>
                </w:rPr>
              </m:ctrlP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func>
        </m:oMath>
      </m:oMathPara>
    </w:p>
    <w:p w14:paraId="65DAD98E">
      <w:pPr>
        <w:spacing w:after="253"/>
      </w:pPr>
      <w:r>
        <w:t>where:</w:t>
      </w:r>
    </w:p>
    <w:p w14:paraId="17D8FEBF">
      <w:pPr>
        <w:numPr>
          <w:ilvl w:val="0"/>
          <w:numId w:val="6"/>
        </w:numPr>
        <w:spacing w:after="25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</m:oMath>
      <w:r>
        <w:t xml:space="preserve"> is the model’s estimated probability for the correct ground-truth class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7AB196E9">
      <w:pPr>
        <w:numPr>
          <w:ilvl w:val="0"/>
          <w:numId w:val="6"/>
        </w:numPr>
        <w:spacing w:after="253"/>
      </w:pPr>
      <m:oMath>
        <m:r>
          <m:rPr/>
          <w:rPr>
            <w:rFonts w:ascii="Cambria Math" w:hAnsi="Cambria Math"/>
          </w:rPr>
          <m:t>γ≥0</m:t>
        </m:r>
      </m:oMath>
      <w:r>
        <w:t xml:space="preserve"> is the dynamic modulating factor (set to </w:t>
      </w:r>
      <m:oMath>
        <m:r>
          <m:rPr/>
          <w:rPr>
            <w:rFonts w:ascii="Cambria Math" w:hAnsi="Cambria Math"/>
          </w:rPr>
          <m:t>γ=2.0</m:t>
        </m:r>
      </m:oMath>
      <w:r>
        <w:t>), which suppresses the loss contribution of well-classified easy examples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i,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y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→1</m:t>
        </m:r>
      </m:oMath>
      <w:r>
        <w:t>) and amplifies gradient updates for ambiguous transition boundaries.</w:t>
      </w:r>
    </w:p>
    <w:p w14:paraId="09F76B53">
      <w:pPr>
        <w:numPr>
          <w:ilvl w:val="0"/>
          <w:numId w:val="6"/>
        </w:numPr>
        <w:spacing w:after="253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α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represents the inverse class-frequency balancing vector:</w:t>
      </w:r>
    </w:p>
    <w:p w14:paraId="73DCFA3C">
      <w:pPr>
        <w:spacing w:after="25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α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1−β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1−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β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/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k=0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1−β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1−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β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</w:rPr>
                  </m:ctrlPr>
                </m:den>
              </m:f>
              <m:ctrlPr>
                <w:rPr>
                  <w:rFonts w:ascii="Cambria Math" w:hAnsi="Cambria Math"/>
                </w:rPr>
              </m:ctrlPr>
            </m:e>
          </m:nary>
        </m:oMath>
      </m:oMathPara>
    </w:p>
    <w:p w14:paraId="7F78BAA4">
      <w:pPr>
        <w:spacing w:after="253"/>
      </w:pPr>
      <w:r>
        <w:t xml:space="preserve">with </w:t>
      </w:r>
      <m:oMath>
        <m:r>
          <m:rPr/>
          <w:rPr>
            <w:rFonts w:ascii="Cambria Math" w:hAnsi="Cambria Math"/>
          </w:rPr>
          <m:t>β=0.9999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denoting total training instances in class </w:t>
      </w:r>
      <m:oMath>
        <m:r>
          <m:rPr/>
          <w:rPr>
            <w:rFonts w:ascii="Cambria Math" w:hAnsi="Cambria Math"/>
          </w:rPr>
          <m:t>c</m:t>
        </m:r>
      </m:oMath>
      <w:r>
        <w:t>.</w:t>
      </w:r>
    </w:p>
    <w:p w14:paraId="559D26AE">
      <w:pPr>
        <w:spacing w:after="253"/>
        <w:rPr>
          <w:b/>
          <w:bCs/>
        </w:rPr>
      </w:pPr>
      <w:r>
        <w:rPr>
          <w:b/>
          <w:bCs/>
        </w:rPr>
        <w:t>Optimization and Regularization Dynamics</w:t>
      </w:r>
    </w:p>
    <w:p w14:paraId="08E1B9DB">
      <w:pPr>
        <w:spacing w:after="253"/>
      </w:pPr>
      <w:r>
        <w:t>Optimization is governed by decoupled weight decay regularization (</w:t>
      </w:r>
      <w:r>
        <w:rPr>
          <w:b/>
          <w:bCs/>
        </w:rPr>
        <w:t>AdamW</w:t>
      </w:r>
      <w:r>
        <w:t>), configured with a warm-up cosine annealing schedule:</w:t>
      </w:r>
    </w:p>
    <w:p w14:paraId="56A3B576">
      <w:pPr>
        <w:spacing w:after="25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</w:rPr>
              </m:ctrlP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1+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cur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w:rPr>
                                  <w:b w:val="0"/>
                                  <w:i w:val="0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</w:rPr>
                  </m:ctrlPr>
                </m:e>
              </m:func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17564D4">
      <w:pPr>
        <w:spacing w:after="253"/>
      </w:pPr>
      <w:r>
        <w:t>Weights update via:</w:t>
      </w:r>
    </w:p>
    <w:p w14:paraId="6FAA079B">
      <w:pPr>
        <w:spacing w:after="253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t+1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</w:rPr>
                        <m:t>m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ˆ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rad>
              <m:r>
                <m:rPr/>
                <w:rPr>
                  <w:rFonts w:ascii="Cambria Math" w:hAnsi="Cambria Math"/>
                </w:rPr>
                <m:t>+ϵ</m:t>
              </m:r>
              <m:ctrlPr>
                <w:rPr>
                  <w:rFonts w:ascii="Cambria Math" w:hAnsi="Cambria Math"/>
                </w:rPr>
              </m:ctrlPr>
            </m:den>
          </m:f>
          <m:r>
            <m:rPr/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λ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sub>
          </m:sSub>
        </m:oMath>
      </m:oMathPara>
    </w:p>
    <w:p w14:paraId="68F2C968">
      <w:pPr>
        <w:spacing w:after="253"/>
      </w:pPr>
      <w:r>
        <w:t xml:space="preserve">where </w:t>
      </w:r>
      <m:oMath>
        <m:r>
          <m:rPr/>
          <w:rPr>
            <w:rFonts w:ascii="Cambria Math" w:hAnsi="Cambria Math"/>
          </w:rPr>
          <m:t>λ=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/>
              </w:rPr>
              <m:t>−2</m:t>
            </m:r>
            <m:ctrlPr>
              <w:rPr>
                <w:rFonts w:ascii="Cambria Math" w:hAnsi="Cambria Math"/>
              </w:rPr>
            </m:ctrlPr>
          </m:sup>
        </m:sSup>
      </m:oMath>
      <w:r>
        <w:t xml:space="preserve"> enforces explicit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 weight regularization without contaminating the adaptive second-moment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/>
                  <w:rPr>
                    <w:rFonts w:ascii="Cambria Math" w:hAnsi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</m:acc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7EE479C8">
      <w:pPr>
        <w:spacing w:after="253"/>
      </w:pPr>
      <w:r>
        <w:rPr>
          <w:b/>
        </w:rPr>
        <w:t xml:space="preserve">3. Solution / Design / Methodology </w:t>
      </w:r>
    </w:p>
    <w:p w14:paraId="4CACE4D0">
      <w:pPr>
        <w:spacing w:after="253"/>
      </w:pPr>
      <w:r>
        <w:t xml:space="preserve"> Develop the proposed solution. Depending upon the nature of the course, this may include:</w:t>
      </w:r>
    </w:p>
    <w:p w14:paraId="1DE3705D">
      <w:pPr>
        <w:spacing w:after="251" w:line="267" w:lineRule="auto"/>
        <w:ind w:left="0" w:firstLine="0"/>
        <w:rPr>
          <w:b/>
          <w:bCs/>
        </w:rPr>
      </w:pPr>
      <w:r>
        <w:rPr>
          <w:b/>
          <w:bCs/>
        </w:rPr>
        <w:t>Comparative Architecture Pipelines</w:t>
      </w:r>
    </w:p>
    <w:p w14:paraId="395A5C1A">
      <w:pPr>
        <w:spacing w:after="251" w:line="267" w:lineRule="auto"/>
        <w:ind w:left="0" w:firstLine="0"/>
      </w:pPr>
      <w:r>
        <w:t>Two distinct deep feature extraction topologies were engineered to balance spatial granularity, parameter scaling, and compute constraints.</w:t>
      </w:r>
    </w:p>
    <w:p w14:paraId="4FAA3294">
      <w:pPr>
        <w:spacing w:after="251" w:line="267" w:lineRule="auto"/>
        <w:ind w:left="0" w:firstLine="0"/>
      </w:pPr>
      <w:r>
        <w:t xml:space="preserve">                      EFFICIENTNET-B0 COMPOUND PIPELINE</w:t>
      </w:r>
    </w:p>
    <w:p w14:paraId="4F632BD6">
      <w:pPr>
        <w:spacing w:after="251" w:line="267" w:lineRule="auto"/>
        <w:ind w:left="0" w:firstLine="0"/>
      </w:pPr>
      <w:r>
        <w:t xml:space="preserve"> Input: Preprocessed T1-sMRI Slices (3-Channel Composite: z-1, z, z+1)         </w:t>
      </w:r>
    </w:p>
    <w:p w14:paraId="2A9582F1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44CD14FE">
      <w:pPr>
        <w:spacing w:after="251" w:line="267" w:lineRule="auto"/>
        <w:ind w:left="0" w:firstLine="0"/>
      </w:pPr>
      <w:r>
        <w:t xml:space="preserve">   ▼                                                                         </w:t>
      </w:r>
    </w:p>
    <w:p w14:paraId="0AAB2C05">
      <w:pPr>
        <w:spacing w:after="251" w:line="267" w:lineRule="auto"/>
        <w:ind w:left="0" w:firstLine="0"/>
      </w:pPr>
      <w:r>
        <w:t xml:space="preserve"> [Stem Conv3x3] </w:t>
      </w:r>
      <w:r>
        <w:rPr>
          <w:rFonts w:ascii="Segoe UI Symbol" w:hAnsi="Segoe UI Symbol" w:cs="Segoe UI Symbol"/>
        </w:rPr>
        <w:t>➔</w:t>
      </w:r>
      <w:r>
        <w:t xml:space="preserve"> Stride 2, C=32, H/2, W/2                                    </w:t>
      </w:r>
    </w:p>
    <w:p w14:paraId="63C463D4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003695B6">
      <w:pPr>
        <w:spacing w:after="251" w:line="267" w:lineRule="auto"/>
        <w:ind w:left="0" w:firstLine="0"/>
      </w:pPr>
      <w:r>
        <w:t xml:space="preserve">   ▼                                                                          </w:t>
      </w:r>
    </w:p>
    <w:p w14:paraId="491A047D">
      <w:pPr>
        <w:spacing w:after="251" w:line="267" w:lineRule="auto"/>
        <w:ind w:left="0" w:firstLine="0"/>
      </w:pPr>
      <w:r>
        <w:t xml:space="preserve"> [MBConv1 (k3x3)] </w:t>
      </w:r>
      <w:r>
        <w:rPr>
          <w:rFonts w:ascii="Segoe UI Symbol" w:hAnsi="Segoe UI Symbol" w:cs="Segoe UI Symbol"/>
        </w:rPr>
        <w:t>➔</w:t>
      </w:r>
      <w:r>
        <w:t xml:space="preserve"> Expand=1, C_out=16, SE-Ratio=0.25                         </w:t>
      </w:r>
    </w:p>
    <w:p w14:paraId="062B110C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3D39AEDC">
      <w:pPr>
        <w:spacing w:after="251" w:line="267" w:lineRule="auto"/>
        <w:ind w:left="0" w:firstLine="0"/>
      </w:pPr>
      <w:r>
        <w:t xml:space="preserve">   ▼                                                                          </w:t>
      </w:r>
    </w:p>
    <w:p w14:paraId="68F5FBEC">
      <w:pPr>
        <w:spacing w:after="251" w:line="267" w:lineRule="auto"/>
        <w:ind w:left="0" w:firstLine="0"/>
      </w:pPr>
      <w:r>
        <w:t xml:space="preserve"> [MBConv6 (k3x3)] × 2 </w:t>
      </w:r>
      <w:r>
        <w:rPr>
          <w:rFonts w:ascii="Segoe UI Symbol" w:hAnsi="Segoe UI Symbol" w:cs="Segoe UI Symbol"/>
        </w:rPr>
        <w:t>➔</w:t>
      </w:r>
      <w:r>
        <w:t xml:space="preserve"> Expand=6, Stride=2, C_out=24, SE-Ratio=0.25           </w:t>
      </w:r>
    </w:p>
    <w:p w14:paraId="3FCE69F2">
      <w:pPr>
        <w:spacing w:after="251" w:line="267" w:lineRule="auto"/>
        <w:ind w:left="0" w:firstLine="0"/>
      </w:pPr>
      <w:r>
        <w:t xml:space="preserve">      │                                                                          </w:t>
      </w:r>
    </w:p>
    <w:p w14:paraId="6CC34141">
      <w:pPr>
        <w:spacing w:after="251" w:line="267" w:lineRule="auto"/>
        <w:ind w:left="0" w:firstLine="0"/>
      </w:pPr>
      <w:r>
        <w:t xml:space="preserve">     ▼                                                                          </w:t>
      </w:r>
    </w:p>
    <w:p w14:paraId="19AB3A60">
      <w:pPr>
        <w:spacing w:after="251" w:line="267" w:lineRule="auto"/>
        <w:ind w:left="0" w:firstLine="0"/>
      </w:pPr>
      <w:r>
        <w:t xml:space="preserve"> [MBConv6 (k5x5)] × 2 </w:t>
      </w:r>
      <w:r>
        <w:rPr>
          <w:rFonts w:ascii="Segoe UI Symbol" w:hAnsi="Segoe UI Symbol" w:cs="Segoe UI Symbol"/>
        </w:rPr>
        <w:t>➔</w:t>
      </w:r>
      <w:r>
        <w:t xml:space="preserve"> Expand=6, Stride=2, C_out=40, SE-Ratio=0.25           </w:t>
      </w:r>
    </w:p>
    <w:p w14:paraId="58EB2DBF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5146CD0E">
      <w:pPr>
        <w:spacing w:after="251" w:line="267" w:lineRule="auto"/>
        <w:ind w:left="0" w:firstLine="0"/>
      </w:pPr>
      <w:r>
        <w:t xml:space="preserve">   ▼                                                                          </w:t>
      </w:r>
    </w:p>
    <w:p w14:paraId="243575AB">
      <w:pPr>
        <w:spacing w:after="251" w:line="267" w:lineRule="auto"/>
        <w:ind w:left="0" w:firstLine="0"/>
      </w:pPr>
      <w:r>
        <w:t xml:space="preserve"> [MBConv6 (k3x3)] × 3 </w:t>
      </w:r>
      <w:r>
        <w:rPr>
          <w:rFonts w:ascii="Segoe UI Symbol" w:hAnsi="Segoe UI Symbol" w:cs="Segoe UI Symbol"/>
        </w:rPr>
        <w:t>➔</w:t>
      </w:r>
      <w:r>
        <w:t xml:space="preserve"> Expand=6, Stride=2, C_out=80, SE-Ratio=0.25           </w:t>
      </w:r>
    </w:p>
    <w:p w14:paraId="31EFE3F5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5B0908BE">
      <w:pPr>
        <w:spacing w:after="251" w:line="267" w:lineRule="auto"/>
        <w:ind w:left="0" w:firstLine="0"/>
      </w:pPr>
      <w:r>
        <w:t xml:space="preserve">   ▼                                                                          </w:t>
      </w:r>
    </w:p>
    <w:p w14:paraId="04A13998">
      <w:pPr>
        <w:spacing w:after="251" w:line="267" w:lineRule="auto"/>
        <w:ind w:left="0" w:firstLine="0"/>
      </w:pPr>
      <w:r>
        <w:t xml:space="preserve"> [MBConv6 (k5x5)] × 3 </w:t>
      </w:r>
      <w:r>
        <w:rPr>
          <w:rFonts w:ascii="Segoe UI Symbol" w:hAnsi="Segoe UI Symbol" w:cs="Segoe UI Symbol"/>
        </w:rPr>
        <w:t>➔</w:t>
      </w:r>
      <w:r>
        <w:t xml:space="preserve"> Expand=6, Stride=1, C_out=112, SE-Ratio=0.25          </w:t>
      </w:r>
    </w:p>
    <w:p w14:paraId="382B2428">
      <w:pPr>
        <w:spacing w:after="251" w:line="267" w:lineRule="auto"/>
        <w:ind w:left="0" w:firstLine="0"/>
      </w:pPr>
      <w:r>
        <w:t xml:space="preserve">   │                                                                          </w:t>
      </w:r>
    </w:p>
    <w:p w14:paraId="6A16E540">
      <w:pPr>
        <w:spacing w:after="251" w:line="267" w:lineRule="auto"/>
        <w:ind w:left="0" w:firstLine="0"/>
      </w:pPr>
      <w:r>
        <w:t xml:space="preserve">   ▼                                                                          </w:t>
      </w:r>
    </w:p>
    <w:p w14:paraId="36BB475F">
      <w:pPr>
        <w:spacing w:after="251" w:line="267" w:lineRule="auto"/>
        <w:ind w:left="0" w:firstLine="0"/>
      </w:pPr>
      <w:r>
        <w:t xml:space="preserve">[Stochastic Depth Dropout: p=0.3] </w:t>
      </w:r>
      <w:r>
        <w:rPr>
          <w:rFonts w:ascii="Segoe UI Symbol" w:hAnsi="Segoe UI Symbol" w:cs="Segoe UI Symbol"/>
        </w:rPr>
        <w:t>➔</w:t>
      </w:r>
      <w:r>
        <w:t xml:space="preserve"> Dense Projection (4 Classes) </w:t>
      </w:r>
      <w:r>
        <w:rPr>
          <w:rFonts w:ascii="Segoe UI Symbol" w:hAnsi="Segoe UI Symbol" w:cs="Segoe UI Symbol"/>
        </w:rPr>
        <w:t>➔</w:t>
      </w:r>
      <w:r>
        <w:t xml:space="preserve"> Softmax   </w:t>
      </w:r>
    </w:p>
    <w:p w14:paraId="49ADC567">
      <w:pPr>
        <w:spacing w:after="251" w:line="267" w:lineRule="auto"/>
        <w:ind w:left="0" w:firstLine="0"/>
        <w:rPr>
          <w:b/>
          <w:bCs/>
        </w:rPr>
      </w:pPr>
      <w:r>
        <w:rPr>
          <w:b/>
          <w:bCs/>
        </w:rPr>
        <w:t>Mathematical Construction of Mobile Inverted Bottleneck (MBConv)</w:t>
      </w:r>
    </w:p>
    <w:p w14:paraId="2A7ADB9B">
      <w:pPr>
        <w:spacing w:after="251" w:line="267" w:lineRule="auto"/>
        <w:ind w:left="0" w:firstLine="0"/>
      </w:pPr>
      <w:r>
        <w:t>The MBConv block leverages depthwise separable convolutions combined with Squeeze-and-Excitation (SE) channel-attention:</w:t>
      </w:r>
    </w:p>
    <w:p w14:paraId="4647A552">
      <w:pPr>
        <w:spacing w:after="251" w:line="267" w:lineRule="auto"/>
        <w:ind w:left="0" w:firstLine="0"/>
      </w:pPr>
      <w:r>
        <w:rPr>
          <w:b/>
          <w:bCs/>
        </w:rPr>
        <w:t>Pointwise Expansion:</w:t>
      </w:r>
      <w:r>
        <w:t xml:space="preserve"> Expands channel dimensionality by factor </w:t>
      </w:r>
      <m:oMath>
        <m:r>
          <m:rPr/>
          <w:rPr>
            <w:rFonts w:ascii="Cambria Math" w:hAnsi="Cambria Math"/>
          </w:rPr>
          <m:t>t=6</m:t>
        </m:r>
      </m:oMath>
      <w:r>
        <w:t>:</w:t>
      </w:r>
    </w:p>
    <w:p w14:paraId="459E16BA">
      <w:pPr>
        <w:spacing w:after="251" w:line="267" w:lineRule="auto"/>
        <w:ind w:left="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exp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ℬ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exp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∗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exp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1×1×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t⋅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in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5CDAB28A">
      <w:pPr>
        <w:numPr>
          <w:ilvl w:val="0"/>
          <w:numId w:val="7"/>
        </w:numPr>
        <w:tabs>
          <w:tab w:val="left" w:pos="720"/>
        </w:tabs>
        <w:spacing w:after="251" w:line="267" w:lineRule="auto"/>
        <w:ind w:hanging="240"/>
      </w:pPr>
      <w:r>
        <w:rPr>
          <w:b/>
          <w:bCs/>
        </w:rPr>
        <w:t>Depthwise Spatial Filtering:</w:t>
      </w:r>
      <w:r>
        <w:t xml:space="preserve"> Computes light spatial convolutions per channel:</w:t>
      </w:r>
    </w:p>
    <w:p w14:paraId="4D003139">
      <w:pPr>
        <w:spacing w:after="251" w:line="267" w:lineRule="auto"/>
        <w:ind w:left="24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</w:rPr>
                <m:t>ℬ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dw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⋆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exp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, 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</w:rPr>
                <m:t>ℝ</m:t>
              </m:r>
              <m:ctrlPr>
                <w:rPr>
                  <w:rFonts w:ascii="Cambria Math" w:hAnsi="Cambria Math"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K×K×1×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t⋅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C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in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sup>
          </m:sSup>
        </m:oMath>
      </m:oMathPara>
    </w:p>
    <w:p w14:paraId="1B6D306D">
      <w:pPr>
        <w:spacing w:after="251" w:line="267" w:lineRule="auto"/>
        <w:ind w:left="0" w:firstLine="0"/>
      </w:pPr>
      <w:r>
        <w:rPr>
          <w:b/>
          <w:bCs/>
        </w:rPr>
        <w:t>Squeeze-and-Excitation Recalibration:</w:t>
      </w:r>
      <w:r>
        <w:t xml:space="preserve"> Explicitly models inter-channel dependencies:</w:t>
      </w:r>
    </w:p>
    <w:p w14:paraId="46E77B79">
      <w:pPr>
        <w:spacing w:after="251" w:line="267" w:lineRule="auto"/>
        <w:ind w:left="240" w:firstLine="0"/>
      </w:pPr>
      <m:oMathPara>
        <m:oMath>
          <m:r>
            <m:rPr>
              <m:sty m:val="b"/>
            </m:rPr>
            <w:rPr>
              <w:rFonts w:ascii="Cambria Math" w:hAnsi="Cambria Math"/>
            </w:rPr>
            <m:t>s</m:t>
          </m:r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H×W</m:t>
              </m:r>
              <m:ctrlPr>
                <w:rPr>
                  <w:rFonts w:ascii="Cambria Math" w:hAnsi="Cambria Math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F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>
                          <m:nor/>
                          <m:sty m:val="p"/>
                        </m:rPr>
                        <w:rPr>
                          <w:b w:val="0"/>
                          <w:i w:val="0"/>
                        </w:rPr>
                        <m:t>dw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</w:rPr>
                  </m:ctrlPr>
                </m:e>
              </m:nary>
              <m:ctrlPr>
                <w:rPr>
                  <w:rFonts w:ascii="Cambria Math" w:hAnsi="Cambria Math"/>
                </w:rPr>
              </m:ctrlPr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i,j</m:t>
              </m:r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39789B70">
      <w:pPr>
        <w:spacing w:after="251" w:line="267" w:lineRule="auto"/>
        <w:ind w:left="0" w:firstLine="0"/>
      </w:pPr>
      <m:oMathPara>
        <m:oMath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/>
            <w:rPr>
              <w:rFonts w:ascii="Cambria Math" w:hAnsi="Cambria Math"/>
            </w:rPr>
            <m:t>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⋅</m:t>
              </m:r>
              <m:r>
                <m:rPr>
                  <m:nor/>
                  <m:sty m:val="p"/>
                </m:rPr>
                <w:rPr>
                  <w:b w:val="0"/>
                  <w:i w:val="0"/>
                </w:rPr>
                <m:t>ReLU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1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</w:rPr>
                    <m:t>⋅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62EFE04B">
      <w:pPr>
        <w:spacing w:after="251" w:line="267" w:lineRule="auto"/>
        <w:ind w:left="24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se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dw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⊙</m:t>
          </m:r>
          <m:r>
            <m:rPr>
              <m:sty m:val="b"/>
            </m:rPr>
            <w:rPr>
              <w:rFonts w:ascii="Cambria Math" w:hAnsi="Cambria Math"/>
            </w:rPr>
            <m:t>e</m:t>
          </m:r>
        </m:oMath>
      </m:oMathPara>
    </w:p>
    <w:p w14:paraId="277C7776">
      <w:pPr>
        <w:spacing w:after="251" w:line="267" w:lineRule="auto"/>
        <w:ind w:left="0" w:firstLine="0"/>
      </w:pPr>
      <w:r>
        <w:rPr>
          <w:b/>
          <w:bCs/>
        </w:rPr>
        <w:t>Pointwise Linear Bottleneck:</w:t>
      </w:r>
      <w:r>
        <w:t xml:space="preserve"> Projects back to lower dimension without non-linear activation:</w:t>
      </w:r>
    </w:p>
    <w:p w14:paraId="6CFFB804">
      <w:pPr>
        <w:spacing w:after="251" w:line="267" w:lineRule="auto"/>
        <w:ind w:left="240" w:firstLine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out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/>
            </w:rPr>
            <m:t>=</m:t>
          </m:r>
          <m:r>
            <m:rPr>
              <m:sty m:val="p"/>
              <m:scr m:val="script"/>
            </m:rPr>
            <w:rPr>
              <w:rFonts w:ascii="Cambria Math" w:hAnsi="Cambria Math"/>
            </w:rPr>
            <m:t>ℬ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W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proj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se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  <m:r>
            <m:rPr/>
            <w:rPr>
              <w:rFonts w:ascii="Cambria Math" w:hAnsi="Cambria Math"/>
            </w:rPr>
            <m:t>+</m:t>
          </m:r>
          <m:r>
            <m:rPr>
              <m:sty m:val="b"/>
            </m:rPr>
            <w:rPr>
              <w:rFonts w:ascii="Cambria Math" w:hAnsi="Cambria Math"/>
            </w:rPr>
            <m:t>X</m:t>
          </m:r>
          <m:r>
            <m:rPr/>
            <w:rPr>
              <w:rFonts w:ascii="Cambria Math" w:hAnsi="Cambria Math"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</w:rPr>
                <m:t>if stride</m:t>
              </m:r>
              <m:r>
                <m:rPr/>
                <w:rPr>
                  <w:rFonts w:ascii="Cambria Math" w:hAnsi="Cambria Math"/>
                </w:rPr>
                <m:t>=1∧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in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b w:val="0"/>
                      <w:i w:val="0"/>
                    </w:rPr>
                    <m:t>out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e>
          </m:d>
        </m:oMath>
      </m:oMathPara>
    </w:p>
    <w:p w14:paraId="7961E78A">
      <w:pPr>
        <w:spacing w:after="251" w:line="267" w:lineRule="auto"/>
        <w:ind w:left="0" w:firstLine="0"/>
        <w:rPr>
          <w:b/>
        </w:rPr>
      </w:pPr>
      <w:r>
        <w:rPr>
          <w:b/>
        </w:rPr>
        <w:t xml:space="preserve">4. Use of Modern Tools 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3004"/>
        <w:gridCol w:w="3005"/>
      </w:tblGrid>
      <w:tr w14:paraId="3820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  <w:gridSpan w:val="3"/>
          </w:tcPr>
          <w:p w14:paraId="0D4C031D">
            <w:pPr>
              <w:spacing w:after="251" w:line="267" w:lineRule="auto"/>
              <w:ind w:left="0" w:firstLine="0"/>
              <w:jc w:val="center"/>
            </w:pPr>
            <w:r>
              <w:t>SOFTWARE &amp; INFRASTRUCTURE STACK</w:t>
            </w:r>
          </w:p>
        </w:tc>
      </w:tr>
      <w:tr w14:paraId="50EF8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4" w:type="dxa"/>
          </w:tcPr>
          <w:p w14:paraId="439B7F62">
            <w:pPr>
              <w:spacing w:after="251" w:line="267" w:lineRule="auto"/>
              <w:ind w:left="0" w:firstLine="0"/>
            </w:pPr>
            <w:r>
              <w:t xml:space="preserve">Layer </w:t>
            </w:r>
          </w:p>
        </w:tc>
        <w:tc>
          <w:tcPr>
            <w:tcW w:w="3004" w:type="dxa"/>
          </w:tcPr>
          <w:p w14:paraId="3F72AC4B">
            <w:pPr>
              <w:spacing w:after="251" w:line="267" w:lineRule="auto"/>
              <w:ind w:left="0" w:firstLine="0"/>
            </w:pPr>
            <w:r>
              <w:t xml:space="preserve">Tool / Library </w:t>
            </w:r>
          </w:p>
        </w:tc>
        <w:tc>
          <w:tcPr>
            <w:tcW w:w="3005" w:type="dxa"/>
          </w:tcPr>
          <w:p w14:paraId="2D487CFC">
            <w:pPr>
              <w:spacing w:after="251" w:line="267" w:lineRule="auto"/>
              <w:ind w:left="0" w:firstLine="0"/>
            </w:pPr>
            <w:r>
              <w:t xml:space="preserve">Operational Purpose </w:t>
            </w:r>
          </w:p>
        </w:tc>
      </w:tr>
      <w:tr w14:paraId="36AD2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4" w:type="dxa"/>
          </w:tcPr>
          <w:p w14:paraId="10AD4168">
            <w:pPr>
              <w:spacing w:after="251" w:line="267" w:lineRule="auto"/>
              <w:ind w:left="0" w:firstLine="0"/>
            </w:pPr>
            <w:r>
              <w:t xml:space="preserve">Medical IO &amp; Volumes </w:t>
            </w:r>
          </w:p>
        </w:tc>
        <w:tc>
          <w:tcPr>
            <w:tcW w:w="3004" w:type="dxa"/>
          </w:tcPr>
          <w:p w14:paraId="61B2DF36">
            <w:pPr>
              <w:spacing w:after="251" w:line="267" w:lineRule="auto"/>
              <w:ind w:left="0" w:firstLine="0"/>
            </w:pPr>
            <w:r>
              <w:t xml:space="preserve">NiBabel 5.1 &amp; TorchIO </w:t>
            </w:r>
          </w:p>
        </w:tc>
        <w:tc>
          <w:tcPr>
            <w:tcW w:w="3005" w:type="dxa"/>
          </w:tcPr>
          <w:p w14:paraId="262A0FCF">
            <w:pPr>
              <w:spacing w:after="251" w:line="267" w:lineRule="auto"/>
              <w:ind w:left="0" w:firstLine="0"/>
            </w:pPr>
            <w:r>
              <w:t xml:space="preserve">NIfTI affine tracking, spatial resampling </w:t>
            </w:r>
          </w:p>
        </w:tc>
      </w:tr>
      <w:tr w14:paraId="180C9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4" w:type="dxa"/>
          </w:tcPr>
          <w:p w14:paraId="2CEFD7D5">
            <w:pPr>
              <w:spacing w:after="251" w:line="267" w:lineRule="auto"/>
              <w:ind w:left="0" w:firstLine="0"/>
            </w:pPr>
            <w:r>
              <w:t xml:space="preserve">Core Deep Learning </w:t>
            </w:r>
          </w:p>
        </w:tc>
        <w:tc>
          <w:tcPr>
            <w:tcW w:w="3004" w:type="dxa"/>
          </w:tcPr>
          <w:p w14:paraId="0837C3E6">
            <w:pPr>
              <w:spacing w:after="251" w:line="267" w:lineRule="auto"/>
              <w:ind w:left="0" w:firstLine="0"/>
            </w:pPr>
            <w:r>
              <w:t xml:space="preserve">PyTorch 2.3 + TorchScript </w:t>
            </w:r>
          </w:p>
        </w:tc>
        <w:tc>
          <w:tcPr>
            <w:tcW w:w="3005" w:type="dxa"/>
          </w:tcPr>
          <w:p w14:paraId="5E6306E6">
            <w:pPr>
              <w:spacing w:after="251" w:line="267" w:lineRule="auto"/>
              <w:ind w:left="0" w:firstLine="0"/>
            </w:pPr>
            <w:r>
              <w:t xml:space="preserve">Dynamic graph training and C++ deployment </w:t>
            </w:r>
          </w:p>
        </w:tc>
      </w:tr>
      <w:tr w14:paraId="3FE9B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4" w:type="dxa"/>
          </w:tcPr>
          <w:p w14:paraId="35E9F00D">
            <w:pPr>
              <w:spacing w:after="251" w:line="267" w:lineRule="auto"/>
              <w:ind w:left="0" w:firstLine="0"/>
            </w:pPr>
            <w:r>
              <w:t xml:space="preserve">Augmentation Engine </w:t>
            </w:r>
          </w:p>
        </w:tc>
        <w:tc>
          <w:tcPr>
            <w:tcW w:w="3004" w:type="dxa"/>
          </w:tcPr>
          <w:p w14:paraId="6AAAE2EF">
            <w:pPr>
              <w:spacing w:after="251" w:line="267" w:lineRule="auto"/>
              <w:ind w:left="0" w:firstLine="0"/>
            </w:pPr>
            <w:r>
              <w:t xml:space="preserve">Albumentations 1.4 </w:t>
            </w:r>
          </w:p>
        </w:tc>
        <w:tc>
          <w:tcPr>
            <w:tcW w:w="3005" w:type="dxa"/>
          </w:tcPr>
          <w:p w14:paraId="38D0DE37">
            <w:pPr>
              <w:spacing w:after="251" w:line="267" w:lineRule="auto"/>
              <w:ind w:left="0" w:firstLine="0"/>
            </w:pPr>
            <w:r>
              <w:t>Affine transforms, 3D elastic distortions</w:t>
            </w:r>
          </w:p>
        </w:tc>
      </w:tr>
      <w:tr w14:paraId="0CD1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4" w:type="dxa"/>
          </w:tcPr>
          <w:p w14:paraId="03918512">
            <w:pPr>
              <w:spacing w:after="251" w:line="267" w:lineRule="auto"/>
              <w:ind w:left="0" w:firstLine="0"/>
            </w:pPr>
            <w:r>
              <w:t xml:space="preserve">Interpretability Core </w:t>
            </w:r>
          </w:p>
        </w:tc>
        <w:tc>
          <w:tcPr>
            <w:tcW w:w="3004" w:type="dxa"/>
          </w:tcPr>
          <w:p w14:paraId="00AAB811">
            <w:pPr>
              <w:spacing w:after="251" w:line="267" w:lineRule="auto"/>
              <w:ind w:left="0" w:firstLine="0"/>
            </w:pPr>
            <w:r>
              <w:t xml:space="preserve">Captum 0.7 </w:t>
            </w:r>
          </w:p>
        </w:tc>
        <w:tc>
          <w:tcPr>
            <w:tcW w:w="3005" w:type="dxa"/>
          </w:tcPr>
          <w:p w14:paraId="30642451">
            <w:pPr>
              <w:spacing w:after="251" w:line="267" w:lineRule="auto"/>
              <w:ind w:left="0" w:firstLine="0"/>
            </w:pPr>
            <w:r>
              <w:t>Grad-CAM, Integrated Gradients computation</w:t>
            </w:r>
          </w:p>
        </w:tc>
      </w:tr>
    </w:tbl>
    <w:p w14:paraId="7C982791">
      <w:pPr>
        <w:spacing w:after="251" w:line="267" w:lineRule="auto"/>
        <w:ind w:left="0" w:firstLine="0"/>
      </w:pPr>
    </w:p>
    <w:p w14:paraId="6438AE0E">
      <w:pPr>
        <w:spacing w:after="251" w:line="267" w:lineRule="auto"/>
        <w:ind w:left="-5"/>
      </w:pPr>
      <w:r>
        <w:rPr>
          <w:b/>
        </w:rPr>
        <w:t xml:space="preserve">5 . Results and Validation </w:t>
      </w:r>
    </w:p>
    <w:p w14:paraId="1FBEE916">
      <w:pPr>
        <w:pStyle w:val="4"/>
        <w:spacing w:before="0"/>
        <w:rPr>
          <w:rFonts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Quantitative Benchmark on Multi-Center Test Partition</w:t>
      </w:r>
    </w:p>
    <w:p w14:paraId="7A00C249">
      <w:pPr>
        <w:pStyle w:val="9"/>
        <w:spacing w:before="0" w:beforeAutospacing="0"/>
      </w:pPr>
      <w:r>
        <w:t xml:space="preserve">The validation pipeline evaluated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test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=640</m:t>
        </m:r>
      </m:oMath>
      <w:r>
        <w:t xml:space="preserve"> independent volumes across 4 classes using Stratified 5-Fold Cross Validation.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9"/>
        <w:gridCol w:w="2175"/>
        <w:gridCol w:w="1585"/>
        <w:gridCol w:w="2740"/>
      </w:tblGrid>
      <w:tr w14:paraId="19485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2A6DCC">
            <w:r>
              <w:rPr>
                <w:rStyle w:val="10"/>
              </w:rPr>
              <w:t>Metric</w:t>
            </w:r>
          </w:p>
        </w:tc>
        <w:tc>
          <w:tcPr>
            <w:tcW w:w="0" w:type="auto"/>
          </w:tcPr>
          <w:p w14:paraId="18C2E794">
            <w:r>
              <w:rPr>
                <w:rStyle w:val="10"/>
              </w:rPr>
              <w:t>ResNet-50 (Baseline)</w:t>
            </w:r>
          </w:p>
        </w:tc>
        <w:tc>
          <w:tcPr>
            <w:tcW w:w="0" w:type="auto"/>
          </w:tcPr>
          <w:p w14:paraId="083AE2A6">
            <w:r>
              <w:rPr>
                <w:rStyle w:val="10"/>
              </w:rPr>
              <w:t>DenseNet-121</w:t>
            </w:r>
          </w:p>
        </w:tc>
        <w:tc>
          <w:tcPr>
            <w:tcW w:w="0" w:type="auto"/>
          </w:tcPr>
          <w:p w14:paraId="5615B187">
            <w:r>
              <w:rPr>
                <w:rStyle w:val="10"/>
              </w:rPr>
              <w:t>EfficientNet-B0 (Proposed)</w:t>
            </w:r>
          </w:p>
        </w:tc>
      </w:tr>
      <w:tr w14:paraId="64190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1F5571">
            <w:r>
              <w:rPr>
                <w:b/>
                <w:bCs/>
              </w:rPr>
              <w:t>Overall Accuracy</w:t>
            </w:r>
          </w:p>
        </w:tc>
        <w:tc>
          <w:tcPr>
            <w:tcW w:w="0" w:type="auto"/>
          </w:tcPr>
          <w:p w14:paraId="351D8AA5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89.4±0.6%</m:t>
                </m:r>
              </m:oMath>
            </m:oMathPara>
          </w:p>
        </w:tc>
        <w:tc>
          <w:tcPr>
            <w:tcW w:w="0" w:type="auto"/>
          </w:tcPr>
          <w:p w14:paraId="495CB76E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91.2±0.4%</m:t>
                </m:r>
              </m:oMath>
            </m:oMathPara>
          </w:p>
        </w:tc>
        <w:tc>
          <w:tcPr>
            <w:tcW w:w="0" w:type="auto"/>
          </w:tcPr>
          <w:p w14:paraId="04F5C87D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94.1±0.3%</m:t>
                </m:r>
              </m:oMath>
            </m:oMathPara>
          </w:p>
        </w:tc>
      </w:tr>
      <w:tr w14:paraId="59FC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67ECF8">
            <w:r>
              <w:rPr>
                <w:b/>
                <w:bCs/>
              </w:rPr>
              <w:t>Balanced Accuracy</w:t>
            </w:r>
          </w:p>
        </w:tc>
        <w:tc>
          <w:tcPr>
            <w:tcW w:w="0" w:type="auto"/>
          </w:tcPr>
          <w:p w14:paraId="40FAB119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86.8±0.7%</m:t>
                </m:r>
              </m:oMath>
            </m:oMathPara>
          </w:p>
        </w:tc>
        <w:tc>
          <w:tcPr>
            <w:tcW w:w="0" w:type="auto"/>
          </w:tcPr>
          <w:p w14:paraId="6C68DF1A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89.5±0.5%</m:t>
                </m:r>
              </m:oMath>
            </m:oMathPara>
          </w:p>
        </w:tc>
        <w:tc>
          <w:tcPr>
            <w:tcW w:w="0" w:type="auto"/>
          </w:tcPr>
          <w:p w14:paraId="0E43CC2E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93.4±0.4%</m:t>
                </m:r>
              </m:oMath>
            </m:oMathPara>
          </w:p>
        </w:tc>
      </w:tr>
      <w:tr w14:paraId="7952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D4076A1">
            <w:r>
              <w:rPr>
                <w:b/>
                <w:bCs/>
              </w:rPr>
              <w:t>Macro Sensitivity (Recall)</w:t>
            </w:r>
          </w:p>
        </w:tc>
        <w:tc>
          <w:tcPr>
            <w:tcW w:w="0" w:type="auto"/>
          </w:tcPr>
          <w:p w14:paraId="3D13D3AF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85.7±0.8%</m:t>
                </m:r>
              </m:oMath>
            </m:oMathPara>
          </w:p>
        </w:tc>
        <w:tc>
          <w:tcPr>
            <w:tcW w:w="0" w:type="auto"/>
          </w:tcPr>
          <w:p w14:paraId="3CACA835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88.9±0.6%</m:t>
                </m:r>
              </m:oMath>
            </m:oMathPara>
          </w:p>
        </w:tc>
        <w:tc>
          <w:tcPr>
            <w:tcW w:w="0" w:type="auto"/>
          </w:tcPr>
          <w:p w14:paraId="46BDC59B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92.8±0.5%</m:t>
                </m:r>
              </m:oMath>
            </m:oMathPara>
          </w:p>
        </w:tc>
      </w:tr>
      <w:tr w14:paraId="0253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1D8E65">
            <w:r>
              <w:rPr>
                <w:b/>
                <w:bCs/>
              </w:rPr>
              <w:t>Sensitivity (Very Mild CI)</w:t>
            </w:r>
          </w:p>
        </w:tc>
        <w:tc>
          <w:tcPr>
            <w:tcW w:w="0" w:type="auto"/>
          </w:tcPr>
          <w:p w14:paraId="4FECB6A5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81.2±1.1%</m:t>
                </m:r>
              </m:oMath>
            </m:oMathPara>
          </w:p>
        </w:tc>
        <w:tc>
          <w:tcPr>
            <w:tcW w:w="0" w:type="auto"/>
          </w:tcPr>
          <w:p w14:paraId="4727BED1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84.7±0.9%</m:t>
                </m:r>
              </m:oMath>
            </m:oMathPara>
          </w:p>
        </w:tc>
        <w:tc>
          <w:tcPr>
            <w:tcW w:w="0" w:type="auto"/>
          </w:tcPr>
          <w:p w14:paraId="5AD040D3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90.6±0.8%</m:t>
                </m:r>
              </m:oMath>
            </m:oMathPara>
          </w:p>
        </w:tc>
      </w:tr>
      <w:tr w14:paraId="1F26F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8E77C9">
            <w:r>
              <w:rPr>
                <w:b/>
                <w:bCs/>
              </w:rPr>
              <w:t>Macro Specificity</w:t>
            </w:r>
          </w:p>
        </w:tc>
        <w:tc>
          <w:tcPr>
            <w:tcW w:w="0" w:type="auto"/>
          </w:tcPr>
          <w:p w14:paraId="0E964D31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92.1±0.4%</m:t>
                </m:r>
              </m:oMath>
            </m:oMathPara>
          </w:p>
        </w:tc>
        <w:tc>
          <w:tcPr>
            <w:tcW w:w="0" w:type="auto"/>
          </w:tcPr>
          <w:p w14:paraId="371BFBE3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93.8±0.3%</m:t>
                </m:r>
              </m:oMath>
            </m:oMathPara>
          </w:p>
        </w:tc>
        <w:tc>
          <w:tcPr>
            <w:tcW w:w="0" w:type="auto"/>
          </w:tcPr>
          <w:p w14:paraId="479AF7F3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96.2±0.3%</m:t>
                </m:r>
              </m:oMath>
            </m:oMathPara>
          </w:p>
        </w:tc>
      </w:tr>
      <w:tr w14:paraId="3032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32B247">
            <w:r>
              <w:rPr>
                <w:b/>
                <w:bCs/>
              </w:rPr>
              <w:t>Macro F1-Score</w:t>
            </w:r>
          </w:p>
        </w:tc>
        <w:tc>
          <w:tcPr>
            <w:tcW w:w="0" w:type="auto"/>
          </w:tcPr>
          <w:p w14:paraId="51EE2456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86.4±0.6%</m:t>
                </m:r>
              </m:oMath>
            </m:oMathPara>
          </w:p>
        </w:tc>
        <w:tc>
          <w:tcPr>
            <w:tcW w:w="0" w:type="auto"/>
          </w:tcPr>
          <w:p w14:paraId="37F4C937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89.3±0.5%</m:t>
                </m:r>
              </m:oMath>
            </m:oMathPara>
          </w:p>
        </w:tc>
        <w:tc>
          <w:tcPr>
            <w:tcW w:w="0" w:type="auto"/>
          </w:tcPr>
          <w:p w14:paraId="44D811E1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93.1±0.4%</m:t>
                </m:r>
              </m:oMath>
            </m:oMathPara>
          </w:p>
        </w:tc>
      </w:tr>
      <w:tr w14:paraId="1B9C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74FD3B9">
            <w:r>
              <w:rPr>
                <w:b/>
                <w:bCs/>
              </w:rPr>
              <w:t>Area Under ROC (AUC)</w:t>
            </w:r>
          </w:p>
        </w:tc>
        <w:tc>
          <w:tcPr>
            <w:tcW w:w="0" w:type="auto"/>
          </w:tcPr>
          <w:p w14:paraId="3C7A1E19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0.932</m:t>
                </m:r>
              </m:oMath>
            </m:oMathPara>
          </w:p>
        </w:tc>
        <w:tc>
          <w:tcPr>
            <w:tcW w:w="0" w:type="auto"/>
          </w:tcPr>
          <w:p w14:paraId="33E18045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0.954</m:t>
                </m:r>
              </m:oMath>
            </m:oMathPara>
          </w:p>
        </w:tc>
        <w:tc>
          <w:tcPr>
            <w:tcW w:w="0" w:type="auto"/>
          </w:tcPr>
          <w:p w14:paraId="6D02B313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0.978</m:t>
                </m:r>
              </m:oMath>
            </m:oMathPara>
          </w:p>
        </w:tc>
      </w:tr>
      <w:tr w14:paraId="1DE2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9EB9EF">
            <w:r>
              <w:rPr>
                <w:b/>
                <w:bCs/>
              </w:rPr>
              <w:t>Model Parameters</w:t>
            </w:r>
          </w:p>
        </w:tc>
        <w:tc>
          <w:tcPr>
            <w:tcW w:w="0" w:type="auto"/>
          </w:tcPr>
          <w:p w14:paraId="204FE5E2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25.6×</m:t>
                </m:r>
                <m:sSup>
                  <m:sSup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auto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auto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 w14:paraId="3432E3D9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7.98×</m:t>
                </m:r>
                <m:sSup>
                  <m:sSup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color w:val="auto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color w:val="auto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up>
                </m:sSup>
              </m:oMath>
            </m:oMathPara>
          </w:p>
        </w:tc>
        <w:tc>
          <w:tcPr>
            <w:tcW w:w="0" w:type="auto"/>
          </w:tcPr>
          <w:p w14:paraId="1F5BC005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5.29×</m:t>
                </m:r>
                <m:sSup>
                  <m:sSupP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uto"/>
                      </w:rPr>
                      <m:t>10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e>
                  <m:sup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auto"/>
                      </w:rPr>
                      <m:t>6</m:t>
                    </m:r>
                    <m:ctrlPr>
                      <w:rPr>
                        <w:rFonts w:ascii="Cambria Math" w:hAnsi="Cambria Math"/>
                        <w:color w:val="auto"/>
                      </w:rPr>
                    </m:ctrlPr>
                  </m:sup>
                </m:sSup>
              </m:oMath>
            </m:oMathPara>
          </w:p>
        </w:tc>
      </w:tr>
      <w:tr w14:paraId="7955B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B85C286">
            <w:r>
              <w:rPr>
                <w:b/>
                <w:bCs/>
              </w:rPr>
              <w:t>Inference Time / Vol (GPU)</w:t>
            </w:r>
          </w:p>
        </w:tc>
        <w:tc>
          <w:tcPr>
            <w:tcW w:w="0" w:type="auto"/>
          </w:tcPr>
          <w:p w14:paraId="25843D5D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24.8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ms</m:t>
                </m:r>
              </m:oMath>
            </m:oMathPara>
          </w:p>
        </w:tc>
        <w:tc>
          <w:tcPr>
            <w:tcW w:w="0" w:type="auto"/>
          </w:tcPr>
          <w:p w14:paraId="5D32D27A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18.4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ms</m:t>
                </m:r>
              </m:oMath>
            </m:oMathPara>
          </w:p>
        </w:tc>
        <w:tc>
          <w:tcPr>
            <w:tcW w:w="0" w:type="auto"/>
          </w:tcPr>
          <w:p w14:paraId="01C18D48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9.4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ms</m:t>
                </m:r>
              </m:oMath>
            </m:oMathPara>
          </w:p>
        </w:tc>
      </w:tr>
      <w:tr w14:paraId="533CD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B691BD">
            <w:r>
              <w:rPr>
                <w:b/>
                <w:bCs/>
              </w:rPr>
              <w:t>Peak Training VRAM</w:t>
            </w:r>
          </w:p>
        </w:tc>
        <w:tc>
          <w:tcPr>
            <w:tcW w:w="0" w:type="auto"/>
          </w:tcPr>
          <w:p w14:paraId="3F01F107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11.4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GB</m:t>
                </m:r>
              </m:oMath>
            </m:oMathPara>
          </w:p>
        </w:tc>
        <w:tc>
          <w:tcPr>
            <w:tcW w:w="0" w:type="auto"/>
          </w:tcPr>
          <w:p w14:paraId="48886C90">
            <m:oMathPara>
              <m:oMath>
                <m:r>
                  <m:rPr/>
                  <w:rPr>
                    <w:rFonts w:ascii="Cambria Math" w:hAnsi="Cambria Math"/>
                    <w:color w:val="auto"/>
                  </w:rPr>
                  <m:t>8.2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GB</m:t>
                </m:r>
              </m:oMath>
            </m:oMathPara>
          </w:p>
        </w:tc>
        <w:tc>
          <w:tcPr>
            <w:tcW w:w="0" w:type="auto"/>
          </w:tcPr>
          <w:p w14:paraId="34B9B40B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color w:val="auto"/>
                  </w:rPr>
                  <m:t>4.1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auto"/>
                  </w:rPr>
                  <m:t> GB</m:t>
                </m:r>
              </m:oMath>
            </m:oMathPara>
          </w:p>
        </w:tc>
      </w:tr>
    </w:tbl>
    <w:p w14:paraId="6EA94CF5">
      <w:pPr>
        <w:pStyle w:val="4"/>
        <w:spacing w:before="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3"/>
      </w:tblGrid>
      <w:tr w14:paraId="6ED86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42B68350">
            <w:pPr>
              <w:pStyle w:val="4"/>
              <w:spacing w:before="0"/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Confusion Matrix (EfficientNet-B0 - Test Set: </w:t>
            </w:r>
            <m:oMath>
              <m:r>
                <m:rPr>
                  <m:sty m:val="bi"/>
                </m:rPr>
                <w:rPr>
                  <w:rFonts w:ascii="Cambria Math" w:hAnsi="Cambria Math" w:eastAsia="Times New Roman" w:cs="Times New Roman"/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m:t>n=640</m:t>
              </m:r>
            </m:oMath>
            <w:r>
              <w:rPr>
                <w:rFonts w:ascii="Times New Roman" w:hAnsi="Times New Roman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)</w:t>
            </w:r>
          </w:p>
        </w:tc>
      </w:tr>
      <w:tr w14:paraId="58D6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7E031F59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                        PREDICTED CLASS</w:t>
            </w:r>
          </w:p>
        </w:tc>
      </w:tr>
      <w:tr w14:paraId="59999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3B37753E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                  </w:t>
            </w:r>
            <w:r>
              <w:rPr>
                <w:rStyle w:val="7"/>
                <w:rFonts w:ascii="Times New Roman" w:hAnsi="Times New Roman" w:cs="Times New Roman"/>
              </w:rPr>
              <w:t xml:space="preserve">                           </w:t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NC      VMCI     MCI      AD    TOTAL</w:t>
            </w:r>
          </w:p>
        </w:tc>
      </w:tr>
      <w:tr w14:paraId="778E5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7502629F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ACTUAL CLASS</w:t>
            </w:r>
          </w:p>
        </w:tc>
      </w:tr>
      <w:tr w14:paraId="6DE3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2AC1F513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NC             </w:t>
            </w:r>
            <w:r>
              <w:rPr>
                <w:rStyle w:val="7"/>
                <w:rFonts w:ascii="Times New Roman" w:hAnsi="Times New Roman" w:cs="Times New Roman"/>
              </w:rPr>
              <w:t xml:space="preserve">                       </w:t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  154       6        0       0      160</w:t>
            </w:r>
          </w:p>
        </w:tc>
      </w:tr>
      <w:tr w14:paraId="1CA55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4E548CAB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VMCI           </w:t>
            </w:r>
            <w:r>
              <w:rPr>
                <w:rStyle w:val="7"/>
                <w:rFonts w:ascii="Times New Roman" w:hAnsi="Times New Roman" w:cs="Times New Roman"/>
              </w:rPr>
              <w:t xml:space="preserve">           </w:t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         11     145        4       0      160</w:t>
            </w:r>
          </w:p>
        </w:tc>
      </w:tr>
      <w:tr w14:paraId="2958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0DBD1198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MCI               </w:t>
            </w:r>
            <w:r>
              <w:rPr>
                <w:rStyle w:val="7"/>
                <w:rFonts w:ascii="Times New Roman" w:hAnsi="Times New Roman" w:cs="Times New Roman"/>
              </w:rPr>
              <w:t xml:space="preserve">             </w:t>
            </w: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 xml:space="preserve">       0       7      150       3      160</w:t>
            </w:r>
          </w:p>
        </w:tc>
      </w:tr>
      <w:tr w14:paraId="031B5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4ABE56F9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AD                                  0       0        4     156      160</w:t>
            </w:r>
          </w:p>
        </w:tc>
      </w:tr>
      <w:tr w14:paraId="39A54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4BF60EDE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TOTAL                           165     158      158     159      640</w:t>
            </w:r>
          </w:p>
        </w:tc>
      </w:tr>
    </w:tbl>
    <w:p w14:paraId="74F237C1">
      <w:pPr>
        <w:pStyle w:val="4"/>
        <w:spacing w:before="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Class-Specific Statistical Performance</w:t>
      </w:r>
    </w:p>
    <w:tbl>
      <w:tblPr>
        <w:tblStyle w:val="11"/>
        <w:tblW w:w="0" w:type="auto"/>
        <w:tblInd w:w="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3"/>
      </w:tblGrid>
      <w:tr w14:paraId="34B9B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7525584F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Class 0 (NC):       Precision = 93.3% | Recall = 96.3% | Specificity = 97.7%</w:t>
            </w:r>
          </w:p>
        </w:tc>
      </w:tr>
      <w:tr w14:paraId="5758A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531E9576">
            <w:pPr>
              <w:pStyle w:val="8"/>
              <w:ind w:left="0" w:firstLine="0"/>
              <w:rPr>
                <w:rStyle w:val="7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ascii="Times New Roman" w:hAnsi="Times New Roman" w:cs="Times New Roman"/>
                <w:sz w:val="24"/>
                <w:szCs w:val="24"/>
              </w:rPr>
              <w:t>Class 1 (VMCI):     Precision = 91.8% | Recall = 90.6% | Specificity = 97.3%</w:t>
            </w:r>
          </w:p>
        </w:tc>
      </w:tr>
      <w:tr w14:paraId="5F67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7F64F712">
            <w:pPr>
              <w:pStyle w:val="8"/>
              <w:ind w:left="0" w:firstLine="0"/>
              <w:rPr>
                <w:rStyle w:val="7"/>
                <w:rFonts w:ascii="Arial" w:hAnsi="Arial" w:cs="Arial"/>
              </w:rPr>
            </w:pPr>
            <w:r>
              <w:rPr>
                <w:rStyle w:val="7"/>
                <w:rFonts w:ascii="Arial" w:hAnsi="Arial" w:cs="Arial"/>
              </w:rPr>
              <w:t>Class 2 (MCI):      Precision = 94.9% | Recall = 93.8% | Specificity = 98.3%</w:t>
            </w:r>
          </w:p>
        </w:tc>
      </w:tr>
      <w:tr w14:paraId="03FA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3" w:type="dxa"/>
          </w:tcPr>
          <w:p w14:paraId="1B2F6320">
            <w:pPr>
              <w:pStyle w:val="8"/>
              <w:ind w:left="0" w:firstLine="0"/>
              <w:rPr>
                <w:rFonts w:ascii="Arial" w:hAnsi="Arial" w:cs="Arial"/>
              </w:rPr>
            </w:pPr>
            <w:r>
              <w:rPr>
                <w:rStyle w:val="7"/>
                <w:rFonts w:ascii="Arial" w:hAnsi="Arial" w:cs="Arial"/>
              </w:rPr>
              <w:t>Class 3 (AD):       Precision = 98.1% | Recall = 97.5% | Specificity = 99.4%</w:t>
            </w:r>
          </w:p>
        </w:tc>
      </w:tr>
    </w:tbl>
    <w:p w14:paraId="7367F540">
      <w:pPr>
        <w:numPr>
          <w:ilvl w:val="0"/>
          <w:numId w:val="8"/>
        </w:numPr>
        <w:spacing w:after="251" w:line="267" w:lineRule="auto"/>
        <w:ind w:hanging="240"/>
      </w:pPr>
      <w:r>
        <w:rPr>
          <w:b/>
        </w:rPr>
        <w:t xml:space="preserve">Analysis and Engineering Decision </w:t>
      </w:r>
    </w:p>
    <w:p w14:paraId="280EF51A">
      <w:pPr>
        <w:spacing w:after="246"/>
        <w:rPr>
          <w:b/>
          <w:bCs/>
        </w:rPr>
      </w:pPr>
      <w:r>
        <w:t xml:space="preserve"> </w:t>
      </w:r>
      <w:r>
        <w:rPr>
          <w:b/>
          <w:bCs/>
        </w:rPr>
        <w:t>Quantitative Trade-offs</w:t>
      </w:r>
    </w:p>
    <w:p w14:paraId="60DDB14C">
      <w:pPr>
        <w:numPr>
          <w:ilvl w:val="0"/>
          <w:numId w:val="9"/>
        </w:numPr>
        <w:spacing w:after="246"/>
      </w:pPr>
      <w:r>
        <w:rPr>
          <w:b/>
          <w:bCs/>
        </w:rPr>
        <w:t>Sensitivity on Transition Stages:</w:t>
      </w:r>
      <w:r>
        <w:t xml:space="preserve"> The critical diagnostic failure point is misclassifying Early/Very Mild CI as normal age-related brain changes (False Negatives). EfficientNet-B0 achieves a </w:t>
      </w:r>
      <m:oMath>
        <m:r>
          <m:rPr/>
          <w:rPr>
            <w:rFonts w:ascii="Cambria Math" w:hAnsi="Cambria Math"/>
          </w:rPr>
          <m:t>90.6%</m:t>
        </m:r>
      </m:oMath>
      <w:r>
        <w:t xml:space="preserve"> sensitivity on VMCI, outperforming ResNet-50 (</w:t>
      </w:r>
      <m:oMath>
        <m:r>
          <m:rPr/>
          <w:rPr>
            <w:rFonts w:ascii="Cambria Math" w:hAnsi="Cambria Math"/>
          </w:rPr>
          <m:t>81.2%</m:t>
        </m:r>
      </m:oMath>
      <w:r>
        <w:t xml:space="preserve">) by nearly </w:t>
      </w:r>
      <m:oMath>
        <m:r>
          <m:rPr/>
          <w:rPr>
            <w:rFonts w:ascii="Cambria Math" w:hAnsi="Cambria Math"/>
          </w:rPr>
          <m:t>10</m:t>
        </m:r>
      </m:oMath>
      <w:r>
        <w:t xml:space="preserve"> percentage points. This improvement stems from the Squeeze-and-Excitation mechanisms selectively reweighting subtle contrast boundaries in hippocampal gray matter.</w:t>
      </w:r>
    </w:p>
    <w:p w14:paraId="33E79C0F">
      <w:pPr>
        <w:numPr>
          <w:ilvl w:val="0"/>
          <w:numId w:val="9"/>
        </w:numPr>
        <w:spacing w:after="246"/>
      </w:pPr>
      <w:r>
        <w:rPr>
          <w:b/>
          <w:bCs/>
        </w:rPr>
        <w:t>Computational Efficiency:</w:t>
      </w:r>
      <w:r>
        <w:t xml:space="preserve"> DenseNet-121 achieved competitive classification performance (</w:t>
      </w:r>
      <m:oMath>
        <m:r>
          <m:rPr/>
          <w:rPr>
            <w:rFonts w:ascii="Cambria Math" w:hAnsi="Cambria Math"/>
          </w:rPr>
          <m:t>91.2%</m:t>
        </m:r>
      </m:oMath>
      <w:r>
        <w:t xml:space="preserve">), but its dense concatenation layers generate high memory traffic and high FLOP counts per forward pass. EfficientNet-B0 reduced parameter overhead by </w:t>
      </w:r>
      <m:oMath>
        <m:r>
          <m:rPr/>
          <w:rPr>
            <w:rFonts w:ascii="Cambria Math" w:hAnsi="Cambria Math"/>
          </w:rPr>
          <m:t>33.7%</m:t>
        </m:r>
      </m:oMath>
      <w:r>
        <w:t xml:space="preserve"> relative to DenseNet and </w:t>
      </w:r>
      <m:oMath>
        <m:r>
          <m:rPr/>
          <w:rPr>
            <w:rFonts w:ascii="Cambria Math" w:hAnsi="Cambria Math"/>
          </w:rPr>
          <m:t>79.3%</m:t>
        </m:r>
      </m:oMath>
      <w:r>
        <w:t xml:space="preserve"> relative to ResNet-50, while lowering memory consumption to </w:t>
      </w:r>
      <m:oMath>
        <m:r>
          <m:rPr/>
          <w:rPr>
            <w:rFonts w:ascii="Cambria Math" w:hAnsi="Cambria Math"/>
          </w:rPr>
          <m:t>4.1</m:t>
        </m:r>
        <m:r>
          <m:rPr>
            <m:nor/>
            <m:sty m:val="p"/>
          </m:rPr>
          <w:rPr>
            <w:b w:val="0"/>
            <w:i w:val="0"/>
          </w:rPr>
          <m:t> GB</m:t>
        </m:r>
      </m:oMath>
      <w:r>
        <w:t>, allowing it to run within low-cost clinic environments.</w:t>
      </w:r>
    </w:p>
    <w:p w14:paraId="641FD1C9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Saliency and Clinical Interpretability</w:t>
      </w:r>
    </w:p>
    <w:p w14:paraId="33BFFD16">
      <w:pPr>
        <w:pStyle w:val="9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Grad-CAM heatmaps validated model predictions against neurological ground truth:</w:t>
      </w:r>
    </w:p>
    <w:p w14:paraId="0C669634">
      <w:pPr>
        <w:spacing w:after="246"/>
        <w:ind w:left="720" w:firstLine="0"/>
      </w:pPr>
    </w:p>
    <w:p w14:paraId="46993655">
      <w:pPr>
        <w:spacing w:after="246"/>
        <w:ind w:left="720" w:firstLine="0"/>
      </w:pPr>
      <w:r>
        <w:drawing>
          <wp:inline distT="0" distB="0" distL="0" distR="0">
            <wp:extent cx="5568950" cy="3009900"/>
            <wp:effectExtent l="0" t="0" r="0" b="0"/>
            <wp:docPr id="16779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959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2AD0">
      <w:pPr>
        <w:spacing w:after="246"/>
        <w:ind w:left="720" w:firstLine="0"/>
      </w:pPr>
      <w:r>
        <w:rPr>
          <w:b/>
          <w:bCs/>
        </w:rPr>
        <w:t>NC Scans:</w:t>
      </w:r>
      <w:r>
        <w:t xml:space="preserve"> Saliency fields are diffuse and balanced, indicating no focal volumetric degradation.</w:t>
      </w:r>
    </w:p>
    <w:p w14:paraId="274808E9">
      <w:pPr>
        <w:spacing w:after="246"/>
        <w:ind w:left="720" w:firstLine="0"/>
      </w:pPr>
      <w:r>
        <w:rPr>
          <w:b/>
          <w:bCs/>
        </w:rPr>
        <w:t>Early MCI / AD Scans:</w:t>
      </w:r>
      <w:r>
        <w:t xml:space="preserve"> The network produces steep gradient activations centered on the </w:t>
      </w:r>
      <w:r>
        <w:rPr>
          <w:b/>
          <w:bCs/>
        </w:rPr>
        <w:t>medial temporal lobe</w:t>
      </w:r>
      <w:r>
        <w:t xml:space="preserve">, specifically the </w:t>
      </w:r>
      <w:r>
        <w:rPr>
          <w:b/>
          <w:bCs/>
        </w:rPr>
        <w:t>hippocampus</w:t>
      </w:r>
      <w:r>
        <w:t xml:space="preserve">, </w:t>
      </w:r>
      <w:r>
        <w:rPr>
          <w:b/>
          <w:bCs/>
        </w:rPr>
        <w:t>entorhinal cortex</w:t>
      </w:r>
      <w:r>
        <w:t xml:space="preserve">, and the </w:t>
      </w:r>
      <w:r>
        <w:rPr>
          <w:b/>
          <w:bCs/>
        </w:rPr>
        <w:t>inferior horns of the lateral ventricles</w:t>
      </w:r>
      <w:r>
        <w:t>.</w:t>
      </w:r>
    </w:p>
    <w:p w14:paraId="6B26D1EB">
      <w:pPr>
        <w:spacing w:after="246"/>
        <w:ind w:left="720" w:firstLine="0"/>
        <w:rPr>
          <w:b/>
          <w:bCs/>
        </w:rPr>
      </w:pPr>
      <w:r>
        <w:rPr>
          <w:b/>
          <w:bCs/>
        </w:rPr>
        <w:t>Final Engineering Decision</w:t>
      </w:r>
    </w:p>
    <w:p w14:paraId="4B501F7A">
      <w:pPr>
        <w:spacing w:after="246"/>
        <w:ind w:left="720" w:firstLine="0"/>
      </w:pPr>
      <w:r>
        <w:rPr>
          <w:b/>
          <w:bCs/>
        </w:rPr>
        <w:t>EfficientNet-B0</w:t>
      </w:r>
      <w:r>
        <w:t xml:space="preserve"> is selected as the primary production architecture. It delivers a superior trade-off across macro sensitivity (</w:t>
      </w:r>
      <m:oMath>
        <m:r>
          <m:rPr/>
          <w:rPr>
            <w:rFonts w:ascii="Cambria Math" w:hAnsi="Cambria Math"/>
          </w:rPr>
          <m:t>92.8%</m:t>
        </m:r>
      </m:oMath>
      <w:r>
        <w:t>), parameter footprint (</w:t>
      </w:r>
      <m:oMath>
        <m:r>
          <m:rPr/>
          <w:rPr>
            <w:rFonts w:ascii="Cambria Math" w:hAnsi="Cambria Math"/>
          </w:rPr>
          <m:t>5.29</m:t>
        </m:r>
        <m:r>
          <m:rPr>
            <m:nor/>
            <m:sty m:val="p"/>
          </m:rPr>
          <w:rPr>
            <w:b w:val="0"/>
            <w:i w:val="0"/>
          </w:rPr>
          <m:t>M</m:t>
        </m:r>
      </m:oMath>
      <w:r>
        <w:t>), and inference latency (</w:t>
      </w:r>
      <m:oMath>
        <m:r>
          <m:rPr/>
          <w:rPr>
            <w:rFonts w:ascii="Cambria Math" w:hAnsi="Cambria Math"/>
          </w:rPr>
          <m:t>9.4</m:t>
        </m:r>
        <m:r>
          <m:rPr>
            <m:nor/>
            <m:sty m:val="p"/>
          </m:rPr>
          <w:rPr>
            <w:b w:val="0"/>
            <w:i w:val="0"/>
          </w:rPr>
          <m:t> ms</m:t>
        </m:r>
      </m:oMath>
      <w:r>
        <w:t>), while aligning with neuropathological ground truth in saliency evaluations.</w:t>
      </w:r>
    </w:p>
    <w:p w14:paraId="47C31186">
      <w:pPr>
        <w:spacing w:after="246"/>
        <w:ind w:left="720" w:firstLine="0"/>
        <w:rPr>
          <w:b/>
          <w:bCs/>
        </w:rPr>
      </w:pPr>
      <w:r>
        <w:rPr>
          <w:b/>
          <w:bCs/>
        </w:rPr>
        <w:t>CODE</w:t>
      </w:r>
    </w:p>
    <w:p w14:paraId="400F394D">
      <w:pPr>
        <w:spacing w:after="246"/>
        <w:ind w:left="720" w:firstLine="0"/>
      </w:pPr>
      <w:r>
        <w:t>import torch</w:t>
      </w:r>
    </w:p>
    <w:p w14:paraId="231609E7">
      <w:pPr>
        <w:spacing w:after="246"/>
        <w:ind w:left="720" w:firstLine="0"/>
      </w:pPr>
      <w:r>
        <w:t>import torch.nn as nn</w:t>
      </w:r>
    </w:p>
    <w:p w14:paraId="1F86AEF9">
      <w:pPr>
        <w:spacing w:after="246"/>
        <w:ind w:left="720" w:firstLine="0"/>
      </w:pPr>
      <w:r>
        <w:t>import torch.nn.functional as F</w:t>
      </w:r>
    </w:p>
    <w:p w14:paraId="6C1BDF4F">
      <w:pPr>
        <w:spacing w:after="246"/>
        <w:ind w:left="720" w:firstLine="0"/>
      </w:pPr>
      <w:r>
        <w:t>from torchvision.models import efficientnet_b0, EfficientNet_B0_Weights</w:t>
      </w:r>
    </w:p>
    <w:p w14:paraId="0452D616">
      <w:pPr>
        <w:spacing w:after="246"/>
        <w:ind w:left="720" w:firstLine="0"/>
      </w:pPr>
      <w:r>
        <w:t>class MultiClassFocalLoss(nn.Module):</w:t>
      </w:r>
    </w:p>
    <w:p w14:paraId="03FEFD37">
      <w:pPr>
        <w:spacing w:after="246"/>
        <w:ind w:left="720" w:firstLine="0"/>
      </w:pPr>
      <w:r>
        <w:t xml:space="preserve">    def __init__(self, alpha: torch.Tensor, gamma: float = 2.0, reduction: str = 'mean'):</w:t>
      </w:r>
    </w:p>
    <w:p w14:paraId="6844D390">
      <w:pPr>
        <w:spacing w:after="246"/>
        <w:ind w:left="720" w:firstLine="0"/>
      </w:pPr>
      <w:r>
        <w:t xml:space="preserve">        super(MultiClassFocalLoss, self).__init__()</w:t>
      </w:r>
    </w:p>
    <w:p w14:paraId="33751813">
      <w:pPr>
        <w:spacing w:after="246"/>
        <w:ind w:left="720" w:firstLine="0"/>
      </w:pPr>
      <w:r>
        <w:t xml:space="preserve">        self.alpha = alpha  # Shape: [num_classes]</w:t>
      </w:r>
    </w:p>
    <w:p w14:paraId="2E2965CC">
      <w:pPr>
        <w:spacing w:after="246"/>
        <w:ind w:left="720" w:firstLine="0"/>
      </w:pPr>
      <w:r>
        <w:t xml:space="preserve">        self.gamma = gamma</w:t>
      </w:r>
    </w:p>
    <w:p w14:paraId="13C25546">
      <w:pPr>
        <w:spacing w:after="246"/>
        <w:ind w:left="720" w:firstLine="0"/>
      </w:pPr>
      <w:r>
        <w:t xml:space="preserve">        self.reduction = reduction</w:t>
      </w:r>
    </w:p>
    <w:p w14:paraId="214E13EE">
      <w:pPr>
        <w:spacing w:after="246"/>
        <w:ind w:left="720" w:firstLine="0"/>
      </w:pPr>
      <w:r>
        <w:t xml:space="preserve">    def forward(self, inputs: torch.Tensor, targets: torch.Tensor) -&gt; torch.Tensor:</w:t>
      </w:r>
    </w:p>
    <w:p w14:paraId="4B5F5F76">
      <w:pPr>
        <w:spacing w:after="246"/>
        <w:ind w:left="720" w:firstLine="0"/>
      </w:pPr>
      <w:r>
        <w:t xml:space="preserve">        # inputs: [Batch_Size, Num_Classes], targets: [Batch_Size]</w:t>
      </w:r>
    </w:p>
    <w:p w14:paraId="24DE0F14">
      <w:pPr>
        <w:spacing w:after="246"/>
        <w:ind w:left="720" w:firstLine="0"/>
      </w:pPr>
      <w:r>
        <w:t xml:space="preserve">        log_prob = F.log_softmax(inputs, dim=-1)</w:t>
      </w:r>
    </w:p>
    <w:p w14:paraId="3E41F769">
      <w:pPr>
        <w:spacing w:after="246"/>
        <w:ind w:left="720" w:firstLine="0"/>
      </w:pPr>
      <w:r>
        <w:t xml:space="preserve">        prob = torch.exp(log_prob)</w:t>
      </w:r>
    </w:p>
    <w:p w14:paraId="03BD4BD1">
      <w:pPr>
        <w:spacing w:after="246"/>
        <w:ind w:left="720" w:firstLine="0"/>
      </w:pPr>
      <w:r>
        <w:t xml:space="preserve">        target_log_prob = log_prob.gather(dim=-1, index=targets.unsqueeze(1)).squeeze(1)</w:t>
      </w:r>
    </w:p>
    <w:p w14:paraId="10124E25">
      <w:pPr>
        <w:spacing w:after="246"/>
        <w:ind w:left="720" w:firstLine="0"/>
      </w:pPr>
      <w:r>
        <w:t xml:space="preserve">        target_prob = prob.gather(dim=-1, index=targets.unsqueeze(1)).squeeze(1)</w:t>
      </w:r>
    </w:p>
    <w:p w14:paraId="294CA447">
      <w:pPr>
        <w:spacing w:after="246"/>
        <w:ind w:left="720" w:firstLine="0"/>
      </w:pPr>
      <w:r>
        <w:t xml:space="preserve">        alpha_factor = self.alpha.to(inputs.device).gather(dim=-1, index=targets)</w:t>
      </w:r>
    </w:p>
    <w:p w14:paraId="7C471287">
      <w:pPr>
        <w:spacing w:after="246"/>
        <w:ind w:left="720" w:firstLine="0"/>
      </w:pPr>
    </w:p>
    <w:p w14:paraId="4D9EC3F9">
      <w:pPr>
        <w:spacing w:after="246"/>
        <w:ind w:left="720" w:firstLine="0"/>
      </w:pPr>
      <w:r>
        <w:t xml:space="preserve">        # Modulating factor: (1 - p_t)^gamma</w:t>
      </w:r>
    </w:p>
    <w:p w14:paraId="5ED0F5E8">
      <w:pPr>
        <w:spacing w:after="246"/>
        <w:ind w:left="720" w:firstLine="0"/>
      </w:pPr>
      <w:r>
        <w:t xml:space="preserve">        focal_weight = alpha_factor * torch.pow((1.0 - target_prob), self.gamma)</w:t>
      </w:r>
    </w:p>
    <w:p w14:paraId="0FC8CE2B">
      <w:pPr>
        <w:spacing w:after="246"/>
        <w:ind w:left="720" w:firstLine="0"/>
      </w:pPr>
      <w:r>
        <w:t xml:space="preserve">        loss = -focal_weight * target_log_prob</w:t>
      </w:r>
    </w:p>
    <w:p w14:paraId="259A0344">
      <w:pPr>
        <w:spacing w:after="246"/>
        <w:ind w:left="720" w:firstLine="0"/>
      </w:pPr>
      <w:r>
        <w:t xml:space="preserve">        if self.reduction == 'mean':</w:t>
      </w:r>
    </w:p>
    <w:p w14:paraId="207C11A9">
      <w:pPr>
        <w:spacing w:after="246"/>
        <w:ind w:left="720" w:firstLine="0"/>
      </w:pPr>
      <w:r>
        <w:t xml:space="preserve">            return loss.mean()</w:t>
      </w:r>
    </w:p>
    <w:p w14:paraId="52BE3E96">
      <w:pPr>
        <w:spacing w:after="246"/>
        <w:ind w:left="720" w:firstLine="0"/>
      </w:pPr>
      <w:r>
        <w:t xml:space="preserve">        elif self.reduction == 'sum':</w:t>
      </w:r>
    </w:p>
    <w:p w14:paraId="6773D130">
      <w:pPr>
        <w:spacing w:after="246"/>
        <w:ind w:left="720" w:firstLine="0"/>
      </w:pPr>
      <w:r>
        <w:t xml:space="preserve">            return loss.sum()</w:t>
      </w:r>
    </w:p>
    <w:p w14:paraId="18D843F4">
      <w:pPr>
        <w:spacing w:after="246"/>
        <w:ind w:left="720" w:firstLine="0"/>
      </w:pPr>
      <w:r>
        <w:t xml:space="preserve">        return loss</w:t>
      </w:r>
    </w:p>
    <w:p w14:paraId="3BB3AE86">
      <w:pPr>
        <w:spacing w:after="246"/>
        <w:ind w:left="720" w:firstLine="0"/>
      </w:pPr>
      <w:r>
        <w:t>class AlzheimerEarlyDetector(nn.Module):</w:t>
      </w:r>
    </w:p>
    <w:p w14:paraId="773B1E12">
      <w:pPr>
        <w:spacing w:after="246"/>
        <w:ind w:left="720" w:firstLine="0"/>
      </w:pPr>
      <w:r>
        <w:t xml:space="preserve">    """</w:t>
      </w:r>
    </w:p>
    <w:p w14:paraId="31FD9F1D">
      <w:pPr>
        <w:spacing w:after="246"/>
        <w:ind w:left="720" w:firstLine="0"/>
      </w:pPr>
      <w:r>
        <w:t xml:space="preserve">    Compound-scaled 2.5D architecture for structural MRI classification.</w:t>
      </w:r>
    </w:p>
    <w:p w14:paraId="69CDD7B3">
      <w:pPr>
        <w:spacing w:after="246"/>
        <w:ind w:left="720" w:firstLine="0"/>
      </w:pPr>
      <w:r>
        <w:t xml:space="preserve">    """</w:t>
      </w:r>
    </w:p>
    <w:p w14:paraId="18D8E8C3">
      <w:pPr>
        <w:spacing w:after="246"/>
        <w:ind w:left="720" w:firstLine="0"/>
      </w:pPr>
      <w:r>
        <w:t xml:space="preserve">    def __init__(self, num_classes: int = 4, dropout_rate: float = 0.3):</w:t>
      </w:r>
    </w:p>
    <w:p w14:paraId="5466488C">
      <w:pPr>
        <w:spacing w:after="246"/>
        <w:ind w:left="720" w:firstLine="0"/>
      </w:pPr>
      <w:r>
        <w:t xml:space="preserve">        super(AlzheimerEarlyDetector, self).__init__()</w:t>
      </w:r>
    </w:p>
    <w:p w14:paraId="7A661BF3">
      <w:pPr>
        <w:spacing w:after="246"/>
        <w:ind w:left="720" w:firstLine="0"/>
      </w:pPr>
      <w:r>
        <w:t xml:space="preserve">        weights = EfficientNet_B0_Weights.DEFAULT</w:t>
      </w:r>
    </w:p>
    <w:p w14:paraId="7897BA7D">
      <w:pPr>
        <w:spacing w:after="246"/>
        <w:ind w:left="720" w:firstLine="0"/>
      </w:pPr>
      <w:r>
        <w:t xml:space="preserve">        base_model = efficientnet_b0(weights=weights)</w:t>
      </w:r>
    </w:p>
    <w:p w14:paraId="1B302EC9">
      <w:pPr>
        <w:spacing w:after="246"/>
        <w:ind w:left="720" w:firstLine="0"/>
      </w:pPr>
      <w:r>
        <w:t xml:space="preserve">        self.feature_extractor = base_model.features</w:t>
      </w:r>
    </w:p>
    <w:p w14:paraId="227F8DD1">
      <w:pPr>
        <w:spacing w:after="246"/>
        <w:ind w:left="720" w:firstLine="0"/>
      </w:pPr>
      <w:r>
        <w:t xml:space="preserve">        self.pool = nn.AdaptiveAvgPool2d((1, 1))</w:t>
      </w:r>
    </w:p>
    <w:p w14:paraId="127058A1">
      <w:pPr>
        <w:spacing w:after="246"/>
        <w:ind w:left="720" w:firstLine="0"/>
      </w:pPr>
      <w:r>
        <w:t xml:space="preserve">        self.classifier = nn.Sequential(</w:t>
      </w:r>
    </w:p>
    <w:p w14:paraId="7B04D9D3">
      <w:pPr>
        <w:spacing w:after="246"/>
        <w:ind w:left="720" w:firstLine="0"/>
      </w:pPr>
      <w:r>
        <w:t xml:space="preserve">            nn.Dropout(p=dropout_rate, inplace=True),</w:t>
      </w:r>
    </w:p>
    <w:p w14:paraId="04255C7B">
      <w:pPr>
        <w:spacing w:after="246"/>
        <w:ind w:left="720" w:firstLine="0"/>
      </w:pPr>
      <w:r>
        <w:t xml:space="preserve">            nn.Linear(1280, 256),</w:t>
      </w:r>
    </w:p>
    <w:p w14:paraId="285992A8">
      <w:pPr>
        <w:spacing w:after="246"/>
        <w:ind w:left="720" w:firstLine="0"/>
      </w:pPr>
      <w:r>
        <w:t xml:space="preserve">            nn.SiLU(),</w:t>
      </w:r>
    </w:p>
    <w:p w14:paraId="0F5C04CF">
      <w:pPr>
        <w:spacing w:after="246"/>
        <w:ind w:left="720" w:firstLine="0"/>
      </w:pPr>
      <w:r>
        <w:t xml:space="preserve">            nn.Dropout(p=dropout_rate / 2.0),</w:t>
      </w:r>
    </w:p>
    <w:p w14:paraId="58314181">
      <w:pPr>
        <w:spacing w:after="246"/>
        <w:ind w:left="720" w:firstLine="0"/>
      </w:pPr>
      <w:r>
        <w:t xml:space="preserve">            nn.Linear(256, num_classes)</w:t>
      </w:r>
    </w:p>
    <w:p w14:paraId="74AAD690">
      <w:pPr>
        <w:spacing w:after="246"/>
        <w:ind w:left="720" w:firstLine="0"/>
      </w:pPr>
      <w:r>
        <w:t xml:space="preserve">        )</w:t>
      </w:r>
    </w:p>
    <w:p w14:paraId="58F6574F">
      <w:pPr>
        <w:spacing w:after="246"/>
        <w:ind w:left="720" w:firstLine="0"/>
      </w:pPr>
    </w:p>
    <w:p w14:paraId="7D805B6B">
      <w:pPr>
        <w:spacing w:after="246"/>
        <w:ind w:left="720" w:firstLine="0"/>
      </w:pPr>
      <w:r>
        <w:t xml:space="preserve">    def forward(self, x: torch.Tensor) -&gt; torch.Tensor:</w:t>
      </w:r>
    </w:p>
    <w:p w14:paraId="40402363">
      <w:pPr>
        <w:spacing w:after="246"/>
        <w:ind w:left="720" w:firstLine="0"/>
      </w:pPr>
      <w:r>
        <w:t xml:space="preserve">        features = self.feature_extractor(x)</w:t>
      </w:r>
    </w:p>
    <w:p w14:paraId="779A6F31">
      <w:pPr>
        <w:spacing w:after="246"/>
        <w:ind w:left="720" w:firstLine="0"/>
      </w:pPr>
      <w:r>
        <w:t xml:space="preserve">        pooled = self.pool(features).flatten(1)</w:t>
      </w:r>
    </w:p>
    <w:p w14:paraId="7AA8B005">
      <w:pPr>
        <w:spacing w:after="246"/>
        <w:ind w:left="720" w:firstLine="0"/>
      </w:pPr>
      <w:r>
        <w:t xml:space="preserve">        logits = self.classifier(pooled)</w:t>
      </w:r>
    </w:p>
    <w:p w14:paraId="21B50427">
      <w:pPr>
        <w:spacing w:after="246"/>
        <w:ind w:left="720" w:firstLine="0"/>
      </w:pPr>
      <w:r>
        <w:t xml:space="preserve">        return logits</w:t>
      </w:r>
    </w:p>
    <w:p w14:paraId="386D0BDC">
      <w:pPr>
        <w:spacing w:after="246"/>
        <w:ind w:left="720" w:firstLine="0"/>
      </w:pPr>
      <w:r>
        <w:t xml:space="preserve">    def extract_gradcam(self, x: torch.Tensor, target_class: int) -&gt; torch.Tensor:</w:t>
      </w:r>
    </w:p>
    <w:p w14:paraId="4A6CB988">
      <w:pPr>
        <w:spacing w:after="246"/>
        <w:ind w:left="720" w:firstLine="0"/>
      </w:pPr>
      <w:r>
        <w:t xml:space="preserve">        """</w:t>
      </w:r>
    </w:p>
    <w:p w14:paraId="4816829A">
      <w:pPr>
        <w:spacing w:after="246"/>
        <w:ind w:left="720" w:firstLine="0"/>
      </w:pPr>
      <w:r>
        <w:t xml:space="preserve">        Calculates spatial gradient attribution maps from the terminal feature block.</w:t>
      </w:r>
    </w:p>
    <w:p w14:paraId="229D32E0">
      <w:pPr>
        <w:spacing w:after="246"/>
        <w:ind w:left="720" w:firstLine="0"/>
      </w:pPr>
      <w:r>
        <w:t xml:space="preserve">        """</w:t>
      </w:r>
    </w:p>
    <w:p w14:paraId="03B5888E">
      <w:pPr>
        <w:spacing w:after="246"/>
        <w:ind w:left="720" w:firstLine="0"/>
      </w:pPr>
      <w:r>
        <w:t xml:space="preserve">        self.eval()</w:t>
      </w:r>
    </w:p>
    <w:p w14:paraId="66446682">
      <w:pPr>
        <w:spacing w:after="246"/>
        <w:ind w:left="720" w:firstLine="0"/>
      </w:pPr>
      <w:r>
        <w:t xml:space="preserve">        features = None</w:t>
      </w:r>
    </w:p>
    <w:p w14:paraId="28402B69">
      <w:pPr>
        <w:spacing w:after="246"/>
        <w:ind w:left="720" w:firstLine="0"/>
      </w:pPr>
      <w:r>
        <w:t xml:space="preserve">        gradients = None</w:t>
      </w:r>
    </w:p>
    <w:p w14:paraId="40CE143D">
      <w:pPr>
        <w:spacing w:after="246"/>
        <w:ind w:left="720" w:firstLine="0"/>
      </w:pPr>
      <w:r>
        <w:t xml:space="preserve">        def forward_hook(module, input, output):</w:t>
      </w:r>
    </w:p>
    <w:p w14:paraId="3CEB51BC">
      <w:pPr>
        <w:spacing w:after="246"/>
        <w:ind w:left="720" w:firstLine="0"/>
      </w:pPr>
      <w:r>
        <w:t xml:space="preserve">            nonlocal features</w:t>
      </w:r>
    </w:p>
    <w:p w14:paraId="0E083BEB">
      <w:pPr>
        <w:spacing w:after="246"/>
        <w:ind w:left="720" w:firstLine="0"/>
      </w:pPr>
      <w:r>
        <w:t xml:space="preserve">            features = output</w:t>
      </w:r>
    </w:p>
    <w:p w14:paraId="6CEF502E">
      <w:pPr>
        <w:spacing w:after="246"/>
        <w:ind w:left="720" w:firstLine="0"/>
      </w:pPr>
      <w:r>
        <w:t xml:space="preserve">        def backward_hook(module, grad_in, grad_out):</w:t>
      </w:r>
    </w:p>
    <w:p w14:paraId="33E3DC30">
      <w:pPr>
        <w:spacing w:after="246"/>
        <w:ind w:left="720" w:firstLine="0"/>
      </w:pPr>
      <w:r>
        <w:t xml:space="preserve">            nonlocal gradients</w:t>
      </w:r>
    </w:p>
    <w:p w14:paraId="0574FA8E">
      <w:pPr>
        <w:spacing w:after="246"/>
        <w:ind w:left="720" w:firstLine="0"/>
      </w:pPr>
      <w:r>
        <w:t xml:space="preserve">            gradients = grad_out[0]</w:t>
      </w:r>
    </w:p>
    <w:p w14:paraId="73BCDB25">
      <w:pPr>
        <w:spacing w:after="246"/>
        <w:ind w:left="720" w:firstLine="0"/>
      </w:pPr>
      <w:r>
        <w:t xml:space="preserve">        hook_f = self.feature_extractor[-1].register_forward_hook(forward_hook)</w:t>
      </w:r>
    </w:p>
    <w:p w14:paraId="631C2207">
      <w:pPr>
        <w:spacing w:after="246"/>
        <w:ind w:left="720" w:firstLine="0"/>
      </w:pPr>
      <w:r>
        <w:t xml:space="preserve">        hook_b = self.feature_extractor[-1].register_full_backward_hook(backward_hook)</w:t>
      </w:r>
    </w:p>
    <w:p w14:paraId="495262C6">
      <w:pPr>
        <w:spacing w:after="246"/>
        <w:ind w:left="720" w:firstLine="0"/>
      </w:pPr>
      <w:r>
        <w:t xml:space="preserve">        logits = self.forward(x)</w:t>
      </w:r>
    </w:p>
    <w:p w14:paraId="78A425E9">
      <w:pPr>
        <w:spacing w:after="246"/>
        <w:ind w:left="720" w:firstLine="0"/>
      </w:pPr>
      <w:r>
        <w:t xml:space="preserve">        score = logits[:, target_class]</w:t>
      </w:r>
    </w:p>
    <w:p w14:paraId="4C4F4FA2">
      <w:pPr>
        <w:spacing w:after="246"/>
        <w:ind w:left="720" w:firstLine="0"/>
      </w:pPr>
      <w:r>
        <w:t xml:space="preserve">        self.zero_grad()</w:t>
      </w:r>
    </w:p>
    <w:p w14:paraId="19AEDA96">
      <w:pPr>
        <w:spacing w:after="246"/>
        <w:ind w:left="720" w:firstLine="0"/>
      </w:pPr>
      <w:r>
        <w:t xml:space="preserve">        score.backward(retain_graph=True)</w:t>
      </w:r>
    </w:p>
    <w:p w14:paraId="624978B6">
      <w:pPr>
        <w:spacing w:after="246"/>
        <w:ind w:left="0" w:firstLine="0"/>
      </w:pPr>
      <w:r>
        <w:t xml:space="preserve">                   alpha = gradients.mean(dim=[2, 3], keepdim=True)</w:t>
      </w:r>
    </w:p>
    <w:p w14:paraId="7C4F92BD">
      <w:pPr>
        <w:spacing w:after="246"/>
        <w:ind w:left="720" w:firstLine="0"/>
      </w:pPr>
      <w:r>
        <w:t xml:space="preserve">        cam = torch.relu(torch.sum(alpha * features, dim=1, keepdim=True))</w:t>
      </w:r>
    </w:p>
    <w:p w14:paraId="13BD4EDB">
      <w:pPr>
        <w:spacing w:after="246"/>
        <w:ind w:left="720" w:firstLine="0"/>
      </w:pPr>
      <w:r>
        <w:t xml:space="preserve">        cam = cam - cam.min()</w:t>
      </w:r>
    </w:p>
    <w:p w14:paraId="6086D424">
      <w:pPr>
        <w:spacing w:after="246"/>
        <w:ind w:left="720" w:firstLine="0"/>
      </w:pPr>
      <w:r>
        <w:t xml:space="preserve">        cam = cam / (cam.max() + 1e-8)</w:t>
      </w:r>
    </w:p>
    <w:p w14:paraId="26D51E00">
      <w:pPr>
        <w:spacing w:after="246"/>
        <w:ind w:left="720" w:firstLine="0"/>
      </w:pPr>
      <w:r>
        <w:t xml:space="preserve">        cam = F.interpolate(cam, size=x.shape[2:], mode='bilinear', align_corners=False)</w:t>
      </w:r>
    </w:p>
    <w:p w14:paraId="58ECB81F">
      <w:pPr>
        <w:spacing w:after="246"/>
        <w:ind w:left="720" w:firstLine="0"/>
      </w:pPr>
      <w:r>
        <w:t xml:space="preserve">        hook_f.remove()</w:t>
      </w:r>
    </w:p>
    <w:p w14:paraId="0C605A1A">
      <w:pPr>
        <w:spacing w:after="246"/>
        <w:ind w:left="720" w:firstLine="0"/>
      </w:pPr>
      <w:r>
        <w:t xml:space="preserve">        hook_b.remove()</w:t>
      </w:r>
    </w:p>
    <w:p w14:paraId="1F4C33F6">
      <w:pPr>
        <w:spacing w:after="246"/>
        <w:ind w:left="720" w:firstLine="0"/>
      </w:pPr>
      <w:r>
        <w:t xml:space="preserve">        return cam.squeeze()</w:t>
      </w:r>
    </w:p>
    <w:p w14:paraId="544CBB47">
      <w:pPr>
        <w:spacing w:after="246"/>
        <w:ind w:left="720" w:firstLine="0"/>
      </w:pPr>
      <w:r>
        <w:rPr>
          <w:b/>
          <w:bCs/>
        </w:rPr>
        <w:t>OUTPUT</w:t>
      </w:r>
    </w:p>
    <w:p w14:paraId="0495035A">
      <w:pPr>
        <w:spacing w:after="246"/>
        <w:ind w:left="720" w:firstLine="0"/>
      </w:pPr>
      <w:r>
        <w:drawing>
          <wp:inline distT="0" distB="0" distL="0" distR="0">
            <wp:extent cx="5226050" cy="4883785"/>
            <wp:effectExtent l="0" t="0" r="0" b="0"/>
            <wp:docPr id="150025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41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4284" cy="49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CB2BF0">
      <w:pPr>
        <w:spacing w:after="246"/>
        <w:ind w:left="720" w:firstLine="0"/>
      </w:pPr>
      <w:r>
        <w:drawing>
          <wp:inline distT="0" distB="0" distL="0" distR="0">
            <wp:extent cx="4667250" cy="4110990"/>
            <wp:effectExtent l="0" t="0" r="0" b="3810"/>
            <wp:docPr id="15863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250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5784" cy="411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146">
      <w:pPr>
        <w:spacing w:after="246"/>
      </w:pPr>
      <w:r>
        <w:rPr>
          <w:b/>
        </w:rPr>
        <w:t xml:space="preserve">7. Broader Considerations </w:t>
      </w:r>
    </w:p>
    <w:p w14:paraId="70FDD1BE">
      <w:pPr>
        <w:spacing w:after="254"/>
        <w:rPr>
          <w:b/>
          <w:bCs/>
        </w:rPr>
      </w:pPr>
      <w:r>
        <w:t xml:space="preserve"> </w:t>
      </w:r>
      <w:r>
        <w:rPr>
          <w:b/>
          <w:bCs/>
        </w:rPr>
        <w:t>Societal and Economic Impact</w:t>
      </w:r>
    </w:p>
    <w:p w14:paraId="546457C4">
      <w:pPr>
        <w:spacing w:after="254"/>
      </w:pPr>
      <w:r>
        <w:t>Early identification of MCI allows for therapeutic interventions before irreversible, widespread neuronal loss occurs. Providing high-throughput automated pre-screening reduces per-scan review times for neuro-radiologists, lowering structural diagnostic costs and expanding access for remote and underserved healthcare facilities.</w:t>
      </w:r>
    </w:p>
    <w:p w14:paraId="2887C9DB">
      <w:pPr>
        <w:spacing w:after="254"/>
        <w:rPr>
          <w:b/>
          <w:bCs/>
        </w:rPr>
      </w:pPr>
      <w:r>
        <w:rPr>
          <w:b/>
          <w:bCs/>
        </w:rPr>
        <w:t>Ethical, Bias, and Diagnostic Safety</w:t>
      </w:r>
    </w:p>
    <w:p w14:paraId="7C578D41">
      <w:pPr>
        <w:numPr>
          <w:ilvl w:val="0"/>
          <w:numId w:val="10"/>
        </w:numPr>
        <w:spacing w:after="254"/>
      </w:pPr>
      <w:r>
        <w:rPr>
          <w:b/>
          <w:bCs/>
        </w:rPr>
        <w:t>False Reassurance (False Negatives):</w:t>
      </w:r>
      <w:r>
        <w:t xml:space="preserve"> Missing early MCI may cause patients to miss key intervention windows. The system includes an uncertainty threshold; predictions where entropy </w:t>
      </w:r>
      <m:oMath>
        <m:r>
          <m:rPr>
            <m:sty m:val="p"/>
            <m:scr m:val="script"/>
          </m:rPr>
          <w:rPr>
            <w:rFonts w:ascii="Cambria Math" w:hAnsi="Cambria Math"/>
          </w:rPr>
          <m:t>ℋ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y∣</m:t>
            </m:r>
            <m:r>
              <m:rPr>
                <m:sty m:val="b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/>
          </w:rPr>
          <m:t>&gt;0.40</m:t>
        </m:r>
      </m:oMath>
      <w:r>
        <w:t xml:space="preserve"> are routed to human specialists for manual review.</w:t>
      </w:r>
    </w:p>
    <w:p w14:paraId="45D2E761">
      <w:pPr>
        <w:numPr>
          <w:ilvl w:val="0"/>
          <w:numId w:val="10"/>
        </w:numPr>
        <w:spacing w:after="254"/>
      </w:pPr>
      <w:r>
        <w:rPr>
          <w:b/>
          <w:bCs/>
        </w:rPr>
        <w:t>Demographic Bias:</w:t>
      </w:r>
      <w:r>
        <w:t xml:space="preserve"> Image-based classifiers can inherit bias from demographic skews in training cohorts. Models trained on public databases (which skew towards higher-income brackets) must undergo continuous domain adaptation when deployed in diverse geographic environments.</w:t>
      </w:r>
    </w:p>
    <w:p w14:paraId="47035C50">
      <w:pPr>
        <w:numPr>
          <w:ilvl w:val="0"/>
          <w:numId w:val="10"/>
        </w:numPr>
        <w:spacing w:after="254"/>
      </w:pPr>
      <w:r>
        <w:rPr>
          <w:b/>
          <w:bCs/>
        </w:rPr>
        <w:t>Device Regulation:</w:t>
      </w:r>
      <w:r>
        <w:t xml:space="preserve"> The pipeline is architected as an assistive diagnostic support system under the FDA </w:t>
      </w:r>
      <w:r>
        <w:rPr>
          <w:b/>
          <w:bCs/>
        </w:rPr>
        <w:t>Software as a Medical Device (SaMD)</w:t>
      </w:r>
      <w:r>
        <w:t xml:space="preserve"> Class II guidelines, which explicitly prohibit unsupervised autonomous interventions.</w:t>
      </w:r>
    </w:p>
    <w:p w14:paraId="66F94E5D">
      <w:pPr>
        <w:spacing w:after="254"/>
        <w:rPr>
          <w:b/>
          <w:bCs/>
        </w:rPr>
      </w:pPr>
      <w:r>
        <w:rPr>
          <w:b/>
          <w:bCs/>
        </w:rPr>
        <w:t>Environmental and Green AI Considerations</w:t>
      </w:r>
    </w:p>
    <w:p w14:paraId="054035CF">
      <w:pPr>
        <w:spacing w:after="254"/>
      </w:pPr>
      <w:r>
        <w:t xml:space="preserve">Training large 3D Vision Transformers can require hundreds of megawatt-hours across multi-GPU clusters. By choosing an optimized 2.5D compound-scaling approach, total training energy was bounded under </w:t>
      </w:r>
      <m:oMath>
        <m:r>
          <m:rPr/>
          <w:rPr>
            <w:rFonts w:ascii="Cambria Math" w:hAnsi="Cambria Math"/>
          </w:rPr>
          <m:t>8.5</m:t>
        </m:r>
        <m:r>
          <m:rPr>
            <m:nor/>
            <m:sty m:val="p"/>
          </m:rPr>
          <w:rPr>
            <w:b w:val="0"/>
            <w:i w:val="0"/>
          </w:rPr>
          <m:t> kWh</m:t>
        </m:r>
      </m:oMath>
      <w:r>
        <w:t>, minimizing the model's carbon footprint while preserving clinical-grade diagnostic precision.</w:t>
      </w:r>
    </w:p>
    <w:p w14:paraId="0B5CE885">
      <w:pPr>
        <w:spacing w:after="254"/>
        <w:rPr>
          <w:b/>
          <w:bCs/>
        </w:rPr>
      </w:pPr>
      <w:r>
        <w:rPr>
          <w:b/>
          <w:bCs/>
        </w:rPr>
        <w:t>8. Conclusion</w:t>
      </w:r>
    </w:p>
    <w:p w14:paraId="0650F124">
      <w:pPr>
        <w:numPr>
          <w:ilvl w:val="0"/>
          <w:numId w:val="11"/>
        </w:numPr>
        <w:spacing w:after="254"/>
      </w:pPr>
      <w:r>
        <w:rPr>
          <w:b/>
          <w:bCs/>
        </w:rPr>
        <w:t>Proposed Solution:</w:t>
      </w:r>
      <w:r>
        <w:t xml:space="preserve"> A deep learning framework combining standardized sMRI pre-processing, an EfficientNet-B0 feature extractor, multi-class Focal Loss, and Grad-CAM spatial validation.</w:t>
      </w:r>
    </w:p>
    <w:p w14:paraId="6A3F95BE">
      <w:pPr>
        <w:numPr>
          <w:ilvl w:val="0"/>
          <w:numId w:val="11"/>
        </w:numPr>
        <w:spacing w:after="254"/>
      </w:pPr>
      <w:r>
        <w:rPr>
          <w:b/>
          <w:bCs/>
        </w:rPr>
        <w:t>Major Findings:</w:t>
      </w:r>
      <w:r>
        <w:t xml:space="preserve"> The model achieved </w:t>
      </w:r>
      <m:oMath>
        <m:r>
          <m:rPr/>
          <w:rPr>
            <w:rFonts w:ascii="Cambria Math" w:hAnsi="Cambria Math"/>
          </w:rPr>
          <m:t>94.1%</m:t>
        </m:r>
      </m:oMath>
      <w:r>
        <w:t xml:space="preserve"> test accuracy and </w:t>
      </w:r>
      <m:oMath>
        <m:r>
          <m:rPr/>
          <w:rPr>
            <w:rFonts w:ascii="Cambria Math" w:hAnsi="Cambria Math"/>
          </w:rPr>
          <m:t>90.6%</m:t>
        </m:r>
      </m:oMath>
      <w:r>
        <w:t xml:space="preserve"> sensitivity on early-stage cognitive impairment (VMCI), while using only </w:t>
      </w:r>
      <m:oMath>
        <m:r>
          <m:rPr/>
          <w:rPr>
            <w:rFonts w:ascii="Cambria Math" w:hAnsi="Cambria Math"/>
          </w:rPr>
          <m:t>5.29</m:t>
        </m:r>
        <m:r>
          <m:rPr>
            <m:nor/>
            <m:sty m:val="p"/>
          </m:rPr>
          <w:rPr>
            <w:b w:val="0"/>
            <w:i w:val="0"/>
          </w:rPr>
          <m:t>M</m:t>
        </m:r>
      </m:oMath>
      <w:r>
        <w:t xml:space="preserve"> parameters and running with a sub-</w:t>
      </w:r>
      <m:oMath>
        <m:r>
          <m:rPr/>
          <w:rPr>
            <w:rFonts w:ascii="Cambria Math" w:hAnsi="Cambria Math"/>
          </w:rPr>
          <m:t>10</m:t>
        </m:r>
        <m:r>
          <m:rPr>
            <m:nor/>
            <m:sty m:val="p"/>
          </m:rPr>
          <w:rPr>
            <w:b w:val="0"/>
            <w:i w:val="0"/>
          </w:rPr>
          <m:t> ms</m:t>
        </m:r>
      </m:oMath>
      <w:r>
        <w:t xml:space="preserve"> inference time.</w:t>
      </w:r>
    </w:p>
    <w:p w14:paraId="2460858C">
      <w:pPr>
        <w:numPr>
          <w:ilvl w:val="0"/>
          <w:numId w:val="11"/>
        </w:numPr>
        <w:spacing w:after="254"/>
      </w:pPr>
      <w:r>
        <w:rPr>
          <w:b/>
          <w:bCs/>
        </w:rPr>
        <w:t>Achievement of Requirements:</w:t>
      </w:r>
      <w:r>
        <w:t xml:space="preserve"> Met all performance requirements (accuracy </w:t>
      </w:r>
      <m:oMath>
        <m:r>
          <m:rPr/>
          <w:rPr>
            <w:rFonts w:ascii="Cambria Math" w:hAnsi="Cambria Math"/>
          </w:rPr>
          <m:t>&gt;90%</m:t>
        </m:r>
      </m:oMath>
      <w:r>
        <w:t xml:space="preserve">, sensitivity </w:t>
      </w:r>
      <m:oMath>
        <m:r>
          <m:rPr/>
          <w:rPr>
            <w:rFonts w:ascii="Cambria Math" w:hAnsi="Cambria Math"/>
          </w:rPr>
          <m:t>&gt;88%</m:t>
        </m:r>
      </m:oMath>
      <w:r>
        <w:t xml:space="preserve">) and operational constraints (parameter footprint </w:t>
      </w:r>
      <m:oMath>
        <m:r>
          <m:rPr/>
          <w:rPr>
            <w:rFonts w:ascii="Cambria Math" w:hAnsi="Cambria Math"/>
          </w:rPr>
          <m:t>&lt;16</m:t>
        </m:r>
        <m:r>
          <m:rPr>
            <m:nor/>
            <m:sty m:val="p"/>
          </m:rPr>
          <w:rPr>
            <w:b w:val="0"/>
            <w:i w:val="0"/>
          </w:rPr>
          <m:t> GB</m:t>
        </m:r>
      </m:oMath>
      <w:r>
        <w:t xml:space="preserve">, latency </w:t>
      </w:r>
      <m:oMath>
        <m:r>
          <m:rPr/>
          <w:rPr>
            <w:rFonts w:ascii="Cambria Math" w:hAnsi="Cambria Math"/>
          </w:rPr>
          <m:t>&lt;1.5</m:t>
        </m:r>
        <m:r>
          <m:rPr>
            <m:nor/>
            <m:sty m:val="p"/>
          </m:rPr>
          <w:rPr>
            <w:b w:val="0"/>
            <w:i w:val="0"/>
          </w:rPr>
          <m:t> s</m:t>
        </m:r>
      </m:oMath>
      <w:r>
        <w:t>).</w:t>
      </w:r>
    </w:p>
    <w:p w14:paraId="25F01870">
      <w:pPr>
        <w:numPr>
          <w:ilvl w:val="0"/>
          <w:numId w:val="11"/>
        </w:numPr>
        <w:spacing w:after="254"/>
      </w:pPr>
      <w:r>
        <w:rPr>
          <w:b/>
          <w:bCs/>
        </w:rPr>
        <w:t>Limitations:</w:t>
      </w:r>
      <w:r>
        <w:t xml:space="preserve"> The system relies on 2.5D structural slice formulations, leaving out long-range z-axis volumetric contexts, and is restricted to structural T1-weighted imaging.</w:t>
      </w:r>
    </w:p>
    <w:p w14:paraId="06E64C98">
      <w:pPr>
        <w:numPr>
          <w:ilvl w:val="0"/>
          <w:numId w:val="11"/>
        </w:numPr>
        <w:spacing w:after="254"/>
      </w:pPr>
      <w:r>
        <w:rPr>
          <w:b/>
          <w:bCs/>
        </w:rPr>
        <w:t>Future Work:</w:t>
      </w:r>
      <w:r>
        <w:t xml:space="preserve"> Upgrading to a multi-modal framework that integrates 3D Swin Transformers with functional PET imaging (FDG-PET), diffusion tensor imaging (DTI), and clinical risk covariates (ApoE-ε4 genotyping).</w:t>
      </w:r>
    </w:p>
    <w:p w14:paraId="4C1516C5">
      <w:pPr>
        <w:spacing w:after="254"/>
        <w:rPr>
          <w:b/>
          <w:bCs/>
        </w:rPr>
      </w:pPr>
      <w:r>
        <w:rPr>
          <w:b/>
          <w:bCs/>
        </w:rPr>
        <w:t>9. Student Reflection</w:t>
      </w:r>
    </w:p>
    <w:p w14:paraId="60175C34">
      <w:pPr>
        <w:numPr>
          <w:ilvl w:val="0"/>
          <w:numId w:val="12"/>
        </w:numPr>
        <w:spacing w:after="254"/>
      </w:pPr>
      <w:r>
        <w:rPr>
          <w:b/>
          <w:bCs/>
        </w:rPr>
        <w:t>Technical Insights Beyond the Classroom:</w:t>
      </w:r>
      <w:r>
        <w:t xml:space="preserve"> Learned the critical importance of domain-specific data hygiene in medical computer vision. While naive random slice sampling yields near-perfect accuracy (</w:t>
      </w:r>
      <m:oMath>
        <m:r>
          <m:rPr/>
          <w:rPr>
            <w:rFonts w:ascii="Cambria Math" w:hAnsi="Cambria Math"/>
          </w:rPr>
          <m:t>&gt;99%</m:t>
        </m:r>
      </m:oMath>
      <w:r>
        <w:t>) due to spatial correlations between adjacent slices from the same subject across train/test splits, true patient-level cross-validation reveals real-world performance (</w:t>
      </w:r>
      <m:oMath>
        <m:r>
          <m:rPr/>
          <w:rPr>
            <w:rFonts w:ascii="Cambria Math" w:hAnsi="Cambria Math"/>
          </w:rPr>
          <m:t>90−94%</m:t>
        </m:r>
      </m:oMath>
      <w:r>
        <w:t>).</w:t>
      </w:r>
    </w:p>
    <w:p w14:paraId="7B393285">
      <w:pPr>
        <w:numPr>
          <w:ilvl w:val="0"/>
          <w:numId w:val="12"/>
        </w:numPr>
        <w:spacing w:after="254"/>
      </w:pPr>
      <w:r>
        <w:rPr>
          <w:b/>
          <w:bCs/>
        </w:rPr>
        <w:t>Professional Development:</w:t>
      </w:r>
      <w:r>
        <w:t xml:space="preserve"> Working through gradient saturation and class imbalance highlighted that standard loss functions like categorical cross-entropy are often poorly suited to medical contexts, where real clinical data is inherently imbalanced and ambiguous near diagnostic transition boundaries.</w:t>
      </w:r>
    </w:p>
    <w:p w14:paraId="5C540D47">
      <w:pPr>
        <w:numPr>
          <w:ilvl w:val="0"/>
          <w:numId w:val="12"/>
        </w:numPr>
        <w:spacing w:after="254"/>
      </w:pPr>
      <w:r>
        <w:rPr>
          <w:b/>
          <w:bCs/>
        </w:rPr>
        <w:t>Resource Extensions:</w:t>
      </w:r>
      <w:r>
        <w:t xml:space="preserve"> With expanded compute access, I would scale from 2.5D slices to a native 3D Multi-Scale Convolutional Attention network and incorporate longitudinal scan histories to evaluate rates of structural atrophy over time.</w:t>
      </w:r>
    </w:p>
    <w:p w14:paraId="1F8E4B77">
      <w:pPr>
        <w:spacing w:after="254"/>
        <w:rPr>
          <w:b/>
          <w:bCs/>
        </w:rPr>
      </w:pPr>
      <w:r>
        <w:rPr>
          <w:b/>
          <w:bCs/>
        </w:rPr>
        <w:t>10. References</w:t>
      </w:r>
    </w:p>
    <w:p w14:paraId="30F1D292">
      <w:pPr>
        <w:numPr>
          <w:ilvl w:val="0"/>
          <w:numId w:val="13"/>
        </w:numPr>
        <w:spacing w:after="254"/>
      </w:pPr>
      <w:r>
        <w:rPr>
          <w:b/>
          <w:bCs/>
        </w:rPr>
        <w:t>Jack, C. R., et al.</w:t>
      </w:r>
      <w:r>
        <w:t xml:space="preserve"> (2008). </w:t>
      </w:r>
      <w:r>
        <w:rPr>
          <w:i/>
          <w:iCs/>
        </w:rPr>
        <w:t>The Alzheimer's Disease Neuroimaging Initiative (ADNI): MRI methods.</w:t>
      </w:r>
      <w:r>
        <w:t xml:space="preserve"> Journal of Magnetic Resonance Imaging, 27(4), 685–691.</w:t>
      </w:r>
    </w:p>
    <w:p w14:paraId="482809AC">
      <w:pPr>
        <w:numPr>
          <w:ilvl w:val="0"/>
          <w:numId w:val="13"/>
        </w:numPr>
        <w:spacing w:after="254"/>
      </w:pPr>
      <w:r>
        <w:rPr>
          <w:b/>
          <w:bCs/>
        </w:rPr>
        <w:t>Tan, M., &amp; Le, Q. V.</w:t>
      </w:r>
      <w:r>
        <w:t xml:space="preserve"> (2019). </w:t>
      </w:r>
      <w:r>
        <w:rPr>
          <w:i/>
          <w:iCs/>
        </w:rPr>
        <w:t>EfficientNet: Rethinking model scaling for convolutional neural networks.</w:t>
      </w:r>
      <w:r>
        <w:t xml:space="preserve"> International Conference on Machine Learning (ICML), PMLR 97, 6105–6114.</w:t>
      </w:r>
    </w:p>
    <w:p w14:paraId="4307F522">
      <w:pPr>
        <w:numPr>
          <w:ilvl w:val="0"/>
          <w:numId w:val="13"/>
        </w:numPr>
        <w:spacing w:after="254"/>
      </w:pPr>
      <w:r>
        <w:rPr>
          <w:b/>
          <w:bCs/>
        </w:rPr>
        <w:t>Selvaraju, R. R., et al.</w:t>
      </w:r>
      <w:r>
        <w:t xml:space="preserve"> (2017). </w:t>
      </w:r>
      <w:r>
        <w:rPr>
          <w:i/>
          <w:iCs/>
        </w:rPr>
        <w:t>Grad-CAM: Visual explanations from deep networks via gradient-based localization.</w:t>
      </w:r>
      <w:r>
        <w:t xml:space="preserve"> IEEE International Conference on Computer Vision (ICCV), 618–626.</w:t>
      </w:r>
    </w:p>
    <w:p w14:paraId="2353F78A">
      <w:pPr>
        <w:numPr>
          <w:ilvl w:val="0"/>
          <w:numId w:val="13"/>
        </w:numPr>
        <w:spacing w:after="254"/>
      </w:pPr>
      <w:r>
        <w:rPr>
          <w:b/>
          <w:bCs/>
        </w:rPr>
        <w:t>Lin, T. Y., et al.</w:t>
      </w:r>
      <w:r>
        <w:t xml:space="preserve"> (2017). </w:t>
      </w:r>
      <w:r>
        <w:rPr>
          <w:i/>
          <w:iCs/>
        </w:rPr>
        <w:t>Focal loss for dense object detection.</w:t>
      </w:r>
      <w:r>
        <w:t xml:space="preserve"> IEEE International Conference on Computer Vision (ICCV), 2980–2988.</w:t>
      </w:r>
    </w:p>
    <w:p w14:paraId="674C28F8">
      <w:pPr>
        <w:numPr>
          <w:ilvl w:val="0"/>
          <w:numId w:val="13"/>
        </w:numPr>
        <w:spacing w:after="254"/>
      </w:pPr>
      <w:r>
        <w:rPr>
          <w:b/>
          <w:bCs/>
        </w:rPr>
        <w:t>Marcus, D. S., et al.</w:t>
      </w:r>
      <w:r>
        <w:t xml:space="preserve"> (2007). </w:t>
      </w:r>
      <w:r>
        <w:rPr>
          <w:i/>
          <w:iCs/>
        </w:rPr>
        <w:t>Open Access Series of Imaging Studies (OASIS): Cross-sectional MRI data in young, middle aged, nondemented, and demented older adults.</w:t>
      </w:r>
      <w:r>
        <w:t xml:space="preserve"> Journal of Cognitive Neuroscience, 19(9), 1498–1507.</w:t>
      </w:r>
    </w:p>
    <w:p w14:paraId="6FCCA901">
      <w:pPr>
        <w:numPr>
          <w:ilvl w:val="0"/>
          <w:numId w:val="13"/>
        </w:numPr>
        <w:spacing w:after="254"/>
      </w:pPr>
      <w:r>
        <w:rPr>
          <w:b/>
          <w:bCs/>
        </w:rPr>
        <w:t>Tustison, N. J., et al.</w:t>
      </w:r>
      <w:r>
        <w:t xml:space="preserve"> (2010). </w:t>
      </w:r>
      <w:r>
        <w:rPr>
          <w:i/>
          <w:iCs/>
        </w:rPr>
        <w:t>N4ITK: Improved N3 bias correction.</w:t>
      </w:r>
      <w:r>
        <w:t xml:space="preserve"> IEEE Transactions on Medical Imaging, 29(6), 1310–1320.</w:t>
      </w:r>
    </w:p>
    <w:p w14:paraId="197C6F52">
      <w:pPr>
        <w:numPr>
          <w:ilvl w:val="0"/>
          <w:numId w:val="13"/>
        </w:numPr>
        <w:spacing w:after="254"/>
      </w:pPr>
      <w:r>
        <w:rPr>
          <w:b/>
          <w:bCs/>
        </w:rPr>
        <w:t>Loshchilov, I., &amp; Hutter, F.</w:t>
      </w:r>
      <w:r>
        <w:t xml:space="preserve"> (2019). </w:t>
      </w:r>
      <w:r>
        <w:rPr>
          <w:i/>
          <w:iCs/>
        </w:rPr>
        <w:t>Decoupled weight decay regularization.</w:t>
      </w:r>
      <w:r>
        <w:t xml:space="preserve"> International Conference on Learning Representations (ICLR).</w:t>
      </w:r>
    </w:p>
    <w:p w14:paraId="55C75C41">
      <w:pPr>
        <w:numPr>
          <w:ilvl w:val="0"/>
          <w:numId w:val="13"/>
        </w:numPr>
        <w:spacing w:after="254"/>
      </w:pPr>
      <w:r>
        <w:rPr>
          <w:b/>
          <w:bCs/>
        </w:rPr>
        <w:t>McKhann, G. M., et al.</w:t>
      </w:r>
      <w:r>
        <w:t xml:space="preserve"> (2011). </w:t>
      </w:r>
      <w:r>
        <w:rPr>
          <w:i/>
          <w:iCs/>
        </w:rPr>
        <w:t>The diagnosis of dementia due to Alzheimer’s disease: Recommendations from the National Institute on Aging-Alzheimer's Association workgroups.</w:t>
      </w:r>
      <w:r>
        <w:t xml:space="preserve"> Alzheimer's &amp; Dementia, 7(3), 263–269.</w:t>
      </w:r>
    </w:p>
    <w:p w14:paraId="4F273D42">
      <w:pPr>
        <w:spacing w:after="254"/>
      </w:pPr>
      <w:r>
        <w:rPr>
          <w:b/>
          <w:sz w:val="26"/>
        </w:rPr>
        <w:t xml:space="preserve">Common Assessment Rubric </w:t>
      </w:r>
    </w:p>
    <w:tbl>
      <w:tblPr>
        <w:tblStyle w:val="13"/>
        <w:tblW w:w="7815" w:type="dxa"/>
        <w:tblInd w:w="8" w:type="dxa"/>
        <w:tblLayout w:type="autofit"/>
        <w:tblCellMar>
          <w:top w:w="0" w:type="dxa"/>
          <w:left w:w="98" w:type="dxa"/>
          <w:bottom w:w="0" w:type="dxa"/>
          <w:right w:w="58" w:type="dxa"/>
        </w:tblCellMar>
      </w:tblPr>
      <w:tblGrid>
        <w:gridCol w:w="6915"/>
        <w:gridCol w:w="900"/>
      </w:tblGrid>
      <w:tr w14:paraId="134D3115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55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65E1F2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 Assessment Criterion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299DA00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 xml:space="preserve"> Marks </w:t>
            </w:r>
          </w:p>
        </w:tc>
      </w:tr>
      <w:tr w14:paraId="254B2394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60A881">
            <w:pPr>
              <w:spacing w:after="0" w:line="259" w:lineRule="auto"/>
              <w:ind w:left="0" w:firstLine="0"/>
            </w:pPr>
            <w:r>
              <w:t xml:space="preserve"> Problem understanding &amp; formulation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2D2757">
            <w:pPr>
              <w:spacing w:after="0" w:line="259" w:lineRule="auto"/>
              <w:ind w:left="0" w:right="55" w:firstLine="0"/>
              <w:jc w:val="center"/>
            </w:pPr>
            <w:r>
              <w:t xml:space="preserve"> 10 </w:t>
            </w:r>
          </w:p>
        </w:tc>
      </w:tr>
      <w:tr w14:paraId="043A56E7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A098B1">
            <w:pPr>
              <w:spacing w:after="0" w:line="259" w:lineRule="auto"/>
              <w:ind w:left="0" w:firstLine="0"/>
            </w:pPr>
            <w:r>
              <w:t xml:space="preserve"> Application of course/domain knowledge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0E936C">
            <w:pPr>
              <w:spacing w:after="0" w:line="259" w:lineRule="auto"/>
              <w:ind w:left="0" w:right="55" w:firstLine="0"/>
              <w:jc w:val="center"/>
            </w:pPr>
            <w:r>
              <w:t xml:space="preserve"> 20 </w:t>
            </w:r>
          </w:p>
        </w:tc>
      </w:tr>
      <w:tr w14:paraId="05D21C21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248608">
            <w:pPr>
              <w:spacing w:after="0" w:line="259" w:lineRule="auto"/>
              <w:ind w:left="0" w:firstLine="0"/>
            </w:pPr>
            <w:r>
              <w:t xml:space="preserve"> Solution methodology / design / implementation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36AE87">
            <w:pPr>
              <w:spacing w:after="0" w:line="259" w:lineRule="auto"/>
              <w:ind w:left="0" w:right="55" w:firstLine="0"/>
              <w:jc w:val="center"/>
            </w:pPr>
            <w:r>
              <w:t xml:space="preserve"> 20 </w:t>
            </w:r>
          </w:p>
        </w:tc>
      </w:tr>
      <w:tr w14:paraId="040BC37E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8DE278">
            <w:pPr>
              <w:spacing w:after="0" w:line="259" w:lineRule="auto"/>
              <w:ind w:left="0" w:firstLine="0"/>
            </w:pPr>
            <w:r>
              <w:t xml:space="preserve"> Use of appropriate modern tools / techniques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36168C">
            <w:pPr>
              <w:spacing w:after="0" w:line="259" w:lineRule="auto"/>
              <w:ind w:left="0" w:right="55" w:firstLine="0"/>
              <w:jc w:val="center"/>
            </w:pPr>
            <w:r>
              <w:t xml:space="preserve"> 10 </w:t>
            </w:r>
          </w:p>
        </w:tc>
      </w:tr>
      <w:tr w14:paraId="170997F0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5768F4">
            <w:pPr>
              <w:spacing w:after="0" w:line="259" w:lineRule="auto"/>
              <w:ind w:left="0" w:firstLine="0"/>
            </w:pPr>
            <w:r>
              <w:t xml:space="preserve"> Results, testing &amp; validation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622A9C">
            <w:pPr>
              <w:spacing w:after="0" w:line="259" w:lineRule="auto"/>
              <w:ind w:left="0" w:right="55" w:firstLine="0"/>
              <w:jc w:val="center"/>
            </w:pPr>
            <w:r>
              <w:t xml:space="preserve"> 15 </w:t>
            </w:r>
          </w:p>
        </w:tc>
      </w:tr>
      <w:tr w14:paraId="1BFD1644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55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169000">
            <w:pPr>
              <w:spacing w:after="0" w:line="259" w:lineRule="auto"/>
              <w:ind w:left="0" w:firstLine="0"/>
            </w:pPr>
            <w:r>
              <w:t xml:space="preserve"> Analysis, trade-offs &amp; justification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9F4A96">
            <w:pPr>
              <w:spacing w:after="0" w:line="259" w:lineRule="auto"/>
              <w:ind w:left="0" w:right="55" w:firstLine="0"/>
              <w:jc w:val="center"/>
            </w:pPr>
            <w:r>
              <w:t xml:space="preserve"> 15 </w:t>
            </w:r>
          </w:p>
        </w:tc>
      </w:tr>
      <w:tr w14:paraId="750A9C79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4BE3E7">
            <w:pPr>
              <w:spacing w:after="0" w:line="259" w:lineRule="auto"/>
              <w:ind w:left="0" w:firstLine="0"/>
            </w:pPr>
            <w:r>
              <w:t xml:space="preserve"> Broader considerations / professional responsibility, where applicable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72ED69">
            <w:pPr>
              <w:spacing w:after="0" w:line="259" w:lineRule="auto"/>
              <w:ind w:left="0" w:right="55" w:firstLine="0"/>
              <w:jc w:val="center"/>
            </w:pPr>
            <w:r>
              <w:t xml:space="preserve"> 5 </w:t>
            </w:r>
          </w:p>
        </w:tc>
      </w:tr>
      <w:tr w14:paraId="532D044F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1CB2A">
            <w:pPr>
              <w:spacing w:after="0" w:line="259" w:lineRule="auto"/>
              <w:ind w:left="0" w:firstLine="0"/>
            </w:pPr>
            <w:r>
              <w:t xml:space="preserve"> Technical documentation &amp; reflection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7BD1D1">
            <w:pPr>
              <w:spacing w:after="0" w:line="259" w:lineRule="auto"/>
              <w:ind w:left="0" w:right="55" w:firstLine="0"/>
              <w:jc w:val="center"/>
            </w:pPr>
            <w:r>
              <w:t xml:space="preserve"> 5 </w:t>
            </w:r>
          </w:p>
        </w:tc>
      </w:tr>
      <w:tr w14:paraId="46925013">
        <w:tblPrEx>
          <w:tblCellMar>
            <w:top w:w="0" w:type="dxa"/>
            <w:left w:w="98" w:type="dxa"/>
            <w:bottom w:w="0" w:type="dxa"/>
            <w:right w:w="58" w:type="dxa"/>
          </w:tblCellMar>
        </w:tblPrEx>
        <w:trPr>
          <w:trHeight w:val="540" w:hRule="atLeast"/>
        </w:trPr>
        <w:tc>
          <w:tcPr>
            <w:tcW w:w="6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0B2C2F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TOTAL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AAC69E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</w:rPr>
              <w:t xml:space="preserve"> 100 </w:t>
            </w:r>
          </w:p>
        </w:tc>
      </w:tr>
    </w:tbl>
    <w:p w14:paraId="7616C27A">
      <w:pPr>
        <w:numPr>
          <w:ilvl w:val="0"/>
          <w:numId w:val="14"/>
        </w:numPr>
        <w:spacing w:after="0" w:line="259" w:lineRule="auto"/>
        <w:ind w:hanging="358"/>
      </w:pPr>
      <w:r>
        <w:rPr>
          <w:b/>
          <w:sz w:val="26"/>
        </w:rPr>
        <w:t xml:space="preserve">CO–PO–Assessment Mapping </w:t>
      </w:r>
    </w:p>
    <w:tbl>
      <w:tblPr>
        <w:tblStyle w:val="13"/>
        <w:tblW w:w="7575" w:type="dxa"/>
        <w:tblInd w:w="8" w:type="dxa"/>
        <w:tblLayout w:type="autofit"/>
        <w:tblCellMar>
          <w:top w:w="0" w:type="dxa"/>
          <w:left w:w="98" w:type="dxa"/>
          <w:bottom w:w="0" w:type="dxa"/>
          <w:right w:w="57" w:type="dxa"/>
        </w:tblCellMar>
      </w:tblPr>
      <w:tblGrid>
        <w:gridCol w:w="3597"/>
        <w:gridCol w:w="609"/>
        <w:gridCol w:w="809"/>
        <w:gridCol w:w="1660"/>
        <w:gridCol w:w="900"/>
      </w:tblGrid>
      <w:tr w14:paraId="7400AACE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55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2FB51C">
            <w:pPr>
              <w:spacing w:after="0" w:line="259" w:lineRule="auto"/>
              <w:ind w:left="0" w:right="56" w:firstLine="0"/>
              <w:jc w:val="center"/>
            </w:pPr>
            <w:r>
              <w:rPr>
                <w:b/>
              </w:rPr>
              <w:t xml:space="preserve"> Assessment Component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43D780">
            <w:pPr>
              <w:spacing w:after="0" w:line="259" w:lineRule="auto"/>
              <w:ind w:left="7" w:firstLine="0"/>
              <w:jc w:val="both"/>
            </w:pPr>
            <w:r>
              <w:rPr>
                <w:b/>
              </w:rPr>
              <w:t xml:space="preserve"> CO 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4AF2BA8">
            <w:pPr>
              <w:spacing w:after="0" w:line="259" w:lineRule="auto"/>
              <w:ind w:left="7" w:firstLine="0"/>
            </w:pPr>
            <w:r>
              <w:rPr>
                <w:b/>
              </w:rPr>
              <w:t xml:space="preserve"> PO(s) 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2AA3EC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 xml:space="preserve"> Bloom's Level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1DF710D">
            <w:pPr>
              <w:spacing w:after="0" w:line="259" w:lineRule="auto"/>
              <w:ind w:left="5" w:firstLine="0"/>
              <w:jc w:val="both"/>
            </w:pPr>
            <w:r>
              <w:rPr>
                <w:b/>
              </w:rPr>
              <w:t xml:space="preserve"> Marks </w:t>
            </w:r>
          </w:p>
        </w:tc>
      </w:tr>
      <w:tr w14:paraId="6F6C0493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A58BAF">
            <w:pPr>
              <w:spacing w:after="0" w:line="259" w:lineRule="auto"/>
              <w:ind w:left="0" w:firstLine="0"/>
            </w:pPr>
            <w:r>
              <w:t xml:space="preserve"> Problem formulation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ECAA3D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4BD50E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1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94D55">
            <w:pPr>
              <w:spacing w:after="0" w:line="259" w:lineRule="auto"/>
              <w:ind w:left="0" w:right="56" w:firstLine="0"/>
              <w:jc w:val="center"/>
            </w:pPr>
            <w:r>
              <w:t xml:space="preserve"> L3/L4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0588826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10 </w:t>
            </w:r>
            <w:r>
              <w:tab/>
            </w:r>
            <w:r>
              <w:t xml:space="preserve"> </w:t>
            </w:r>
          </w:p>
        </w:tc>
      </w:tr>
      <w:tr w14:paraId="7C5E8643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F87563">
            <w:pPr>
              <w:spacing w:after="0" w:line="259" w:lineRule="auto"/>
              <w:ind w:left="0" w:firstLine="0"/>
            </w:pPr>
            <w:r>
              <w:t xml:space="preserve"> Application of knowledge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BC25B6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FFB3A6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2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9BBCCD">
            <w:pPr>
              <w:spacing w:after="0" w:line="259" w:lineRule="auto"/>
              <w:ind w:left="0" w:right="56" w:firstLine="0"/>
              <w:jc w:val="center"/>
            </w:pPr>
            <w:r>
              <w:t xml:space="preserve"> L3/L4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4A6C19D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20 </w:t>
            </w:r>
            <w:r>
              <w:tab/>
            </w:r>
            <w:r>
              <w:t xml:space="preserve"> </w:t>
            </w:r>
          </w:p>
        </w:tc>
      </w:tr>
      <w:tr w14:paraId="63091328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51BD90">
            <w:pPr>
              <w:spacing w:after="0" w:line="259" w:lineRule="auto"/>
              <w:ind w:left="0" w:firstLine="0"/>
            </w:pPr>
            <w:r>
              <w:t xml:space="preserve"> Solution / Design / Implementation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E215A7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65876D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3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D093FAF">
            <w:pPr>
              <w:spacing w:after="0" w:line="259" w:lineRule="auto"/>
              <w:ind w:left="0" w:right="56" w:firstLine="0"/>
              <w:jc w:val="center"/>
            </w:pPr>
            <w:r>
              <w:t xml:space="preserve"> L4/L5/L6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DCE34F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20 </w:t>
            </w:r>
            <w:r>
              <w:tab/>
            </w:r>
            <w:r>
              <w:t xml:space="preserve"> </w:t>
            </w:r>
          </w:p>
        </w:tc>
      </w:tr>
      <w:tr w14:paraId="07CA2AEB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30CDFB">
            <w:pPr>
              <w:spacing w:after="0" w:line="259" w:lineRule="auto"/>
              <w:ind w:left="0" w:firstLine="0"/>
            </w:pPr>
            <w:r>
              <w:t xml:space="preserve"> Modern tool usage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5AF7F7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E79A37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1427DE">
            <w:pPr>
              <w:spacing w:after="0" w:line="259" w:lineRule="auto"/>
              <w:ind w:left="0" w:right="56" w:firstLine="0"/>
              <w:jc w:val="center"/>
            </w:pPr>
            <w:r>
              <w:t xml:space="preserve"> L3/L4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4A3B1A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10 </w:t>
            </w:r>
            <w:r>
              <w:tab/>
            </w:r>
            <w:r>
              <w:t xml:space="preserve"> </w:t>
            </w:r>
          </w:p>
        </w:tc>
      </w:tr>
      <w:tr w14:paraId="4979D63D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DD1E02">
            <w:pPr>
              <w:spacing w:after="0" w:line="259" w:lineRule="auto"/>
              <w:ind w:left="0" w:firstLine="0"/>
            </w:pPr>
            <w:r>
              <w:t xml:space="preserve"> Validation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D52C1C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F0A11E6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05D9BB0">
            <w:pPr>
              <w:spacing w:after="0" w:line="259" w:lineRule="auto"/>
              <w:ind w:left="0" w:right="56" w:firstLine="0"/>
              <w:jc w:val="center"/>
            </w:pPr>
            <w:r>
              <w:t xml:space="preserve"> L4/L5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2AA7F2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15 </w:t>
            </w:r>
            <w:r>
              <w:tab/>
            </w:r>
            <w:r>
              <w:t xml:space="preserve"> </w:t>
            </w:r>
          </w:p>
        </w:tc>
      </w:tr>
      <w:tr w14:paraId="6EB08EE5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55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1CCE81">
            <w:pPr>
              <w:spacing w:after="0" w:line="259" w:lineRule="auto"/>
              <w:ind w:left="0" w:firstLine="0"/>
            </w:pPr>
            <w:r>
              <w:t xml:space="preserve"> Analysis &amp; justification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2B1DBB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2053DE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3E49AF">
            <w:pPr>
              <w:spacing w:after="0" w:line="259" w:lineRule="auto"/>
              <w:ind w:left="0" w:right="56" w:firstLine="0"/>
              <w:jc w:val="center"/>
            </w:pPr>
            <w:r>
              <w:t xml:space="preserve"> L4/L5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E9D96D7">
            <w:pPr>
              <w:tabs>
                <w:tab w:val="center" w:pos="345"/>
                <w:tab w:val="center" w:pos="465"/>
              </w:tabs>
              <w:spacing w:after="0" w:line="259" w:lineRule="auto"/>
              <w:ind w:left="0" w:firstLine="0"/>
            </w:pPr>
            <w:r>
              <w:rPr>
                <w:rFonts w:ascii="Calibri" w:hAnsi="Calibri" w:eastAsia="Calibri" w:cs="Calibri"/>
                <w:sz w:val="22"/>
              </w:rPr>
              <w:tab/>
            </w:r>
            <w:r>
              <w:t xml:space="preserve">15 </w:t>
            </w:r>
            <w:r>
              <w:tab/>
            </w:r>
            <w:r>
              <w:t xml:space="preserve"> </w:t>
            </w:r>
          </w:p>
        </w:tc>
      </w:tr>
      <w:tr w14:paraId="559D34B7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66CA66">
            <w:pPr>
              <w:spacing w:after="0" w:line="259" w:lineRule="auto"/>
              <w:ind w:left="0" w:firstLine="0"/>
            </w:pPr>
            <w:r>
              <w:t xml:space="preserve"> Broader considerations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6F716A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5EB87D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9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D86A1A">
            <w:pPr>
              <w:spacing w:after="0" w:line="259" w:lineRule="auto"/>
              <w:ind w:left="0" w:right="56" w:firstLine="0"/>
              <w:jc w:val="center"/>
            </w:pPr>
            <w:r>
              <w:t xml:space="preserve"> L4/L5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6B475A">
            <w:pPr>
              <w:spacing w:after="0" w:line="259" w:lineRule="auto"/>
              <w:ind w:left="0" w:right="56" w:firstLine="0"/>
              <w:jc w:val="center"/>
            </w:pPr>
            <w:r>
              <w:t xml:space="preserve">5  </w:t>
            </w:r>
          </w:p>
        </w:tc>
      </w:tr>
      <w:tr w14:paraId="6057C62A">
        <w:tblPrEx>
          <w:tblCellMar>
            <w:top w:w="0" w:type="dxa"/>
            <w:left w:w="98" w:type="dxa"/>
            <w:bottom w:w="0" w:type="dxa"/>
            <w:right w:w="57" w:type="dxa"/>
          </w:tblCellMar>
        </w:tblPrEx>
        <w:trPr>
          <w:trHeight w:val="540" w:hRule="atLeast"/>
        </w:trPr>
        <w:tc>
          <w:tcPr>
            <w:tcW w:w="36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FC3556">
            <w:pPr>
              <w:spacing w:after="0" w:line="259" w:lineRule="auto"/>
              <w:ind w:left="0" w:firstLine="0"/>
            </w:pPr>
            <w:r>
              <w:t xml:space="preserve"> Documentation &amp; reflection </w:t>
            </w:r>
          </w:p>
        </w:tc>
        <w:tc>
          <w:tcPr>
            <w:tcW w:w="5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96EA74">
            <w:pPr>
              <w:spacing w:after="160" w:line="259" w:lineRule="auto"/>
              <w:ind w:left="10" w:leftChars="0" w:hanging="10" w:firstLineChars="0"/>
            </w:pPr>
            <w:r>
              <w:rPr>
                <w:rFonts w:hint="default"/>
              </w:rPr>
              <w:t>CO5</w:t>
            </w:r>
          </w:p>
        </w:tc>
        <w:tc>
          <w:tcPr>
            <w:tcW w:w="8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AD1F30">
            <w:pPr>
              <w:spacing w:after="160" w:line="259" w:lineRule="auto"/>
              <w:ind w:left="0" w:firstLine="0"/>
              <w:rPr>
                <w:rFonts w:hint="default"/>
                <w:lang/>
              </w:rPr>
            </w:pPr>
            <w:r>
              <w:rPr>
                <w:rFonts w:hint="default"/>
                <w:lang/>
              </w:rPr>
              <w:t>11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922D03">
            <w:pPr>
              <w:spacing w:after="0" w:line="259" w:lineRule="auto"/>
              <w:ind w:left="0" w:right="56" w:firstLine="0"/>
              <w:jc w:val="center"/>
            </w:pPr>
            <w:r>
              <w:t xml:space="preserve"> L3/L4 </w:t>
            </w:r>
          </w:p>
        </w:tc>
        <w:tc>
          <w:tcPr>
            <w:tcW w:w="9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D584E2">
            <w:pPr>
              <w:spacing w:after="0" w:line="259" w:lineRule="auto"/>
              <w:ind w:left="0" w:right="56" w:firstLine="0"/>
              <w:jc w:val="center"/>
            </w:pPr>
            <w:r>
              <w:t xml:space="preserve">5  </w:t>
            </w:r>
          </w:p>
        </w:tc>
      </w:tr>
    </w:tbl>
    <w:p w14:paraId="225A2109">
      <w:pPr>
        <w:spacing w:after="520"/>
      </w:pPr>
      <w:r>
        <w:rPr>
          <w:b/>
        </w:rPr>
        <w:t xml:space="preserve"> Note: </w:t>
      </w:r>
      <w:r>
        <w:t xml:space="preserve"> Faculty shall map only the POs and Bloom's levels genuinely assessed by the particular  assignment. Every assignment is </w:t>
      </w:r>
      <w:r>
        <w:rPr>
          <w:b/>
        </w:rPr>
        <w:t xml:space="preserve"> not required to map to every PO</w:t>
      </w:r>
      <w:r>
        <w:t xml:space="preserve"> . </w:t>
      </w:r>
    </w:p>
    <w:p w14:paraId="76B21FB2">
      <w:pPr>
        <w:numPr>
          <w:ilvl w:val="0"/>
          <w:numId w:val="14"/>
        </w:numPr>
        <w:spacing w:after="300" w:line="259" w:lineRule="auto"/>
        <w:ind w:hanging="358"/>
      </w:pPr>
      <w:r>
        <w:rPr>
          <w:b/>
          <w:sz w:val="28"/>
        </w:rPr>
        <w:t xml:space="preserve">Faculty Evaluation &amp; Continuous Improvement </w:t>
      </w:r>
    </w:p>
    <w:p w14:paraId="2A76F02B">
      <w:pPr>
        <w:pStyle w:val="2"/>
        <w:spacing w:after="0"/>
        <w:ind w:left="-5"/>
      </w:pPr>
      <w:r>
        <w:t xml:space="preserve"> CO Attainment </w:t>
      </w:r>
    </w:p>
    <w:tbl>
      <w:tblPr>
        <w:tblStyle w:val="13"/>
        <w:tblW w:w="3735" w:type="dxa"/>
        <w:tblInd w:w="8" w:type="dxa"/>
        <w:tblLayout w:type="autofit"/>
        <w:tblCellMar>
          <w:top w:w="0" w:type="dxa"/>
          <w:left w:w="98" w:type="dxa"/>
          <w:bottom w:w="0" w:type="dxa"/>
          <w:right w:w="59" w:type="dxa"/>
        </w:tblCellMar>
      </w:tblPr>
      <w:tblGrid>
        <w:gridCol w:w="2175"/>
        <w:gridCol w:w="1560"/>
      </w:tblGrid>
      <w:tr w14:paraId="2D5705A4">
        <w:tblPrEx>
          <w:tblCellMar>
            <w:top w:w="0" w:type="dxa"/>
            <w:left w:w="98" w:type="dxa"/>
            <w:bottom w:w="0" w:type="dxa"/>
            <w:right w:w="59" w:type="dxa"/>
          </w:tblCellMar>
        </w:tblPrEx>
        <w:trPr>
          <w:trHeight w:val="540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FE868E1">
            <w:pPr>
              <w:spacing w:after="0" w:line="259" w:lineRule="auto"/>
              <w:ind w:left="6" w:firstLine="0"/>
              <w:jc w:val="both"/>
            </w:pPr>
            <w:r>
              <w:rPr>
                <w:b/>
              </w:rPr>
              <w:t xml:space="preserve"> Performance Level 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0C4F9E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 Criterion </w:t>
            </w:r>
          </w:p>
        </w:tc>
      </w:tr>
      <w:tr w14:paraId="32D690E6">
        <w:tblPrEx>
          <w:tblCellMar>
            <w:top w:w="0" w:type="dxa"/>
            <w:left w:w="98" w:type="dxa"/>
            <w:bottom w:w="0" w:type="dxa"/>
            <w:right w:w="59" w:type="dxa"/>
          </w:tblCellMar>
        </w:tblPrEx>
        <w:trPr>
          <w:trHeight w:val="540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80229E">
            <w:pPr>
              <w:spacing w:after="0" w:line="259" w:lineRule="auto"/>
              <w:ind w:left="0" w:firstLine="0"/>
            </w:pPr>
            <w:r>
              <w:t xml:space="preserve"> Level 3 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BD0787">
            <w:pPr>
              <w:spacing w:after="0" w:line="259" w:lineRule="auto"/>
              <w:ind w:left="0" w:right="54" w:firstLine="0"/>
              <w:jc w:val="center"/>
            </w:pPr>
            <w:r>
              <w:t xml:space="preserve"> ≥ 70% </w:t>
            </w:r>
          </w:p>
        </w:tc>
      </w:tr>
      <w:tr w14:paraId="4CEE4289">
        <w:tblPrEx>
          <w:tblCellMar>
            <w:top w:w="0" w:type="dxa"/>
            <w:left w:w="98" w:type="dxa"/>
            <w:bottom w:w="0" w:type="dxa"/>
            <w:right w:w="59" w:type="dxa"/>
          </w:tblCellMar>
        </w:tblPrEx>
        <w:trPr>
          <w:trHeight w:val="540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818CA3">
            <w:pPr>
              <w:spacing w:after="0" w:line="259" w:lineRule="auto"/>
              <w:ind w:left="0" w:firstLine="0"/>
            </w:pPr>
            <w:r>
              <w:t xml:space="preserve"> Level 2 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FD3530">
            <w:pPr>
              <w:spacing w:after="0" w:line="259" w:lineRule="auto"/>
              <w:ind w:left="0" w:right="54" w:firstLine="0"/>
              <w:jc w:val="center"/>
            </w:pPr>
            <w:r>
              <w:t xml:space="preserve"> 60–69% </w:t>
            </w:r>
          </w:p>
        </w:tc>
      </w:tr>
      <w:tr w14:paraId="083076B5">
        <w:tblPrEx>
          <w:tblCellMar>
            <w:top w:w="0" w:type="dxa"/>
            <w:left w:w="98" w:type="dxa"/>
            <w:bottom w:w="0" w:type="dxa"/>
            <w:right w:w="59" w:type="dxa"/>
          </w:tblCellMar>
        </w:tblPrEx>
        <w:trPr>
          <w:trHeight w:val="540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B7B6246">
            <w:pPr>
              <w:spacing w:after="0" w:line="259" w:lineRule="auto"/>
              <w:ind w:left="0" w:firstLine="0"/>
            </w:pPr>
            <w:r>
              <w:t xml:space="preserve"> Level 1 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7615D5">
            <w:pPr>
              <w:spacing w:after="0" w:line="259" w:lineRule="auto"/>
              <w:ind w:left="0" w:right="54" w:firstLine="0"/>
              <w:jc w:val="center"/>
            </w:pPr>
            <w:r>
              <w:t xml:space="preserve"> 50–59% </w:t>
            </w:r>
          </w:p>
        </w:tc>
      </w:tr>
      <w:tr w14:paraId="72FE5131">
        <w:tblPrEx>
          <w:tblCellMar>
            <w:top w:w="0" w:type="dxa"/>
            <w:left w:w="98" w:type="dxa"/>
            <w:bottom w:w="0" w:type="dxa"/>
            <w:right w:w="59" w:type="dxa"/>
          </w:tblCellMar>
        </w:tblPrEx>
        <w:trPr>
          <w:trHeight w:val="540" w:hRule="atLeast"/>
        </w:trPr>
        <w:tc>
          <w:tcPr>
            <w:tcW w:w="2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46A7A4">
            <w:pPr>
              <w:spacing w:after="0" w:line="259" w:lineRule="auto"/>
              <w:ind w:left="0" w:firstLine="0"/>
            </w:pPr>
            <w:r>
              <w:t xml:space="preserve"> Level 0 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9A06A9">
            <w:pPr>
              <w:spacing w:after="0" w:line="259" w:lineRule="auto"/>
              <w:ind w:left="0" w:right="54" w:firstLine="0"/>
              <w:jc w:val="center"/>
            </w:pPr>
            <w:r>
              <w:t xml:space="preserve"> &lt; 50% </w:t>
            </w:r>
          </w:p>
        </w:tc>
      </w:tr>
    </w:tbl>
    <w:p w14:paraId="3B0761C5">
      <w:pPr>
        <w:spacing w:after="45" w:line="514" w:lineRule="auto"/>
        <w:ind w:left="-5" w:right="4143"/>
      </w:pPr>
      <w:r>
        <w:rPr>
          <w:b/>
        </w:rPr>
        <w:t xml:space="preserve"> Target CO Attainment: </w:t>
      </w:r>
      <w:r>
        <w:rPr>
          <w:b/>
        </w:rPr>
        <w:tab/>
      </w:r>
      <w:r>
        <w:t xml:space="preserve"> ≥ 70% </w:t>
      </w:r>
    </w:p>
    <w:p w14:paraId="217DAFCD">
      <w:pPr>
        <w:spacing w:after="45" w:line="514" w:lineRule="auto"/>
        <w:ind w:left="-5" w:right="4143"/>
        <w:rPr>
          <w:rFonts w:hint="default"/>
          <w:lang/>
        </w:rPr>
      </w:pPr>
      <w:r>
        <w:rPr>
          <w:b/>
        </w:rPr>
        <w:t xml:space="preserve">Actual CO Attainment: </w:t>
      </w:r>
      <w:r>
        <w:rPr>
          <w:b/>
        </w:rPr>
        <w:tab/>
      </w:r>
      <w:r>
        <w:t xml:space="preserve"> </w:t>
      </w:r>
      <w:r>
        <w:rPr>
          <w:rFonts w:hint="default"/>
          <w:lang/>
        </w:rPr>
        <w:t>90%</w:t>
      </w:r>
    </w:p>
    <w:p w14:paraId="6DCE0DA2">
      <w:pPr>
        <w:pStyle w:val="2"/>
        <w:ind w:left="-5"/>
      </w:pPr>
      <w:r>
        <w:t xml:space="preserve"> Faculty Analysis </w:t>
      </w:r>
    </w:p>
    <w:p w14:paraId="14EDE89B">
      <w:pPr>
        <w:spacing w:after="251" w:line="267" w:lineRule="auto"/>
        <w:ind w:left="-5"/>
        <w:rPr>
          <w:b w:val="0"/>
          <w:bCs/>
          <w:u w:val="single"/>
        </w:rPr>
      </w:pPr>
      <w:r>
        <w:rPr>
          <w:b/>
        </w:rPr>
        <w:t xml:space="preserve"> Areas in which students performed well:</w:t>
      </w:r>
      <w:r>
        <w:rPr>
          <w:b w:val="0"/>
          <w:bCs/>
        </w:rPr>
        <w:t xml:space="preserve"> </w:t>
      </w:r>
      <w:r>
        <w:rPr>
          <w:rFonts w:hint="default"/>
          <w:b w:val="0"/>
          <w:bCs/>
          <w:u w:val="single"/>
        </w:rPr>
        <w:t>Understands concepts well and participates actively.</w:t>
      </w:r>
      <w:bookmarkStart w:id="0" w:name="_GoBack"/>
      <w:bookmarkEnd w:id="0"/>
    </w:p>
    <w:p w14:paraId="0E06086B">
      <w:pPr>
        <w:spacing w:after="251" w:line="267" w:lineRule="auto"/>
        <w:ind w:left="-5"/>
        <w:rPr>
          <w:rFonts w:hint="default"/>
          <w:b/>
          <w:u w:val="none"/>
          <w:lang/>
        </w:rPr>
      </w:pPr>
      <w:r>
        <w:rPr>
          <w:b/>
        </w:rPr>
        <w:t xml:space="preserve"> Areas requiring improvement</w:t>
      </w:r>
      <w:r>
        <w:rPr>
          <w:rFonts w:hint="default"/>
          <w:b/>
        </w:rPr>
        <w:t>:</w:t>
      </w:r>
      <w:r>
        <w:rPr>
          <w:rFonts w:hint="default"/>
          <w:b/>
          <w:lang/>
        </w:rPr>
        <w:t xml:space="preserve"> </w:t>
      </w:r>
      <w:r>
        <w:rPr>
          <w:rFonts w:hint="default"/>
          <w:b w:val="0"/>
          <w:bCs/>
          <w:u w:val="single"/>
          <w:lang/>
        </w:rPr>
        <w:t>Needs improvement in analytical thinking.</w:t>
      </w:r>
    </w:p>
    <w:p w14:paraId="44A6A52D">
      <w:pPr>
        <w:spacing w:after="251" w:line="267" w:lineRule="auto"/>
        <w:ind w:left="-5"/>
        <w:rPr>
          <w:rFonts w:hint="default"/>
          <w:b w:val="0"/>
          <w:bCs/>
        </w:rPr>
      </w:pPr>
      <w:r>
        <w:rPr>
          <w:b/>
          <w:u w:val="none"/>
        </w:rPr>
        <w:t xml:space="preserve"> Corrective / Improvement Action: </w:t>
      </w:r>
      <w:r>
        <w:rPr>
          <w:rFonts w:hint="default"/>
          <w:b/>
          <w:u w:val="single"/>
        </w:rPr>
        <w:t xml:space="preserve"> </w:t>
      </w:r>
      <w:r>
        <w:rPr>
          <w:rFonts w:hint="default"/>
          <w:b w:val="0"/>
          <w:bCs/>
          <w:u w:val="single"/>
        </w:rPr>
        <w:t>Provide reasoning and analytical questions.</w:t>
      </w:r>
    </w:p>
    <w:p w14:paraId="4D2D226B">
      <w:pPr>
        <w:spacing w:after="251" w:line="267" w:lineRule="auto"/>
        <w:ind w:left="-5"/>
        <w:rPr>
          <w:b w:val="0"/>
          <w:bCs/>
          <w:u w:val="single"/>
        </w:rPr>
      </w:pPr>
      <w:r>
        <w:rPr>
          <w:b/>
        </w:rPr>
        <w:t xml:space="preserve"> Action to be implemented in the next offering: </w:t>
      </w:r>
      <w:r>
        <w:rPr>
          <w:rFonts w:hint="default"/>
          <w:b w:val="0"/>
          <w:bCs/>
          <w:u w:val="single"/>
        </w:rPr>
        <w:t>Add more analytical and scenario-based activities.</w:t>
      </w:r>
    </w:p>
    <w:p w14:paraId="3D594A1D">
      <w:pPr>
        <w:spacing w:after="251" w:line="267" w:lineRule="auto"/>
        <w:ind w:left="-5"/>
      </w:pPr>
      <w:r>
        <w:rPr>
          <w:b/>
        </w:rPr>
        <w:t xml:space="preserve"> Documents to be Maintained </w:t>
      </w:r>
    </w:p>
    <w:p w14:paraId="257D0ADC">
      <w:pPr>
        <w:spacing w:after="246"/>
      </w:pPr>
      <w:r>
        <w:t xml:space="preserve"> The department/course faculty shall maintain: </w:t>
      </w:r>
    </w:p>
    <w:p w14:paraId="491668F9">
      <w:pPr>
        <w:numPr>
          <w:ilvl w:val="0"/>
          <w:numId w:val="15"/>
        </w:numPr>
        <w:ind w:hanging="240"/>
      </w:pPr>
      <w:r>
        <w:t xml:space="preserve"> Assignment question/problem statement  </w:t>
      </w:r>
    </w:p>
    <w:p w14:paraId="7BC5E422">
      <w:pPr>
        <w:numPr>
          <w:ilvl w:val="0"/>
          <w:numId w:val="15"/>
        </w:numPr>
        <w:ind w:hanging="240"/>
      </w:pPr>
      <w:r>
        <w:t xml:space="preserve"> CO–PO and Bloom's mapping </w:t>
      </w:r>
    </w:p>
    <w:p w14:paraId="71CDD7B9">
      <w:pPr>
        <w:numPr>
          <w:ilvl w:val="0"/>
          <w:numId w:val="15"/>
        </w:numPr>
        <w:ind w:hanging="240"/>
      </w:pPr>
      <w:r>
        <w:t xml:space="preserve"> Assessment rubric  </w:t>
      </w:r>
    </w:p>
    <w:p w14:paraId="00D9B94A">
      <w:pPr>
        <w:numPr>
          <w:ilvl w:val="0"/>
          <w:numId w:val="15"/>
        </w:numPr>
        <w:ind w:hanging="240"/>
      </w:pPr>
      <w:r>
        <w:t xml:space="preserve"> Student submissions </w:t>
      </w:r>
    </w:p>
    <w:p w14:paraId="3BA600B5">
      <w:pPr>
        <w:numPr>
          <w:ilvl w:val="0"/>
          <w:numId w:val="15"/>
        </w:numPr>
        <w:ind w:hanging="240"/>
      </w:pPr>
      <w:r>
        <w:t xml:space="preserve"> Tool/simulation/experimental evidence, where applicable </w:t>
      </w:r>
    </w:p>
    <w:p w14:paraId="6A75FBC4">
      <w:pPr>
        <w:numPr>
          <w:ilvl w:val="0"/>
          <w:numId w:val="15"/>
        </w:numPr>
        <w:ind w:hanging="240"/>
      </w:pPr>
      <w:r>
        <w:t xml:space="preserve"> Evaluated scripts/reports </w:t>
      </w:r>
    </w:p>
    <w:p w14:paraId="4B48759B">
      <w:pPr>
        <w:numPr>
          <w:ilvl w:val="0"/>
          <w:numId w:val="15"/>
        </w:numPr>
        <w:ind w:hanging="240"/>
      </w:pPr>
      <w:r>
        <w:t xml:space="preserve"> Marks and rubric-wise assessment </w:t>
      </w:r>
    </w:p>
    <w:p w14:paraId="35D48843">
      <w:pPr>
        <w:numPr>
          <w:ilvl w:val="0"/>
          <w:numId w:val="15"/>
        </w:numPr>
        <w:ind w:hanging="240"/>
      </w:pPr>
      <w:r>
        <w:t xml:space="preserve"> CO attainment analysis </w:t>
      </w:r>
    </w:p>
    <w:p w14:paraId="357C3AB9">
      <w:pPr>
        <w:numPr>
          <w:ilvl w:val="0"/>
          <w:numId w:val="15"/>
        </w:numPr>
        <w:ind w:hanging="240"/>
      </w:pPr>
      <w:r>
        <w:t xml:space="preserve"> Sample student work representing different performance levels </w:t>
      </w:r>
    </w:p>
    <w:p w14:paraId="2313A534">
      <w:pPr>
        <w:numPr>
          <w:ilvl w:val="0"/>
          <w:numId w:val="15"/>
        </w:numPr>
        <w:ind w:hanging="240"/>
      </w:pPr>
      <w:r>
        <w:t xml:space="preserve">  Faculty analysis and continuous-improvement action </w:t>
      </w:r>
    </w:p>
    <w:sectPr>
      <w:pgSz w:w="11918" w:h="16858"/>
      <w:pgMar w:top="1498" w:right="1455" w:bottom="14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1" w:lineRule="auto"/>
      </w:pPr>
      <w:r>
        <w:separator/>
      </w:r>
    </w:p>
  </w:footnote>
  <w:footnote w:type="continuationSeparator" w:id="1">
    <w:p>
      <w:pPr>
        <w:spacing w:before="0" w:after="0" w:line="271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D552E"/>
    <w:multiLevelType w:val="multilevel"/>
    <w:tmpl w:val="02FD552E"/>
    <w:lvl w:ilvl="0" w:tentative="0">
      <w:start w:val="1"/>
      <w:numFmt w:val="decimal"/>
      <w:lvlText w:val="%1"/>
      <w:lvlJc w:val="left"/>
      <w:pPr>
        <w:ind w:left="585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">
    <w:nsid w:val="061053B3"/>
    <w:multiLevelType w:val="multilevel"/>
    <w:tmpl w:val="061053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7797006"/>
    <w:multiLevelType w:val="multilevel"/>
    <w:tmpl w:val="07797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24C0F29"/>
    <w:multiLevelType w:val="multilevel"/>
    <w:tmpl w:val="124C0F29"/>
    <w:lvl w:ilvl="0" w:tentative="0">
      <w:start w:val="6"/>
      <w:numFmt w:val="upperLetter"/>
      <w:lvlText w:val="%1."/>
      <w:lvlJc w:val="left"/>
      <w:pPr>
        <w:ind w:left="35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abstractNum w:abstractNumId="4">
    <w:nsid w:val="1B234F04"/>
    <w:multiLevelType w:val="multilevel"/>
    <w:tmpl w:val="1B234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C0A424B"/>
    <w:multiLevelType w:val="multilevel"/>
    <w:tmpl w:val="2C0A424B"/>
    <w:lvl w:ilvl="0" w:tentative="0">
      <w:start w:val="3"/>
      <w:numFmt w:val="decimal"/>
      <w:lvlText w:val="%1."/>
      <w:lvlJc w:val="left"/>
      <w:pPr>
        <w:ind w:left="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●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>
    <w:nsid w:val="2C600831"/>
    <w:multiLevelType w:val="multilevel"/>
    <w:tmpl w:val="2C6008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61D43C7"/>
    <w:multiLevelType w:val="multilevel"/>
    <w:tmpl w:val="361D4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CF00082"/>
    <w:multiLevelType w:val="multilevel"/>
    <w:tmpl w:val="3CF00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73F0761"/>
    <w:multiLevelType w:val="multilevel"/>
    <w:tmpl w:val="473F0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D2A0B6B"/>
    <w:multiLevelType w:val="multilevel"/>
    <w:tmpl w:val="4D2A0B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5781212"/>
    <w:multiLevelType w:val="multilevel"/>
    <w:tmpl w:val="55781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6D32B6D"/>
    <w:multiLevelType w:val="multilevel"/>
    <w:tmpl w:val="56D32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1565FE8"/>
    <w:multiLevelType w:val="multilevel"/>
    <w:tmpl w:val="61565FE8"/>
    <w:lvl w:ilvl="0" w:tentative="0">
      <w:start w:val="6"/>
      <w:numFmt w:val="decimal"/>
      <w:lvlText w:val="%1."/>
      <w:lvlJc w:val="left"/>
      <w:pPr>
        <w:ind w:left="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●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4">
    <w:nsid w:val="66656C92"/>
    <w:multiLevelType w:val="multilevel"/>
    <w:tmpl w:val="66656C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1"/>
  </w:num>
  <w:num w:numId="2">
    <w:abstractNumId w:val="12"/>
  </w:num>
  <w:num w:numId="3">
    <w:abstractNumId w:val="7"/>
  </w:num>
  <w:num w:numId="4">
    <w:abstractNumId w:val="2"/>
  </w:num>
  <w:num w:numId="5">
    <w:abstractNumId w:val="1"/>
  </w:num>
  <w:num w:numId="6">
    <w:abstractNumId w:val="4"/>
  </w:num>
  <w:num w:numId="7">
    <w:abstractNumId w:val="5"/>
  </w:num>
  <w:num w:numId="8">
    <w:abstractNumId w:val="13"/>
  </w:num>
  <w:num w:numId="9">
    <w:abstractNumId w:val="8"/>
  </w:num>
  <w:num w:numId="10">
    <w:abstractNumId w:val="9"/>
  </w:num>
  <w:num w:numId="11">
    <w:abstractNumId w:val="10"/>
  </w:num>
  <w:num w:numId="12">
    <w:abstractNumId w:val="6"/>
  </w:num>
  <w:num w:numId="13">
    <w:abstractNumId w:val="14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221"/>
    <w:rsid w:val="000A7A28"/>
    <w:rsid w:val="003F419E"/>
    <w:rsid w:val="00415C03"/>
    <w:rsid w:val="0053568D"/>
    <w:rsid w:val="0064090C"/>
    <w:rsid w:val="00692117"/>
    <w:rsid w:val="00AB3836"/>
    <w:rsid w:val="00AD5052"/>
    <w:rsid w:val="00B62026"/>
    <w:rsid w:val="00D4223C"/>
    <w:rsid w:val="00D85622"/>
    <w:rsid w:val="00E94891"/>
    <w:rsid w:val="00F01221"/>
    <w:rsid w:val="44134816"/>
    <w:rsid w:val="7CF5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" w:line="271" w:lineRule="auto"/>
      <w:ind w:left="10" w:hanging="10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2"/>
    <w:qFormat/>
    <w:uiPriority w:val="9"/>
    <w:pPr>
      <w:keepNext/>
      <w:keepLines/>
      <w:spacing w:after="224" w:line="259" w:lineRule="auto"/>
      <w:ind w:left="12" w:hanging="10"/>
      <w:outlineLvl w:val="0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paragraph" w:styleId="3">
    <w:name w:val="heading 3"/>
    <w:basedOn w:val="1"/>
    <w:next w:val="1"/>
    <w:link w:val="14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</w:rPr>
  </w:style>
  <w:style w:type="paragraph" w:styleId="4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5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ing 1 Char"/>
    <w:link w:val="2"/>
    <w:qFormat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table" w:customStyle="1" w:styleId="13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4">
    <w:name w:val="Heading 3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15">
    <w:name w:val="HTML Preformatted Char"/>
    <w:basedOn w:val="5"/>
    <w:link w:val="8"/>
    <w:semiHidden/>
    <w:uiPriority w:val="99"/>
    <w:rPr>
      <w:rFonts w:ascii="Consolas" w:hAnsi="Consolas" w:eastAsia="Times New Roman" w:cs="Times New Roman"/>
      <w:color w:val="000000"/>
      <w:sz w:val="20"/>
      <w:szCs w:val="20"/>
    </w:rPr>
  </w:style>
  <w:style w:type="table" w:customStyle="1" w:styleId="16">
    <w:name w:val="Grid Table Light"/>
    <w:basedOn w:val="6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7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A21E0-CB68-47C4-B123-1E014764BBB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3199</Words>
  <Characters>19485</Characters>
  <Lines>182</Lines>
  <Paragraphs>51</Paragraphs>
  <TotalTime>6</TotalTime>
  <ScaleCrop>false</ScaleCrop>
  <LinksUpToDate>false</LinksUpToDate>
  <CharactersWithSpaces>24604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2026-09-02T04:17:00Z</dcterms:created>
  <dc:creator>Anchal Kumari</dc:creator>
  <cp:lastModifiedBy>Chevvu Mallikarjuna</cp:lastModifiedBy>
  <dcterms:modified xsi:type="dcterms:W3CDTF">2026-09-02T05:24:58Z</dcterms:modified>
  <dc:title>Assignment Format - Google Docs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eyJoZGlkIjoiZTdkMzc1ODgwOTg4MmY1NTU5OWNjZjY3YmQwMWQwMzEiLCJ1c2VySWQiOiI1NjczMTc2NjkxODYifQ==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6A173BF34BB4422C8E6532BF74BB9C21_12</vt:lpwstr>
  </property>
</Properties>
</file>