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7.21</w:t>
      </w:r>
    </w:p>
    <w:p>
      <w:r>
        <w:drawing>
          <wp:inline distT="0" distB="0" distL="114300" distR="114300">
            <wp:extent cx="5267960" cy="255778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dealer(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DealerId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DealerName, PhoneNumber)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customer(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CustomerId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, CustomerName, PhoneNumber)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car(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VIN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) </w:t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model(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ModelId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ModelName) </w:t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option(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OptionId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Component)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brand(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BrandName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)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choose(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ModelId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ModelName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OptionId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,</w:t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BrandName references brand 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foreign key ModelId references model ,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foreign key OptionId references option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available(</w:t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ModelId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OptionId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ModelId references car, </w:t>
      </w:r>
    </w:p>
    <w:p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OptionId references option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) 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design(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BrandName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ModelId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,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BrandName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brand 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ModelId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model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)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reserve(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VIN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DealerId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foreign key VIN references car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foreign key DealerId references dealer, 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) 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buy(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VIN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CustomerId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foreign key VIN references vehicle,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CustomerId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 xml:space="preserve"> references customer, 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)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7.23</w:t>
      </w: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drawing>
          <wp:inline distT="0" distB="0" distL="114300" distR="114300">
            <wp:extent cx="5271135" cy="45650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customer(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ustomer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CustomerN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ame,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PhoneNumber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)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flight(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CurrentFlightId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ate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, NumOfPeople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)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monitor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(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F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light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State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)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station(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S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tation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StationN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ame,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ountry)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take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(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CurrentFlightId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ustomer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SeatNo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CurrentFlightId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flight,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C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ustomer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customer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)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Instantilization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(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CurrentFlightId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F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light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No,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CurrentFlightId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flight,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F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light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monitor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arrange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(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F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light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S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tation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No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rriv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day,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epartday,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F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light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monitor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S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tation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station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)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Information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(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CurrentF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light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ArriveS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tation</w:t>
      </w:r>
      <w:r>
        <w:rPr>
          <w:rFonts w:hint="eastAsia" w:ascii="Times New Roman" w:hAnsi="Times New Roman" w:cs="Times New Roman"/>
          <w:i/>
          <w:iCs/>
          <w:u w:val="singl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singl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DepartStationId,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A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rriv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e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date,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epartdate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,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CurrentF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light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flight,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foreign key 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S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tation</w:t>
      </w:r>
      <w:r>
        <w:rPr>
          <w:rFonts w:hint="eastAsia" w:ascii="Times New Roman" w:hAnsi="Times New Roman" w:cs="Times New Roman"/>
          <w:i/>
          <w:iCs/>
          <w:u w:val="none"/>
          <w:lang w:val="en-US" w:eastAsia="zh-CN"/>
        </w:rPr>
        <w:t>I</w:t>
      </w:r>
      <w:r>
        <w:rPr>
          <w:rFonts w:hint="default" w:ascii="Times New Roman" w:hAnsi="Times New Roman" w:cs="Times New Roman"/>
          <w:i/>
          <w:iCs/>
          <w:u w:val="none"/>
          <w:lang w:val="en-US" w:eastAsia="zh-CN"/>
        </w:rPr>
        <w:t>d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 xml:space="preserve"> references station 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)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</w:p>
    <w:p>
      <w:pPr>
        <w:rPr>
          <w:rFonts w:hint="eastAsia" w:ascii="Times New Roman" w:hAnsi="Times New Roman" w:cs="Times New Roman"/>
          <w:i/>
          <w:iCs/>
          <w:lang w:val="en-US" w:eastAsia="zh-CN"/>
        </w:rPr>
      </w:pPr>
      <w:r>
        <w:rPr>
          <w:rFonts w:hint="default" w:ascii="Times New Roman" w:hAnsi="Times New Roman" w:cs="Times New Roman"/>
          <w:i/>
          <w:iCs/>
          <w:lang w:val="en-US" w:eastAsia="zh-CN"/>
        </w:rPr>
        <w:t>ABC Banks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  <w:r>
        <w:drawing>
          <wp:inline distT="0" distB="0" distL="114300" distR="114300">
            <wp:extent cx="5265420" cy="3572510"/>
            <wp:effectExtent l="0" t="0" r="1143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</w:p>
    <w:p>
      <w:pPr>
        <w:rPr>
          <w:rFonts w:hint="default" w:ascii="Times New Roman" w:hAnsi="Times New Roman" w:cs="Times New Roman"/>
          <w:i/>
          <w:iCs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F61CF"/>
    <w:rsid w:val="01D63774"/>
    <w:rsid w:val="07304CEC"/>
    <w:rsid w:val="0D473147"/>
    <w:rsid w:val="145A1533"/>
    <w:rsid w:val="23971A56"/>
    <w:rsid w:val="266D3A35"/>
    <w:rsid w:val="2A4C260D"/>
    <w:rsid w:val="2D3D5766"/>
    <w:rsid w:val="3A2D5D22"/>
    <w:rsid w:val="53E3575A"/>
    <w:rsid w:val="58BB0A2E"/>
    <w:rsid w:val="5B3B0C21"/>
    <w:rsid w:val="70377593"/>
    <w:rsid w:val="72451969"/>
    <w:rsid w:val="744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170</Words>
  <Characters>1343</Characters>
  <Lines>0</Lines>
  <Paragraphs>0</Paragraphs>
  <TotalTime>3</TotalTime>
  <ScaleCrop>false</ScaleCrop>
  <LinksUpToDate>false</LinksUpToDate>
  <CharactersWithSpaces>1490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2022-04-24T03:41:00Z</dcterms:created>
  <dc:creator>家健baba</dc:creator>
  <cp:lastModifiedBy>家健baba</cp:lastModifiedBy>
  <dcterms:modified xsi:type="dcterms:W3CDTF">2022-04-24T13:11:10Z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7758D42515424B2185B5AFB3E3628BCA</vt:lpwstr>
  </property>
  <property fmtid="{D5CDD505-2E9C-101B-9397-08002B2CF9AE}" pid="4" name="commondata">
    <vt:lpwstr>eyJoZGlkIjoiMWI5Zjc2NjFkMjM5OTczY2I4NTBmNmU3MzMyMjNmNjIifQ==</vt:lpwstr>
  </property>
</Properties>
</file>