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D9A916"/>
          <w:sz w:val="34"/>
        </w:rPr>
        <w:t>SOMESA</w:t>
      </w:r>
    </w:p>
    <w:p>
      <w:pPr>
        <w:jc w:val="center"/>
      </w:pPr>
      <w:r>
        <w:rPr>
          <w:rFonts w:ascii="Georgia" w:hAnsi="Georgia"/>
          <w:b/>
          <w:color w:val="173C31"/>
          <w:sz w:val="58"/>
        </w:rPr>
        <w:t>Uganda School Management System</w:t>
      </w:r>
    </w:p>
    <w:p>
      <w:pPr>
        <w:jc w:val="center"/>
      </w:pPr>
      <w:r>
        <w:rPr>
          <w:color w:val="2F6B4F"/>
          <w:sz w:val="28"/>
        </w:rPr>
        <w:t>Complete Product Blueprint, Functional Specification and Operations Manual</w:t>
      </w:r>
    </w:p>
    <w:p/>
    <w:p>
      <w:pPr>
        <w:jc w:val="center"/>
      </w:pPr>
      <w:r>
        <w:rPr>
          <w:i/>
          <w:color w:val="66756E"/>
          <w:sz w:val="22"/>
        </w:rPr>
        <w:t>From concept to production: every role, permission, workflow, module, control, integration and maintenance responsibility.</w:t>
      </w:r>
    </w:p>
    <w:p/>
    <w:p/>
    <w:p/>
    <w:p/>
    <w:p/>
    <w:p/>
    <w:p/>
    <w:tbl>
      <w:tblPr>
        <w:tblStyle w:val="TableGrid"/>
        <w:tblW w:type="dxa" w:w="9360"/>
        <w:jc w:val="left"/>
        <w:tblLayout w:type="fixed"/>
        <w:tblLook w:firstColumn="1" w:firstRow="1" w:lastColumn="0" w:lastRow="0" w:noHBand="0" w:noVBand="1" w:val="04A0"/>
        <w:tblInd w:w="120" w:type="dxa"/>
      </w:tblPr>
      <w:tblGrid>
        <w:gridCol w:w="2300"/>
        <w:gridCol w:w="3000"/>
        <w:gridCol w:w="1900"/>
        <w:gridCol w:w="2160"/>
      </w:tblGrid>
      <w:tr>
        <w:tc>
          <w:tcPr>
            <w:tcW w:type="dxa" w:w="2300"/>
            <w:shd w:fill="173C31"/>
            <w:tcMar>
              <w:top w:w="80" w:type="dxa"/>
              <w:start w:w="120" w:type="dxa"/>
              <w:bottom w:w="80" w:type="dxa"/>
              <w:end w:w="120" w:type="dxa"/>
            </w:tcMar>
          </w:tcPr>
          <w:p>
            <w:r>
              <w:rPr>
                <w:b/>
                <w:color w:val="FFFFFF"/>
                <w:sz w:val="17"/>
              </w:rPr>
              <w:t>Document owner</w:t>
            </w:r>
          </w:p>
        </w:tc>
        <w:tc>
          <w:tcPr>
            <w:tcW w:type="dxa" w:w="3000"/>
            <w:shd w:fill="173C31"/>
            <w:tcMar>
              <w:top w:w="80" w:type="dxa"/>
              <w:start w:w="120" w:type="dxa"/>
              <w:bottom w:w="80" w:type="dxa"/>
              <w:end w:w="120" w:type="dxa"/>
            </w:tcMar>
          </w:tcPr>
          <w:p>
            <w:r>
              <w:rPr>
                <w:b/>
                <w:color w:val="FFFFFF"/>
                <w:sz w:val="17"/>
              </w:rPr>
              <w:t>Prepared for</w:t>
            </w:r>
          </w:p>
        </w:tc>
        <w:tc>
          <w:tcPr>
            <w:tcW w:type="dxa" w:w="1900"/>
            <w:shd w:fill="173C31"/>
            <w:tcMar>
              <w:top w:w="80" w:type="dxa"/>
              <w:start w:w="120" w:type="dxa"/>
              <w:bottom w:w="80" w:type="dxa"/>
              <w:end w:w="120" w:type="dxa"/>
            </w:tcMar>
          </w:tcPr>
          <w:p>
            <w:r>
              <w:rPr>
                <w:b/>
                <w:color w:val="FFFFFF"/>
                <w:sz w:val="17"/>
              </w:rPr>
              <w:t>Version</w:t>
            </w:r>
          </w:p>
        </w:tc>
        <w:tc>
          <w:tcPr>
            <w:tcW w:type="dxa" w:w="2160"/>
            <w:shd w:fill="173C31"/>
            <w:tcMar>
              <w:top w:w="80" w:type="dxa"/>
              <w:start w:w="120" w:type="dxa"/>
              <w:bottom w:w="80" w:type="dxa"/>
              <w:end w:w="120" w:type="dxa"/>
            </w:tcMar>
          </w:tcPr>
          <w:p>
            <w:r>
              <w:rPr>
                <w:b/>
                <w:color w:val="FFFFFF"/>
                <w:sz w:val="17"/>
              </w:rPr>
              <w:t>Status</w:t>
            </w:r>
          </w:p>
        </w:tc>
      </w:tr>
      <w:tr>
        <w:tc>
          <w:tcPr>
            <w:tcW w:type="dxa" w:w="2300"/>
            <w:vAlign w:val="center"/>
            <w:tcMar>
              <w:top w:w="80" w:type="dxa"/>
              <w:start w:w="120" w:type="dxa"/>
              <w:bottom w:w="80" w:type="dxa"/>
              <w:end w:w="120" w:type="dxa"/>
            </w:tcMar>
          </w:tcPr>
          <w:p>
            <w:pPr>
              <w:spacing w:after="0"/>
            </w:pPr>
            <w:r>
              <w:rPr>
                <w:rFonts w:ascii="Calibri" w:hAnsi="Calibri"/>
                <w:sz w:val="16"/>
              </w:rPr>
              <w:t>Avatar Solutions Ltd</w:t>
            </w:r>
          </w:p>
        </w:tc>
        <w:tc>
          <w:tcPr>
            <w:tcW w:type="dxa" w:w="3000"/>
            <w:vAlign w:val="center"/>
            <w:tcMar>
              <w:top w:w="80" w:type="dxa"/>
              <w:start w:w="120" w:type="dxa"/>
              <w:bottom w:w="80" w:type="dxa"/>
              <w:end w:w="120" w:type="dxa"/>
            </w:tcMar>
          </w:tcPr>
          <w:p>
            <w:pPr>
              <w:spacing w:after="0"/>
            </w:pPr>
            <w:r>
              <w:rPr>
                <w:rFonts w:ascii="Calibri" w:hAnsi="Calibri"/>
                <w:sz w:val="16"/>
              </w:rPr>
              <w:t>Product, engineering, school operators and investors</w:t>
            </w:r>
          </w:p>
        </w:tc>
        <w:tc>
          <w:tcPr>
            <w:tcW w:type="dxa" w:w="1900"/>
            <w:vAlign w:val="center"/>
            <w:tcMar>
              <w:top w:w="80" w:type="dxa"/>
              <w:start w:w="120" w:type="dxa"/>
              <w:bottom w:w="80" w:type="dxa"/>
              <w:end w:w="120" w:type="dxa"/>
            </w:tcMar>
          </w:tcPr>
          <w:p>
            <w:pPr>
              <w:spacing w:after="0"/>
            </w:pPr>
            <w:r>
              <w:rPr>
                <w:rFonts w:ascii="Calibri" w:hAnsi="Calibri"/>
                <w:sz w:val="16"/>
              </w:rPr>
              <w:t>2.0 • September 2026</w:t>
            </w:r>
          </w:p>
        </w:tc>
        <w:tc>
          <w:tcPr>
            <w:tcW w:type="dxa" w:w="2160"/>
            <w:vAlign w:val="center"/>
            <w:tcMar>
              <w:top w:w="80" w:type="dxa"/>
              <w:start w:w="120" w:type="dxa"/>
              <w:bottom w:w="80" w:type="dxa"/>
              <w:end w:w="120" w:type="dxa"/>
            </w:tcMar>
          </w:tcPr>
          <w:p>
            <w:pPr>
              <w:spacing w:after="0"/>
            </w:pPr>
            <w:r>
              <w:rPr>
                <w:rFonts w:ascii="Calibri" w:hAnsi="Calibri"/>
                <w:sz w:val="16"/>
              </w:rPr>
              <w:t>Build-ready master blueprint</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9F3EE"/>
            <w:tcMar>
              <w:top w:w="80" w:type="dxa"/>
              <w:start w:w="120" w:type="dxa"/>
              <w:bottom w:w="80" w:type="dxa"/>
              <w:end w:w="120" w:type="dxa"/>
            </w:tcMar>
          </w:tcPr>
          <w:p>
            <w:pPr>
              <w:spacing w:after="60"/>
            </w:pPr>
            <w:r>
              <w:rPr>
                <w:b/>
                <w:color w:val="173C31"/>
              </w:rPr>
              <w:t>Document purpose</w:t>
            </w:r>
          </w:p>
          <w:p>
            <w:pPr>
              <w:spacing w:after="0"/>
            </w:pPr>
            <w:r>
              <w:rPr>
                <w:sz w:val="19"/>
              </w:rPr>
              <w:t>This manual defines the finished system that should be built. It is not a claim that the current web prototype already performs these functions. Every feature below becomes “live” only after engineering, testing, security review, school configuration and production acceptance.</w:t>
            </w:r>
          </w:p>
        </w:tc>
      </w:tr>
    </w:tbl>
    <w:p/>
    <w:p>
      <w:r>
        <w:br w:type="page"/>
      </w:r>
    </w:p>
    <w:p>
      <w:pPr>
        <w:pStyle w:val="Heading1"/>
      </w:pPr>
      <w:r>
        <w:t>How to use this blueprint</w:t>
      </w:r>
    </w:p>
    <w:p>
      <w:r>
        <w:t>This document serves five audiences: the product owner deciding what Somesa should become; developers designing and building it; school leaders buying and governing it; staff operating it each day; and support teams maintaining it. Functional requirements use “must” when they are required for a safe, usable production release and “may” for optional configuration.</w:t>
      </w:r>
    </w:p>
    <w:p>
      <w:pPr>
        <w:pStyle w:val="ListBullet"/>
      </w:pPr>
      <w:r>
        <w:t>Sections 1–7 define the product, users, access model and architecture.</w:t>
      </w:r>
    </w:p>
    <w:p>
      <w:pPr>
        <w:pStyle w:val="ListBullet"/>
      </w:pPr>
      <w:r>
        <w:t>Sections 8–23 define every major school module and its exact workflows.</w:t>
      </w:r>
    </w:p>
    <w:p>
      <w:pPr>
        <w:pStyle w:val="ListBullet"/>
      </w:pPr>
      <w:r>
        <w:t>Sections 24–31 define administration, security, support, maintenance and implementation.</w:t>
      </w:r>
    </w:p>
    <w:p>
      <w:pPr>
        <w:pStyle w:val="ListBullet"/>
      </w:pPr>
      <w:r>
        <w:t>Appendices provide permission, notification, status and acceptance-test references.</w:t>
      </w:r>
    </w:p>
    <w:p>
      <w:pPr>
        <w:pStyle w:val="Heading2"/>
      </w:pPr>
      <w:r>
        <w:t>Definitions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73C31"/>
            <w:tcMar>
              <w:top w:w="80" w:type="dxa"/>
              <w:start w:w="120" w:type="dxa"/>
              <w:bottom w:w="80" w:type="dxa"/>
              <w:end w:w="120" w:type="dxa"/>
            </w:tcMar>
          </w:tcPr>
          <w:p>
            <w:r>
              <w:rPr>
                <w:b/>
                <w:color w:val="FFFFFF"/>
                <w:sz w:val="17"/>
              </w:rPr>
              <w:t>Term</w:t>
            </w:r>
          </w:p>
        </w:tc>
        <w:tc>
          <w:tcPr>
            <w:tcW w:type="dxa" w:w="7460"/>
            <w:shd w:fill="173C31"/>
            <w:tcMar>
              <w:top w:w="80" w:type="dxa"/>
              <w:start w:w="120" w:type="dxa"/>
              <w:bottom w:w="80" w:type="dxa"/>
              <w:end w:w="120" w:type="dxa"/>
            </w:tcMar>
          </w:tcPr>
          <w:p>
            <w:r>
              <w:rPr>
                <w:b/>
                <w:color w:val="FFFFFF"/>
                <w:sz w:val="17"/>
              </w:rPr>
              <w:t>Meaning</w:t>
            </w:r>
          </w:p>
        </w:tc>
      </w:tr>
      <w:tr>
        <w:tc>
          <w:tcPr>
            <w:tcW w:type="dxa" w:w="1900"/>
            <w:vAlign w:val="center"/>
            <w:tcMar>
              <w:top w:w="80" w:type="dxa"/>
              <w:start w:w="120" w:type="dxa"/>
              <w:bottom w:w="80" w:type="dxa"/>
              <w:end w:w="120" w:type="dxa"/>
            </w:tcMar>
          </w:tcPr>
          <w:p>
            <w:pPr>
              <w:spacing w:after="0"/>
            </w:pPr>
            <w:r>
              <w:rPr>
                <w:rFonts w:ascii="Calibri" w:hAnsi="Calibri"/>
                <w:sz w:val="16"/>
              </w:rPr>
              <w:t>Platform</w:t>
            </w:r>
          </w:p>
        </w:tc>
        <w:tc>
          <w:tcPr>
            <w:tcW w:type="dxa" w:w="7460"/>
            <w:vAlign w:val="center"/>
            <w:tcMar>
              <w:top w:w="80" w:type="dxa"/>
              <w:start w:w="120" w:type="dxa"/>
              <w:bottom w:w="80" w:type="dxa"/>
              <w:end w:w="120" w:type="dxa"/>
            </w:tcMar>
          </w:tcPr>
          <w:p>
            <w:pPr>
              <w:spacing w:after="0"/>
            </w:pPr>
            <w:r>
              <w:rPr>
                <w:rFonts w:ascii="Calibri" w:hAnsi="Calibri"/>
                <w:sz w:val="16"/>
              </w:rPr>
              <w:t>The shared Somesa software operated by Avatar Solutions Ltd.</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Tenant</w:t>
            </w:r>
          </w:p>
        </w:tc>
        <w:tc>
          <w:tcPr>
            <w:tcW w:type="dxa" w:w="7460"/>
            <w:vAlign w:val="center"/>
            <w:shd w:fill="F5F7F4"/>
            <w:tcMar>
              <w:top w:w="80" w:type="dxa"/>
              <w:start w:w="120" w:type="dxa"/>
              <w:bottom w:w="80" w:type="dxa"/>
              <w:end w:w="120" w:type="dxa"/>
            </w:tcMar>
          </w:tcPr>
          <w:p>
            <w:pPr>
              <w:spacing w:after="0"/>
            </w:pPr>
            <w:r>
              <w:rPr>
                <w:rFonts w:ascii="Calibri" w:hAnsi="Calibri"/>
                <w:sz w:val="16"/>
              </w:rPr>
              <w:t>One subscribing school, campus group, college or university whose data is isolated from all others.</w:t>
            </w:r>
          </w:p>
        </w:tc>
      </w:tr>
      <w:tr>
        <w:tc>
          <w:tcPr>
            <w:tcW w:type="dxa" w:w="1900"/>
            <w:vAlign w:val="center"/>
            <w:tcMar>
              <w:top w:w="80" w:type="dxa"/>
              <w:start w:w="120" w:type="dxa"/>
              <w:bottom w:w="80" w:type="dxa"/>
              <w:end w:w="120" w:type="dxa"/>
            </w:tcMar>
          </w:tcPr>
          <w:p>
            <w:pPr>
              <w:spacing w:after="0"/>
            </w:pPr>
            <w:r>
              <w:rPr>
                <w:rFonts w:ascii="Calibri" w:hAnsi="Calibri"/>
                <w:sz w:val="16"/>
              </w:rPr>
              <w:t>Portal</w:t>
            </w:r>
          </w:p>
        </w:tc>
        <w:tc>
          <w:tcPr>
            <w:tcW w:type="dxa" w:w="7460"/>
            <w:vAlign w:val="center"/>
            <w:tcMar>
              <w:top w:w="80" w:type="dxa"/>
              <w:start w:w="120" w:type="dxa"/>
              <w:bottom w:w="80" w:type="dxa"/>
              <w:end w:w="120" w:type="dxa"/>
            </w:tcMar>
          </w:tcPr>
          <w:p>
            <w:pPr>
              <w:spacing w:after="0"/>
            </w:pPr>
            <w:r>
              <w:rPr>
                <w:rFonts w:ascii="Calibri" w:hAnsi="Calibri"/>
                <w:sz w:val="16"/>
              </w:rPr>
              <w:t>The role-specific workspace a user sees after authentication.</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School administrator</w:t>
            </w:r>
          </w:p>
        </w:tc>
        <w:tc>
          <w:tcPr>
            <w:tcW w:type="dxa" w:w="7460"/>
            <w:vAlign w:val="center"/>
            <w:shd w:fill="F5F7F4"/>
            <w:tcMar>
              <w:top w:w="80" w:type="dxa"/>
              <w:start w:w="120" w:type="dxa"/>
              <w:bottom w:w="80" w:type="dxa"/>
              <w:end w:w="120" w:type="dxa"/>
            </w:tcMar>
          </w:tcPr>
          <w:p>
            <w:pPr>
              <w:spacing w:after="0"/>
            </w:pPr>
            <w:r>
              <w:rPr>
                <w:rFonts w:ascii="Calibri" w:hAnsi="Calibri"/>
                <w:sz w:val="16"/>
              </w:rPr>
              <w:t>The institution’s authorised system operator; not the Somesa platform owner.</w:t>
            </w:r>
          </w:p>
        </w:tc>
      </w:tr>
      <w:tr>
        <w:tc>
          <w:tcPr>
            <w:tcW w:type="dxa" w:w="1900"/>
            <w:vAlign w:val="center"/>
            <w:tcMar>
              <w:top w:w="80" w:type="dxa"/>
              <w:start w:w="120" w:type="dxa"/>
              <w:bottom w:w="80" w:type="dxa"/>
              <w:end w:w="120" w:type="dxa"/>
            </w:tcMar>
          </w:tcPr>
          <w:p>
            <w:pPr>
              <w:spacing w:after="0"/>
            </w:pPr>
            <w:r>
              <w:rPr>
                <w:rFonts w:ascii="Calibri" w:hAnsi="Calibri"/>
                <w:sz w:val="16"/>
              </w:rPr>
              <w:t>Guardian</w:t>
            </w:r>
          </w:p>
        </w:tc>
        <w:tc>
          <w:tcPr>
            <w:tcW w:type="dxa" w:w="7460"/>
            <w:vAlign w:val="center"/>
            <w:tcMar>
              <w:top w:w="80" w:type="dxa"/>
              <w:start w:w="120" w:type="dxa"/>
              <w:bottom w:w="80" w:type="dxa"/>
              <w:end w:w="120" w:type="dxa"/>
            </w:tcMar>
          </w:tcPr>
          <w:p>
            <w:pPr>
              <w:spacing w:after="0"/>
            </w:pPr>
            <w:r>
              <w:rPr>
                <w:rFonts w:ascii="Calibri" w:hAnsi="Calibri"/>
                <w:sz w:val="16"/>
              </w:rPr>
              <w:t>A parent or legally authorised adult linked to one or more learners.</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Record owner</w:t>
            </w:r>
          </w:p>
        </w:tc>
        <w:tc>
          <w:tcPr>
            <w:tcW w:type="dxa" w:w="7460"/>
            <w:vAlign w:val="center"/>
            <w:shd w:fill="F5F7F4"/>
            <w:tcMar>
              <w:top w:w="80" w:type="dxa"/>
              <w:start w:w="120" w:type="dxa"/>
              <w:bottom w:w="80" w:type="dxa"/>
              <w:end w:w="120" w:type="dxa"/>
            </w:tcMar>
          </w:tcPr>
          <w:p>
            <w:pPr>
              <w:spacing w:after="0"/>
            </w:pPr>
            <w:r>
              <w:rPr>
                <w:rFonts w:ascii="Calibri" w:hAnsi="Calibri"/>
                <w:sz w:val="16"/>
              </w:rPr>
              <w:t>The institution that controls a record and decides authorised use.</w:t>
            </w:r>
          </w:p>
        </w:tc>
      </w:tr>
      <w:tr>
        <w:tc>
          <w:tcPr>
            <w:tcW w:type="dxa" w:w="1900"/>
            <w:vAlign w:val="center"/>
            <w:tcMar>
              <w:top w:w="80" w:type="dxa"/>
              <w:start w:w="120" w:type="dxa"/>
              <w:bottom w:w="80" w:type="dxa"/>
              <w:end w:w="120" w:type="dxa"/>
            </w:tcMar>
          </w:tcPr>
          <w:p>
            <w:pPr>
              <w:spacing w:after="0"/>
            </w:pPr>
            <w:r>
              <w:rPr>
                <w:rFonts w:ascii="Calibri" w:hAnsi="Calibri"/>
                <w:sz w:val="16"/>
              </w:rPr>
              <w:t>Audit trail</w:t>
            </w:r>
          </w:p>
        </w:tc>
        <w:tc>
          <w:tcPr>
            <w:tcW w:type="dxa" w:w="7460"/>
            <w:vAlign w:val="center"/>
            <w:tcMar>
              <w:top w:w="80" w:type="dxa"/>
              <w:start w:w="120" w:type="dxa"/>
              <w:bottom w:w="80" w:type="dxa"/>
              <w:end w:w="120" w:type="dxa"/>
            </w:tcMar>
          </w:tcPr>
          <w:p>
            <w:pPr>
              <w:spacing w:after="0"/>
            </w:pPr>
            <w:r>
              <w:rPr>
                <w:rFonts w:ascii="Calibri" w:hAnsi="Calibri"/>
                <w:sz w:val="16"/>
              </w:rPr>
              <w:t>An immutable history of who performed a sensitive action, when and from which session.</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Production</w:t>
            </w:r>
          </w:p>
        </w:tc>
        <w:tc>
          <w:tcPr>
            <w:tcW w:type="dxa" w:w="7460"/>
            <w:vAlign w:val="center"/>
            <w:shd w:fill="F5F7F4"/>
            <w:tcMar>
              <w:top w:w="80" w:type="dxa"/>
              <w:start w:w="120" w:type="dxa"/>
              <w:bottom w:w="80" w:type="dxa"/>
              <w:end w:w="120" w:type="dxa"/>
            </w:tcMar>
          </w:tcPr>
          <w:p>
            <w:pPr>
              <w:spacing w:after="0"/>
            </w:pPr>
            <w:r>
              <w:rPr>
                <w:rFonts w:ascii="Calibri" w:hAnsi="Calibri"/>
                <w:sz w:val="16"/>
              </w:rPr>
              <w:t>The live, secured environment approved for real institutional data.</w:t>
            </w:r>
          </w:p>
        </w:tc>
      </w:tr>
    </w:tbl>
    <w:p/>
    <w:p>
      <w:pPr>
        <w:pStyle w:val="Heading2"/>
      </w:pPr>
      <w:r>
        <w:t>Document control and assumptions</w:t>
      </w:r>
    </w:p>
    <w:p>
      <w:pPr>
        <w:pStyle w:val="ListBullet"/>
      </w:pPr>
      <w:r>
        <w:t>Somesa is multi-tenant: every institution is logically isolated.</w:t>
      </w:r>
    </w:p>
    <w:p>
      <w:pPr>
        <w:pStyle w:val="ListBullet"/>
      </w:pPr>
      <w:r>
        <w:t>The product supports nursery, primary, secondary, vocational, college and university configurations.</w:t>
      </w:r>
    </w:p>
    <w:p>
      <w:pPr>
        <w:pStyle w:val="ListBullet"/>
      </w:pPr>
      <w:r>
        <w:t>Currency defaults to UGX, timezone to Africa/Kampala and academic calendars are institution-configurable.</w:t>
      </w:r>
    </w:p>
    <w:p>
      <w:pPr>
        <w:pStyle w:val="ListBullet"/>
      </w:pPr>
      <w:r>
        <w:t>Internet may be unreliable; mobile-first, low-bandwidth behaviour and resumable uploads are product requirements.</w:t>
      </w:r>
    </w:p>
    <w:p>
      <w:pPr>
        <w:pStyle w:val="ListBullet"/>
      </w:pPr>
      <w:r>
        <w:t>Legal, privacy, tax, education-sector and payment requirements must be reviewed with qualified Ugandan advisers before launch.</w:t>
      </w:r>
    </w:p>
    <w:p>
      <w:r>
        <w:br w:type="page"/>
      </w:r>
    </w:p>
    <w:p>
      <w:pPr>
        <w:pStyle w:val="Heading1"/>
      </w:pPr>
      <w:r>
        <w:t>1. Product vision and boundaries</w:t>
      </w:r>
    </w:p>
    <w:p>
      <w:pPr>
        <w:pStyle w:val="Heading2"/>
      </w:pPr>
      <w:r>
        <w:t>1.1 Vision</w:t>
      </w:r>
    </w:p>
    <w:p>
      <w:r>
        <w:t>Somesa is one configurable operating system through which Ugandan education institutions manage identity, learning, communication, finance and day-to-day operations. A school subscribes once, receives a branded tenant, invites its community and enables only the modules it needs.</w:t>
      </w:r>
    </w:p>
    <w:p>
      <w:pPr>
        <w:pStyle w:val="Heading2"/>
      </w:pPr>
      <w:r>
        <w:t>1.2 Problems solved</w:t>
      </w:r>
    </w:p>
    <w:p>
      <w:r>
        <w:t>Somesa replaces scattered paper registers, personal WhatsApp chains, isolated spreadsheets, unverified receipts and disconnected learning files with governed workflows and one reliable source of truth.</w:t>
      </w:r>
    </w:p>
    <w:p>
      <w:pPr>
        <w:pStyle w:val="Heading2"/>
      </w:pPr>
      <w:r>
        <w:t>1.3 Product boundaries</w:t>
      </w:r>
    </w:p>
    <w:p>
      <w:r>
        <w:t>Somesa supports school administration and learning delivery. It does not replace professional judgement, school leadership, official examinations, banks, telecom providers, government systems or qualified safeguarding and legal processes. Integrations exchange approved data but do not transfer accountability.</w:t>
      </w:r>
    </w:p>
    <w:p>
      <w:pPr>
        <w:pStyle w:val="Heading2"/>
      </w:pPr>
      <w:r>
        <w:t>1.4 Success measures</w:t>
      </w:r>
    </w:p>
    <w:p>
      <w:r>
        <w:t>A successful deployment reduces manual duplication, makes balances and attendance visible to authorised people, shortens report-card production, improves guardian communication, preserves traceable records and remains usable on ordinary smartphones and modest internet connections.</w:t>
      </w:r>
    </w:p>
    <w:p>
      <w:pPr>
        <w:pStyle w:val="Heading1"/>
      </w:pPr>
      <w:r>
        <w:t>2. Institution types and tenant configuration</w:t>
      </w:r>
    </w:p>
    <w:p>
      <w:pPr>
        <w:pStyle w:val="Heading2"/>
      </w:pPr>
      <w:r>
        <w:t>2.1 Supported institutions</w:t>
      </w:r>
    </w:p>
    <w:p>
      <w:r>
        <w:t>A tenant selects nursery, primary, secondary, mixed school, vocational institute, college or university. This choice controls terminology, structures and default modules but can be changed by authorised support.</w:t>
      </w:r>
    </w:p>
    <w:p>
      <w:pPr>
        <w:pStyle w:val="Heading2"/>
      </w:pPr>
      <w:r>
        <w:t>2.2 School structure</w:t>
      </w:r>
    </w:p>
    <w:p>
      <w:r>
        <w:t>Each tenant configures campuses, academic years, terms or semesters, classes or programmes, streams or cohorts, subjects or course units, rooms, departments, houses and reporting periods.</w:t>
      </w:r>
    </w:p>
    <w:p>
      <w:pPr>
        <w:pStyle w:val="Heading2"/>
      </w:pPr>
      <w:r>
        <w:t>2.3 Branding</w:t>
      </w:r>
    </w:p>
    <w:p>
      <w:r>
        <w:t>Logo, crest, colours, institution name, contact details, report-card header, receipt footer, portal domain and outgoing-message sender identity are configured per tenant.</w:t>
      </w:r>
    </w:p>
    <w:p>
      <w:pPr>
        <w:pStyle w:val="Heading2"/>
      </w:pPr>
      <w:r>
        <w:t>2.4 Feature flags</w:t>
      </w:r>
    </w:p>
    <w:p>
      <w:r>
        <w:t>The platform owner can enable modules by subscription plan. The school administrator can hide enabled modules from roles that do not use them. Hiding a module does not delete its records.</w:t>
      </w:r>
    </w:p>
    <w:p>
      <w:pPr>
        <w:pStyle w:val="Heading1"/>
      </w:pPr>
      <w:r>
        <w:t>3. Complete user and role model</w:t>
      </w:r>
    </w:p>
    <w:p>
      <w:pPr>
        <w:pStyle w:val="Heading2"/>
      </w:pPr>
      <w:r>
        <w:t>3.1 Platform owner</w:t>
      </w:r>
    </w:p>
    <w:p>
      <w:r>
        <w:t>Avatar Solutions’ authorised platform team manages tenants, subscription plans, service status, system-wide configuration, support escalation and security. Platform staff must not casually browse school content; exceptional access requires authorisation and auditing.</w:t>
      </w:r>
    </w:p>
    <w:p>
      <w:pPr>
        <w:pStyle w:val="Heading2"/>
      </w:pPr>
      <w:r>
        <w:t>3.2 School leadership</w:t>
      </w:r>
    </w:p>
    <w:p>
      <w:r>
        <w:t>Board-designated owners, head teacher or principal and deputies govern the tenant. They approve policy, high-risk permissions, report publication, finance controls and authorised administrators.</w:t>
      </w:r>
    </w:p>
    <w:p>
      <w:pPr>
        <w:pStyle w:val="Heading2"/>
      </w:pPr>
      <w:r>
        <w:t>3.3 Operational staff</w:t>
      </w:r>
    </w:p>
    <w:p>
      <w:r>
        <w:t>Registrar, bursar, accountant, academic registrar, director of studies, examinations officer, librarian, transport officer, counsellor, nurse and receptionist receive limited module access based on assigned duties.</w:t>
      </w:r>
    </w:p>
    <w:p>
      <w:pPr>
        <w:pStyle w:val="Heading2"/>
      </w:pPr>
      <w:r>
        <w:t>3.4 Teaching community</w:t>
      </w:r>
    </w:p>
    <w:p>
      <w:r>
        <w:t>Teachers see assigned classes, subjects, learners and approved communication tools. Class teachers may receive additional pastoral, attendance and report-comment privileges.</w:t>
      </w:r>
    </w:p>
    <w:p>
      <w:pPr>
        <w:pStyle w:val="Heading2"/>
      </w:pPr>
      <w:r>
        <w:t>3.5 Learners and guardians</w:t>
      </w:r>
    </w:p>
    <w:p>
      <w:r>
        <w:t>Students access only their own learning, schedule, results, attendance summary, notices and permitted services. Guardians access only children explicitly linked and verified by the school.</w:t>
      </w:r>
    </w:p>
    <w:p>
      <w:pPr>
        <w:pStyle w:val="Heading2"/>
      </w:pPr>
      <w:r>
        <w:t>3.6 Custom roles</w:t>
      </w:r>
    </w:p>
    <w:p>
      <w:r>
        <w:t>A school may create custom roles from granular permissions. Every custom role requires a name, purpose, owner, approval and periodic review.</w:t>
      </w:r>
    </w:p>
    <w:p>
      <w:pPr>
        <w:pStyle w:val="Heading1"/>
      </w:pPr>
      <w:r>
        <w:t>4. Identity, accounts and login lifecycle</w:t>
      </w:r>
    </w:p>
    <w:p>
      <w:pPr>
        <w:pStyle w:val="Heading2"/>
      </w:pPr>
      <w:r>
        <w:t>4.1 Account principle</w:t>
      </w:r>
    </w:p>
    <w:p>
      <w:r>
        <w:t>Accounts are created from verified school records, never by silently accepting a person’s claim to a role. Each account has one identity and may hold several roles or school relationships.</w:t>
      </w:r>
    </w:p>
    <w:p>
      <w:pPr>
        <w:pStyle w:val="Heading2"/>
      </w:pPr>
      <w:r>
        <w:t>4.2 Username and login</w:t>
      </w:r>
    </w:p>
    <w:p>
      <w:r>
        <w:t>Users sign in using a verified email address, verified phone number or school-issued username. Institutions may require a second authentication factor for leadership, finance and system administration.</w:t>
      </w:r>
    </w:p>
    <w:p>
      <w:pPr>
        <w:pStyle w:val="Heading2"/>
      </w:pPr>
      <w:r>
        <w:t>4.3 First login</w:t>
      </w:r>
    </w:p>
    <w:p>
      <w:r>
        <w:t>The user opens the school portal, enters the invitation code or follows a time-limited invitation, verifies the registered contact, creates a strong password, accepts policies, confirms profile details and enters the correct portal.</w:t>
      </w:r>
    </w:p>
    <w:p>
      <w:pPr>
        <w:pStyle w:val="Heading2"/>
      </w:pPr>
      <w:r>
        <w:t>4.4 Password recovery</w:t>
      </w:r>
    </w:p>
    <w:p>
      <w:r>
        <w:t>The user selects Forgot password, enters the registered identifier, completes verification and sets a new password. Recovery cannot disclose whether an unrelated account exists. Repeated failures trigger rate limiting and security review.</w:t>
      </w:r>
    </w:p>
    <w:p>
      <w:pPr>
        <w:pStyle w:val="Heading2"/>
      </w:pPr>
      <w:r>
        <w:t>4.5 Suspension and departure</w:t>
      </w:r>
    </w:p>
    <w:p>
      <w:r>
        <w:t>Leaving staff accounts are disabled immediately by an authorised administrator. Student accounts are moved to alumni or inactive state after completion. Records remain under retention policy; disabling an account never erases audit history.</w:t>
      </w:r>
    </w:p>
    <w:p>
      <w:pPr>
        <w:pStyle w:val="Heading1"/>
      </w:pPr>
      <w:r>
        <w:t>5. Access-control model</w:t>
      </w:r>
    </w:p>
    <w:p>
      <w:r>
        <w:t>Access uses role-based permissions combined with scope. A permission answers what action may be taken; scope answers which records it applies to. For example, a teacher may have “enter marks” permission scoped only to Mathematics, S4 East, Term 2.</w:t>
      </w:r>
    </w:p>
    <w:tbl>
      <w:tblPr>
        <w:tblStyle w:val="TableGrid"/>
        <w:tblW w:type="dxa" w:w="9360"/>
        <w:jc w:val="left"/>
        <w:tblLayout w:type="fixed"/>
        <w:tblLook w:firstColumn="1" w:firstRow="1" w:lastColumn="0" w:lastRow="0" w:noHBand="0" w:noVBand="1" w:val="04A0"/>
        <w:tblInd w:w="120" w:type="dxa"/>
      </w:tblPr>
      <w:tblGrid>
        <w:gridCol w:w="1550"/>
        <w:gridCol w:w="1800"/>
        <w:gridCol w:w="3000"/>
        <w:gridCol w:w="3010"/>
      </w:tblGrid>
      <w:tr>
        <w:tc>
          <w:tcPr>
            <w:tcW w:type="dxa" w:w="1550"/>
            <w:shd w:fill="173C31"/>
            <w:tcMar>
              <w:top w:w="80" w:type="dxa"/>
              <w:start w:w="120" w:type="dxa"/>
              <w:bottom w:w="80" w:type="dxa"/>
              <w:end w:w="120" w:type="dxa"/>
            </w:tcMar>
          </w:tcPr>
          <w:p>
            <w:r>
              <w:rPr>
                <w:b/>
                <w:color w:val="FFFFFF"/>
                <w:sz w:val="17"/>
              </w:rPr>
              <w:t>Role</w:t>
            </w:r>
          </w:p>
        </w:tc>
        <w:tc>
          <w:tcPr>
            <w:tcW w:type="dxa" w:w="1800"/>
            <w:shd w:fill="173C31"/>
            <w:tcMar>
              <w:top w:w="80" w:type="dxa"/>
              <w:start w:w="120" w:type="dxa"/>
              <w:bottom w:w="80" w:type="dxa"/>
              <w:end w:w="120" w:type="dxa"/>
            </w:tcMar>
          </w:tcPr>
          <w:p>
            <w:r>
              <w:rPr>
                <w:b/>
                <w:color w:val="FFFFFF"/>
                <w:sz w:val="17"/>
              </w:rPr>
              <w:t>Default scope</w:t>
            </w:r>
          </w:p>
        </w:tc>
        <w:tc>
          <w:tcPr>
            <w:tcW w:type="dxa" w:w="3000"/>
            <w:shd w:fill="173C31"/>
            <w:tcMar>
              <w:top w:w="80" w:type="dxa"/>
              <w:start w:w="120" w:type="dxa"/>
              <w:bottom w:w="80" w:type="dxa"/>
              <w:end w:w="120" w:type="dxa"/>
            </w:tcMar>
          </w:tcPr>
          <w:p>
            <w:r>
              <w:rPr>
                <w:b/>
                <w:color w:val="FFFFFF"/>
                <w:sz w:val="17"/>
              </w:rPr>
              <w:t>Can create/change</w:t>
            </w:r>
          </w:p>
        </w:tc>
        <w:tc>
          <w:tcPr>
            <w:tcW w:type="dxa" w:w="3010"/>
            <w:shd w:fill="173C31"/>
            <w:tcMar>
              <w:top w:w="80" w:type="dxa"/>
              <w:start w:w="120" w:type="dxa"/>
              <w:bottom w:w="80" w:type="dxa"/>
              <w:end w:w="120" w:type="dxa"/>
            </w:tcMar>
          </w:tcPr>
          <w:p>
            <w:r>
              <w:rPr>
                <w:b/>
                <w:color w:val="FFFFFF"/>
                <w:sz w:val="17"/>
              </w:rPr>
              <w:t>Cannot do by default</w:t>
            </w:r>
          </w:p>
        </w:tc>
      </w:tr>
      <w:tr>
        <w:tc>
          <w:tcPr>
            <w:tcW w:type="dxa" w:w="1550"/>
            <w:vAlign w:val="center"/>
            <w:tcMar>
              <w:top w:w="80" w:type="dxa"/>
              <w:start w:w="120" w:type="dxa"/>
              <w:bottom w:w="80" w:type="dxa"/>
              <w:end w:w="120" w:type="dxa"/>
            </w:tcMar>
          </w:tcPr>
          <w:p>
            <w:pPr>
              <w:spacing w:after="0"/>
            </w:pPr>
            <w:r>
              <w:rPr>
                <w:rFonts w:ascii="Calibri" w:hAnsi="Calibri"/>
                <w:sz w:val="16"/>
              </w:rPr>
              <w:t>Platform owner</w:t>
            </w:r>
          </w:p>
        </w:tc>
        <w:tc>
          <w:tcPr>
            <w:tcW w:type="dxa" w:w="1800"/>
            <w:vAlign w:val="center"/>
            <w:tcMar>
              <w:top w:w="80" w:type="dxa"/>
              <w:start w:w="120" w:type="dxa"/>
              <w:bottom w:w="80" w:type="dxa"/>
              <w:end w:w="120" w:type="dxa"/>
            </w:tcMar>
          </w:tcPr>
          <w:p>
            <w:pPr>
              <w:spacing w:after="0"/>
            </w:pPr>
            <w:r>
              <w:rPr>
                <w:rFonts w:ascii="Calibri" w:hAnsi="Calibri"/>
                <w:sz w:val="16"/>
              </w:rPr>
              <w:t>Platform metadata and authorised support context</w:t>
            </w:r>
          </w:p>
        </w:tc>
        <w:tc>
          <w:tcPr>
            <w:tcW w:type="dxa" w:w="3000"/>
            <w:vAlign w:val="center"/>
            <w:tcMar>
              <w:top w:w="80" w:type="dxa"/>
              <w:start w:w="120" w:type="dxa"/>
              <w:bottom w:w="80" w:type="dxa"/>
              <w:end w:w="120" w:type="dxa"/>
            </w:tcMar>
          </w:tcPr>
          <w:p>
            <w:pPr>
              <w:spacing w:after="0"/>
            </w:pPr>
            <w:r>
              <w:rPr>
                <w:rFonts w:ascii="Calibri" w:hAnsi="Calibri"/>
                <w:sz w:val="16"/>
              </w:rPr>
              <w:t>Tenants, plans, service configuration</w:t>
            </w:r>
          </w:p>
        </w:tc>
        <w:tc>
          <w:tcPr>
            <w:tcW w:type="dxa" w:w="3010"/>
            <w:vAlign w:val="center"/>
            <w:tcMar>
              <w:top w:w="80" w:type="dxa"/>
              <w:start w:w="120" w:type="dxa"/>
              <w:bottom w:w="80" w:type="dxa"/>
              <w:end w:w="120" w:type="dxa"/>
            </w:tcMar>
          </w:tcPr>
          <w:p>
            <w:pPr>
              <w:spacing w:after="0"/>
            </w:pPr>
            <w:r>
              <w:rPr>
                <w:rFonts w:ascii="Calibri" w:hAnsi="Calibri"/>
                <w:sz w:val="16"/>
              </w:rPr>
              <w:t>Alter school academic or financial records without approved support access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School owner / principal</w:t>
            </w:r>
          </w:p>
        </w:tc>
        <w:tc>
          <w:tcPr>
            <w:tcW w:type="dxa" w:w="1800"/>
            <w:vAlign w:val="center"/>
            <w:shd w:fill="F5F7F4"/>
            <w:tcMar>
              <w:top w:w="80" w:type="dxa"/>
              <w:start w:w="120" w:type="dxa"/>
              <w:bottom w:w="80" w:type="dxa"/>
              <w:end w:w="120" w:type="dxa"/>
            </w:tcMar>
          </w:tcPr>
          <w:p>
            <w:pPr>
              <w:spacing w:after="0"/>
            </w:pPr>
            <w:r>
              <w:rPr>
                <w:rFonts w:ascii="Calibri" w:hAnsi="Calibri"/>
                <w:sz w:val="16"/>
              </w:rPr>
              <w:t>Entire institution</w:t>
            </w:r>
          </w:p>
        </w:tc>
        <w:tc>
          <w:tcPr>
            <w:tcW w:type="dxa" w:w="3000"/>
            <w:vAlign w:val="center"/>
            <w:shd w:fill="F5F7F4"/>
            <w:tcMar>
              <w:top w:w="80" w:type="dxa"/>
              <w:start w:w="120" w:type="dxa"/>
              <w:bottom w:w="80" w:type="dxa"/>
              <w:end w:w="120" w:type="dxa"/>
            </w:tcMar>
          </w:tcPr>
          <w:p>
            <w:pPr>
              <w:spacing w:after="0"/>
            </w:pPr>
            <w:r>
              <w:rPr>
                <w:rFonts w:ascii="Calibri" w:hAnsi="Calibri"/>
                <w:sz w:val="16"/>
              </w:rPr>
              <w:t>Approve roles, policies, publication and high-risk operations</w:t>
            </w:r>
          </w:p>
        </w:tc>
        <w:tc>
          <w:tcPr>
            <w:tcW w:type="dxa" w:w="3010"/>
            <w:vAlign w:val="center"/>
            <w:shd w:fill="F5F7F4"/>
            <w:tcMar>
              <w:top w:w="80" w:type="dxa"/>
              <w:start w:w="120" w:type="dxa"/>
              <w:bottom w:w="80" w:type="dxa"/>
              <w:end w:w="120" w:type="dxa"/>
            </w:tcMar>
          </w:tcPr>
          <w:p>
            <w:pPr>
              <w:spacing w:after="0"/>
            </w:pPr>
            <w:r>
              <w:rPr>
                <w:rFonts w:ascii="Calibri" w:hAnsi="Calibri"/>
                <w:sz w:val="16"/>
              </w:rPr>
              <w:t>Modify platform infrastructure</w:t>
            </w:r>
          </w:p>
        </w:tc>
      </w:tr>
      <w:tr>
        <w:tc>
          <w:tcPr>
            <w:tcW w:type="dxa" w:w="1550"/>
            <w:vAlign w:val="center"/>
            <w:tcMar>
              <w:top w:w="80" w:type="dxa"/>
              <w:start w:w="120" w:type="dxa"/>
              <w:bottom w:w="80" w:type="dxa"/>
              <w:end w:w="120" w:type="dxa"/>
            </w:tcMar>
          </w:tcPr>
          <w:p>
            <w:pPr>
              <w:spacing w:after="0"/>
            </w:pPr>
            <w:r>
              <w:rPr>
                <w:rFonts w:ascii="Calibri" w:hAnsi="Calibri"/>
                <w:sz w:val="16"/>
              </w:rPr>
              <w:t>School administrator</w:t>
            </w:r>
          </w:p>
        </w:tc>
        <w:tc>
          <w:tcPr>
            <w:tcW w:type="dxa" w:w="1800"/>
            <w:vAlign w:val="center"/>
            <w:tcMar>
              <w:top w:w="80" w:type="dxa"/>
              <w:start w:w="120" w:type="dxa"/>
              <w:bottom w:w="80" w:type="dxa"/>
              <w:end w:w="120" w:type="dxa"/>
            </w:tcMar>
          </w:tcPr>
          <w:p>
            <w:pPr>
              <w:spacing w:after="0"/>
            </w:pPr>
            <w:r>
              <w:rPr>
                <w:rFonts w:ascii="Calibri" w:hAnsi="Calibri"/>
                <w:sz w:val="16"/>
              </w:rPr>
              <w:t>Configured tenant</w:t>
            </w:r>
          </w:p>
        </w:tc>
        <w:tc>
          <w:tcPr>
            <w:tcW w:type="dxa" w:w="3000"/>
            <w:vAlign w:val="center"/>
            <w:tcMar>
              <w:top w:w="80" w:type="dxa"/>
              <w:start w:w="120" w:type="dxa"/>
              <w:bottom w:w="80" w:type="dxa"/>
              <w:end w:w="120" w:type="dxa"/>
            </w:tcMar>
          </w:tcPr>
          <w:p>
            <w:pPr>
              <w:spacing w:after="0"/>
            </w:pPr>
            <w:r>
              <w:rPr>
                <w:rFonts w:ascii="Calibri" w:hAnsi="Calibri"/>
                <w:sz w:val="16"/>
              </w:rPr>
              <w:t>Users, structure, settings and delegated workflows</w:t>
            </w:r>
          </w:p>
        </w:tc>
        <w:tc>
          <w:tcPr>
            <w:tcW w:type="dxa" w:w="3010"/>
            <w:vAlign w:val="center"/>
            <w:tcMar>
              <w:top w:w="80" w:type="dxa"/>
              <w:start w:w="120" w:type="dxa"/>
              <w:bottom w:w="80" w:type="dxa"/>
              <w:end w:w="120" w:type="dxa"/>
            </w:tcMar>
          </w:tcPr>
          <w:p>
            <w:pPr>
              <w:spacing w:after="0"/>
            </w:pPr>
            <w:r>
              <w:rPr>
                <w:rFonts w:ascii="Calibri" w:hAnsi="Calibri"/>
                <w:sz w:val="16"/>
              </w:rPr>
              <w:t>Read restricted wellbeing records unless separately authorised</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Bursar / accountant</w:t>
            </w:r>
          </w:p>
        </w:tc>
        <w:tc>
          <w:tcPr>
            <w:tcW w:type="dxa" w:w="1800"/>
            <w:vAlign w:val="center"/>
            <w:shd w:fill="F5F7F4"/>
            <w:tcMar>
              <w:top w:w="80" w:type="dxa"/>
              <w:start w:w="120" w:type="dxa"/>
              <w:bottom w:w="80" w:type="dxa"/>
              <w:end w:w="120" w:type="dxa"/>
            </w:tcMar>
          </w:tcPr>
          <w:p>
            <w:pPr>
              <w:spacing w:after="0"/>
            </w:pPr>
            <w:r>
              <w:rPr>
                <w:rFonts w:ascii="Calibri" w:hAnsi="Calibri"/>
                <w:sz w:val="16"/>
              </w:rPr>
              <w:t>Institution finance</w:t>
            </w:r>
          </w:p>
        </w:tc>
        <w:tc>
          <w:tcPr>
            <w:tcW w:type="dxa" w:w="3000"/>
            <w:vAlign w:val="center"/>
            <w:shd w:fill="F5F7F4"/>
            <w:tcMar>
              <w:top w:w="80" w:type="dxa"/>
              <w:start w:w="120" w:type="dxa"/>
              <w:bottom w:w="80" w:type="dxa"/>
              <w:end w:w="120" w:type="dxa"/>
            </w:tcMar>
          </w:tcPr>
          <w:p>
            <w:pPr>
              <w:spacing w:after="0"/>
            </w:pPr>
            <w:r>
              <w:rPr>
                <w:rFonts w:ascii="Calibri" w:hAnsi="Calibri"/>
                <w:sz w:val="16"/>
              </w:rPr>
              <w:t>Invoices, receipts, adjustments subject to approval</w:t>
            </w:r>
          </w:p>
        </w:tc>
        <w:tc>
          <w:tcPr>
            <w:tcW w:type="dxa" w:w="3010"/>
            <w:vAlign w:val="center"/>
            <w:shd w:fill="F5F7F4"/>
            <w:tcMar>
              <w:top w:w="80" w:type="dxa"/>
              <w:start w:w="120" w:type="dxa"/>
              <w:bottom w:w="80" w:type="dxa"/>
              <w:end w:w="120" w:type="dxa"/>
            </w:tcMar>
          </w:tcPr>
          <w:p>
            <w:pPr>
              <w:spacing w:after="0"/>
            </w:pPr>
            <w:r>
              <w:rPr>
                <w:rFonts w:ascii="Calibri" w:hAnsi="Calibri"/>
                <w:sz w:val="16"/>
              </w:rPr>
              <w:t>Change marks or attendance</w:t>
            </w:r>
          </w:p>
        </w:tc>
      </w:tr>
      <w:tr>
        <w:tc>
          <w:tcPr>
            <w:tcW w:type="dxa" w:w="1550"/>
            <w:vAlign w:val="center"/>
            <w:tcMar>
              <w:top w:w="80" w:type="dxa"/>
              <w:start w:w="120" w:type="dxa"/>
              <w:bottom w:w="80" w:type="dxa"/>
              <w:end w:w="120" w:type="dxa"/>
            </w:tcMar>
          </w:tcPr>
          <w:p>
            <w:pPr>
              <w:spacing w:after="0"/>
            </w:pPr>
            <w:r>
              <w:rPr>
                <w:rFonts w:ascii="Calibri" w:hAnsi="Calibri"/>
                <w:sz w:val="16"/>
              </w:rPr>
              <w:t>Academic leadership</w:t>
            </w:r>
          </w:p>
        </w:tc>
        <w:tc>
          <w:tcPr>
            <w:tcW w:type="dxa" w:w="1800"/>
            <w:vAlign w:val="center"/>
            <w:tcMar>
              <w:top w:w="80" w:type="dxa"/>
              <w:start w:w="120" w:type="dxa"/>
              <w:bottom w:w="80" w:type="dxa"/>
              <w:end w:w="120" w:type="dxa"/>
            </w:tcMar>
          </w:tcPr>
          <w:p>
            <w:pPr>
              <w:spacing w:after="0"/>
            </w:pPr>
            <w:r>
              <w:rPr>
                <w:rFonts w:ascii="Calibri" w:hAnsi="Calibri"/>
                <w:sz w:val="16"/>
              </w:rPr>
              <w:t>Academic structure</w:t>
            </w:r>
          </w:p>
        </w:tc>
        <w:tc>
          <w:tcPr>
            <w:tcW w:type="dxa" w:w="3000"/>
            <w:vAlign w:val="center"/>
            <w:tcMar>
              <w:top w:w="80" w:type="dxa"/>
              <w:start w:w="120" w:type="dxa"/>
              <w:bottom w:w="80" w:type="dxa"/>
              <w:end w:w="120" w:type="dxa"/>
            </w:tcMar>
          </w:tcPr>
          <w:p>
            <w:pPr>
              <w:spacing w:after="0"/>
            </w:pPr>
            <w:r>
              <w:rPr>
                <w:rFonts w:ascii="Calibri" w:hAnsi="Calibri"/>
                <w:sz w:val="16"/>
              </w:rPr>
              <w:t>Timetables, assessments, publication workflows</w:t>
            </w:r>
          </w:p>
        </w:tc>
        <w:tc>
          <w:tcPr>
            <w:tcW w:type="dxa" w:w="3010"/>
            <w:vAlign w:val="center"/>
            <w:tcMar>
              <w:top w:w="80" w:type="dxa"/>
              <w:start w:w="120" w:type="dxa"/>
              <w:bottom w:w="80" w:type="dxa"/>
              <w:end w:w="120" w:type="dxa"/>
            </w:tcMar>
          </w:tcPr>
          <w:p>
            <w:pPr>
              <w:spacing w:after="0"/>
            </w:pPr>
            <w:r>
              <w:rPr>
                <w:rFonts w:ascii="Calibri" w:hAnsi="Calibri"/>
                <w:sz w:val="16"/>
              </w:rPr>
              <w:t>Post or reverse financial transactions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Teacher</w:t>
            </w:r>
          </w:p>
        </w:tc>
        <w:tc>
          <w:tcPr>
            <w:tcW w:type="dxa" w:w="1800"/>
            <w:vAlign w:val="center"/>
            <w:shd w:fill="F5F7F4"/>
            <w:tcMar>
              <w:top w:w="80" w:type="dxa"/>
              <w:start w:w="120" w:type="dxa"/>
              <w:bottom w:w="80" w:type="dxa"/>
              <w:end w:w="120" w:type="dxa"/>
            </w:tcMar>
          </w:tcPr>
          <w:p>
            <w:pPr>
              <w:spacing w:after="0"/>
            </w:pPr>
            <w:r>
              <w:rPr>
                <w:rFonts w:ascii="Calibri" w:hAnsi="Calibri"/>
                <w:sz w:val="16"/>
              </w:rPr>
              <w:t>Assigned classes and subjects</w:t>
            </w:r>
          </w:p>
        </w:tc>
        <w:tc>
          <w:tcPr>
            <w:tcW w:type="dxa" w:w="3000"/>
            <w:vAlign w:val="center"/>
            <w:shd w:fill="F5F7F4"/>
            <w:tcMar>
              <w:top w:w="80" w:type="dxa"/>
              <w:start w:w="120" w:type="dxa"/>
              <w:bottom w:w="80" w:type="dxa"/>
              <w:end w:w="120" w:type="dxa"/>
            </w:tcMar>
          </w:tcPr>
          <w:p>
            <w:pPr>
              <w:spacing w:after="0"/>
            </w:pPr>
            <w:r>
              <w:rPr>
                <w:rFonts w:ascii="Calibri" w:hAnsi="Calibri"/>
                <w:sz w:val="16"/>
              </w:rPr>
              <w:t>Attendance, resources, assignments, marks and messages within scope</w:t>
            </w:r>
          </w:p>
        </w:tc>
        <w:tc>
          <w:tcPr>
            <w:tcW w:type="dxa" w:w="3010"/>
            <w:vAlign w:val="center"/>
            <w:shd w:fill="F5F7F4"/>
            <w:tcMar>
              <w:top w:w="80" w:type="dxa"/>
              <w:start w:w="120" w:type="dxa"/>
              <w:bottom w:w="80" w:type="dxa"/>
              <w:end w:w="120" w:type="dxa"/>
            </w:tcMar>
          </w:tcPr>
          <w:p>
            <w:pPr>
              <w:spacing w:after="0"/>
            </w:pPr>
            <w:r>
              <w:rPr>
                <w:rFonts w:ascii="Calibri" w:hAnsi="Calibri"/>
                <w:sz w:val="16"/>
              </w:rPr>
              <w:t>View unrelated classes, full finance or administrator settings</w:t>
            </w:r>
          </w:p>
        </w:tc>
      </w:tr>
      <w:tr>
        <w:tc>
          <w:tcPr>
            <w:tcW w:type="dxa" w:w="1550"/>
            <w:vAlign w:val="center"/>
            <w:tcMar>
              <w:top w:w="80" w:type="dxa"/>
              <w:start w:w="120" w:type="dxa"/>
              <w:bottom w:w="80" w:type="dxa"/>
              <w:end w:w="120" w:type="dxa"/>
            </w:tcMar>
          </w:tcPr>
          <w:p>
            <w:pPr>
              <w:spacing w:after="0"/>
            </w:pPr>
            <w:r>
              <w:rPr>
                <w:rFonts w:ascii="Calibri" w:hAnsi="Calibri"/>
                <w:sz w:val="16"/>
              </w:rPr>
              <w:t>Student</w:t>
            </w:r>
          </w:p>
        </w:tc>
        <w:tc>
          <w:tcPr>
            <w:tcW w:type="dxa" w:w="1800"/>
            <w:vAlign w:val="center"/>
            <w:tcMar>
              <w:top w:w="80" w:type="dxa"/>
              <w:start w:w="120" w:type="dxa"/>
              <w:bottom w:w="80" w:type="dxa"/>
              <w:end w:w="120" w:type="dxa"/>
            </w:tcMar>
          </w:tcPr>
          <w:p>
            <w:pPr>
              <w:spacing w:after="0"/>
            </w:pPr>
            <w:r>
              <w:rPr>
                <w:rFonts w:ascii="Calibri" w:hAnsi="Calibri"/>
                <w:sz w:val="16"/>
              </w:rPr>
              <w:t>Own records</w:t>
            </w:r>
          </w:p>
        </w:tc>
        <w:tc>
          <w:tcPr>
            <w:tcW w:type="dxa" w:w="3000"/>
            <w:vAlign w:val="center"/>
            <w:tcMar>
              <w:top w:w="80" w:type="dxa"/>
              <w:start w:w="120" w:type="dxa"/>
              <w:bottom w:w="80" w:type="dxa"/>
              <w:end w:w="120" w:type="dxa"/>
            </w:tcMar>
          </w:tcPr>
          <w:p>
            <w:pPr>
              <w:spacing w:after="0"/>
            </w:pPr>
            <w:r>
              <w:rPr>
                <w:rFonts w:ascii="Calibri" w:hAnsi="Calibri"/>
                <w:sz w:val="16"/>
              </w:rPr>
              <w:t>Submissions, permitted messages and profile fields</w:t>
            </w:r>
          </w:p>
        </w:tc>
        <w:tc>
          <w:tcPr>
            <w:tcW w:type="dxa" w:w="3010"/>
            <w:vAlign w:val="center"/>
            <w:tcMar>
              <w:top w:w="80" w:type="dxa"/>
              <w:start w:w="120" w:type="dxa"/>
              <w:bottom w:w="80" w:type="dxa"/>
              <w:end w:w="120" w:type="dxa"/>
            </w:tcMar>
          </w:tcPr>
          <w:p>
            <w:pPr>
              <w:spacing w:after="0"/>
            </w:pPr>
            <w:r>
              <w:rPr>
                <w:rFonts w:ascii="Calibri" w:hAnsi="Calibri"/>
                <w:sz w:val="16"/>
              </w:rPr>
              <w:t>View another learner’s private data</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Guardian</w:t>
            </w:r>
          </w:p>
        </w:tc>
        <w:tc>
          <w:tcPr>
            <w:tcW w:type="dxa" w:w="1800"/>
            <w:vAlign w:val="center"/>
            <w:shd w:fill="F5F7F4"/>
            <w:tcMar>
              <w:top w:w="80" w:type="dxa"/>
              <w:start w:w="120" w:type="dxa"/>
              <w:bottom w:w="80" w:type="dxa"/>
              <w:end w:w="120" w:type="dxa"/>
            </w:tcMar>
          </w:tcPr>
          <w:p>
            <w:pPr>
              <w:spacing w:after="0"/>
            </w:pPr>
            <w:r>
              <w:rPr>
                <w:rFonts w:ascii="Calibri" w:hAnsi="Calibri"/>
                <w:sz w:val="16"/>
              </w:rPr>
              <w:t>Linked children</w:t>
            </w:r>
          </w:p>
        </w:tc>
        <w:tc>
          <w:tcPr>
            <w:tcW w:type="dxa" w:w="3000"/>
            <w:vAlign w:val="center"/>
            <w:shd w:fill="F5F7F4"/>
            <w:tcMar>
              <w:top w:w="80" w:type="dxa"/>
              <w:start w:w="120" w:type="dxa"/>
              <w:bottom w:w="80" w:type="dxa"/>
              <w:end w:w="120" w:type="dxa"/>
            </w:tcMar>
          </w:tcPr>
          <w:p>
            <w:pPr>
              <w:spacing w:after="0"/>
            </w:pPr>
            <w:r>
              <w:rPr>
                <w:rFonts w:ascii="Calibri" w:hAnsi="Calibri"/>
                <w:sz w:val="16"/>
              </w:rPr>
              <w:t>Responses, requests and permitted payments</w:t>
            </w:r>
          </w:p>
        </w:tc>
        <w:tc>
          <w:tcPr>
            <w:tcW w:type="dxa" w:w="3010"/>
            <w:vAlign w:val="center"/>
            <w:shd w:fill="F5F7F4"/>
            <w:tcMar>
              <w:top w:w="80" w:type="dxa"/>
              <w:start w:w="120" w:type="dxa"/>
              <w:bottom w:w="80" w:type="dxa"/>
              <w:end w:w="120" w:type="dxa"/>
            </w:tcMar>
          </w:tcPr>
          <w:p>
            <w:pPr>
              <w:spacing w:after="0"/>
            </w:pPr>
            <w:r>
              <w:rPr>
                <w:rFonts w:ascii="Calibri" w:hAnsi="Calibri"/>
                <w:sz w:val="16"/>
              </w:rPr>
              <w:t>View unrelated learners or edit official academic records</w:t>
            </w:r>
          </w:p>
        </w:tc>
      </w:tr>
    </w:tbl>
    <w:p/>
    <w:p>
      <w:pPr>
        <w:pStyle w:val="Heading2"/>
      </w:pPr>
      <w:r>
        <w:t>5.1 Permission rules</w:t>
      </w:r>
    </w:p>
    <w:p>
      <w:pPr>
        <w:pStyle w:val="ListBullet"/>
      </w:pPr>
      <w:r>
        <w:t>Deny by default: absence of explicit permission means no access.</w:t>
      </w:r>
    </w:p>
    <w:p>
      <w:pPr>
        <w:pStyle w:val="ListBullet"/>
      </w:pPr>
      <w:r>
        <w:t>Least privilege: give the smallest permission and scope needed for the duty.</w:t>
      </w:r>
    </w:p>
    <w:p>
      <w:pPr>
        <w:pStyle w:val="ListBullet"/>
      </w:pPr>
      <w:r>
        <w:t>Separation of duties: the same user should not create, approve and reverse sensitive financial adjustments.</w:t>
      </w:r>
    </w:p>
    <w:p>
      <w:pPr>
        <w:pStyle w:val="ListBullet"/>
      </w:pPr>
      <w:r>
        <w:t>Temporary access expires automatically.</w:t>
      </w:r>
    </w:p>
    <w:p>
      <w:pPr>
        <w:pStyle w:val="ListBullet"/>
      </w:pPr>
      <w:r>
        <w:t>Sensitive exports, impersonation, role changes and record deletion require audit events.</w:t>
      </w:r>
    </w:p>
    <w:p>
      <w:pPr>
        <w:pStyle w:val="ListBullet"/>
      </w:pPr>
      <w:r>
        <w:t>A user switching roles must see a clear role and institution indicator at all times.</w:t>
      </w:r>
    </w:p>
    <w:p>
      <w:pPr>
        <w:pStyle w:val="Heading1"/>
      </w:pPr>
      <w:r>
        <w:t>6. Portal entry and navigation by role</w:t>
      </w:r>
    </w:p>
    <w:p>
      <w:pPr>
        <w:pStyle w:val="Heading2"/>
      </w:pPr>
      <w:r>
        <w:t>6.1 Student access procedure</w:t>
      </w:r>
    </w:p>
    <w:p>
      <w:pPr>
        <w:pStyle w:val="ListNumber"/>
        <w:numPr>
          <w:ilvl w:val="0"/>
          <w:numId w:val="10"/>
        </w:numPr>
      </w:pPr>
      <w:r>
        <w:t>Receive an invitation from the school after admission is confirmed.</w:t>
      </w:r>
    </w:p>
    <w:p>
      <w:pPr>
        <w:pStyle w:val="ListNumber"/>
        <w:numPr>
          <w:ilvl w:val="0"/>
          <w:numId w:val="10"/>
        </w:numPr>
      </w:pPr>
      <w:r>
        <w:t>Verify the registered phone/email or use a school-issued activation code.</w:t>
      </w:r>
    </w:p>
    <w:p>
      <w:pPr>
        <w:pStyle w:val="ListNumber"/>
        <w:numPr>
          <w:ilvl w:val="0"/>
          <w:numId w:val="10"/>
        </w:numPr>
      </w:pPr>
      <w:r>
        <w:t>Create a password and confirm profile details.</w:t>
      </w:r>
    </w:p>
    <w:p>
      <w:pPr>
        <w:pStyle w:val="ListNumber"/>
        <w:numPr>
          <w:ilvl w:val="0"/>
          <w:numId w:val="10"/>
        </w:numPr>
      </w:pPr>
      <w:r>
        <w:t>Open My Learning for materials and assignments; Timetable for lessons; Results for published marks; Attendance for personal summaries; Messages for approved communication.</w:t>
      </w:r>
    </w:p>
    <w:p>
      <w:pPr>
        <w:pStyle w:val="ListNumber"/>
        <w:numPr>
          <w:ilvl w:val="0"/>
          <w:numId w:val="10"/>
        </w:numPr>
      </w:pPr>
      <w:r>
        <w:t>Report wrong information through the Help or Request correction action; do not directly edit official records.</w:t>
      </w:r>
    </w:p>
    <w:p>
      <w:pPr>
        <w:pStyle w:val="Heading2"/>
      </w:pPr>
      <w:r>
        <w:t>6.2 Guardian access procedure</w:t>
      </w:r>
    </w:p>
    <w:p>
      <w:pPr>
        <w:pStyle w:val="ListNumber"/>
        <w:numPr>
          <w:ilvl w:val="0"/>
          <w:numId w:val="11"/>
        </w:numPr>
      </w:pPr>
      <w:r>
        <w:t>School staff link the guardian to each child using verified admission details.</w:t>
      </w:r>
    </w:p>
    <w:p>
      <w:pPr>
        <w:pStyle w:val="ListNumber"/>
        <w:numPr>
          <w:ilvl w:val="0"/>
          <w:numId w:val="11"/>
        </w:numPr>
      </w:pPr>
      <w:r>
        <w:t>Guardian verifies their phone/email and accepts the relationship.</w:t>
      </w:r>
    </w:p>
    <w:p>
      <w:pPr>
        <w:pStyle w:val="ListNumber"/>
        <w:numPr>
          <w:ilvl w:val="0"/>
          <w:numId w:val="11"/>
        </w:numPr>
      </w:pPr>
      <w:r>
        <w:t>After login, choose a child from the child switcher.</w:t>
      </w:r>
    </w:p>
    <w:p>
      <w:pPr>
        <w:pStyle w:val="ListNumber"/>
        <w:numPr>
          <w:ilvl w:val="0"/>
          <w:numId w:val="11"/>
        </w:numPr>
      </w:pPr>
      <w:r>
        <w:t>Review notices, attendance, published results, fee statements and payment options.</w:t>
      </w:r>
    </w:p>
    <w:p>
      <w:pPr>
        <w:pStyle w:val="ListNumber"/>
        <w:numPr>
          <w:ilvl w:val="0"/>
          <w:numId w:val="11"/>
        </w:numPr>
      </w:pPr>
      <w:r>
        <w:t>Use structured requests or messages to contact authorised school staff; access does not extend to other children.</w:t>
      </w:r>
    </w:p>
    <w:p>
      <w:pPr>
        <w:pStyle w:val="Heading2"/>
      </w:pPr>
      <w:r>
        <w:t>6.3 Teacher access procedure</w:t>
      </w:r>
    </w:p>
    <w:p>
      <w:pPr>
        <w:pStyle w:val="ListNumber"/>
        <w:numPr>
          <w:ilvl w:val="0"/>
          <w:numId w:val="12"/>
        </w:numPr>
      </w:pPr>
      <w:r>
        <w:t>School administrator creates the staff profile and assigns employment status.</w:t>
      </w:r>
    </w:p>
    <w:p>
      <w:pPr>
        <w:pStyle w:val="ListNumber"/>
        <w:numPr>
          <w:ilvl w:val="0"/>
          <w:numId w:val="12"/>
        </w:numPr>
      </w:pPr>
      <w:r>
        <w:t>Academic administrator assigns subjects, classes and optionally class-teacher duties.</w:t>
      </w:r>
    </w:p>
    <w:p>
      <w:pPr>
        <w:pStyle w:val="ListNumber"/>
        <w:numPr>
          <w:ilvl w:val="0"/>
          <w:numId w:val="12"/>
        </w:numPr>
      </w:pPr>
      <w:r>
        <w:t>Teacher activates the account and completes security setup.</w:t>
      </w:r>
    </w:p>
    <w:p>
      <w:pPr>
        <w:pStyle w:val="ListNumber"/>
        <w:numPr>
          <w:ilvl w:val="0"/>
          <w:numId w:val="12"/>
        </w:numPr>
      </w:pPr>
      <w:r>
        <w:t>Dashboard displays only assigned lessons, registers, marking, messages and resources.</w:t>
      </w:r>
    </w:p>
    <w:p>
      <w:pPr>
        <w:pStyle w:val="ListNumber"/>
        <w:numPr>
          <w:ilvl w:val="0"/>
          <w:numId w:val="12"/>
        </w:numPr>
      </w:pPr>
      <w:r>
        <w:t>Teacher actions are time-stamped and remain attributable even if assignments later change.</w:t>
      </w:r>
    </w:p>
    <w:p>
      <w:pPr>
        <w:pStyle w:val="Heading2"/>
      </w:pPr>
      <w:r>
        <w:t>6.4 Administrator access procedure</w:t>
      </w:r>
    </w:p>
    <w:p>
      <w:pPr>
        <w:pStyle w:val="ListNumber"/>
        <w:numPr>
          <w:ilvl w:val="0"/>
          <w:numId w:val="13"/>
        </w:numPr>
      </w:pPr>
      <w:r>
        <w:t>Principal or existing owner authorises the appointment.</w:t>
      </w:r>
    </w:p>
    <w:p>
      <w:pPr>
        <w:pStyle w:val="ListNumber"/>
        <w:numPr>
          <w:ilvl w:val="0"/>
          <w:numId w:val="13"/>
        </w:numPr>
      </w:pPr>
      <w:r>
        <w:t>Platform or school owner creates the administrator account with explicit scopes.</w:t>
      </w:r>
    </w:p>
    <w:p>
      <w:pPr>
        <w:pStyle w:val="ListNumber"/>
        <w:numPr>
          <w:ilvl w:val="0"/>
          <w:numId w:val="13"/>
        </w:numPr>
      </w:pPr>
      <w:r>
        <w:t>Administrator enables multi-factor authentication and completes administrator training.</w:t>
      </w:r>
    </w:p>
    <w:p>
      <w:pPr>
        <w:pStyle w:val="ListNumber"/>
        <w:numPr>
          <w:ilvl w:val="0"/>
          <w:numId w:val="13"/>
        </w:numPr>
      </w:pPr>
      <w:r>
        <w:t>Administrator configures school structure, imports verified records and delegates roles.</w:t>
      </w:r>
    </w:p>
    <w:p>
      <w:pPr>
        <w:pStyle w:val="ListNumber"/>
        <w:numPr>
          <w:ilvl w:val="0"/>
          <w:numId w:val="13"/>
        </w:numPr>
      </w:pPr>
      <w:r>
        <w:t>Quarterly access review confirms that permissions still match job duties.</w:t>
      </w:r>
    </w:p>
    <w:p>
      <w:pPr>
        <w:pStyle w:val="Heading1"/>
      </w:pPr>
      <w:r>
        <w:t>7. Core data model and record rules</w:t>
      </w:r>
    </w:p>
    <w:tbl>
      <w:tblPr>
        <w:tblStyle w:val="TableGrid"/>
        <w:tblW w:type="dxa" w:w="9360"/>
        <w:jc w:val="left"/>
        <w:tblLayout w:type="fixed"/>
        <w:tblLook w:firstColumn="1" w:firstRow="1" w:lastColumn="0" w:lastRow="0" w:noHBand="0" w:noVBand="1" w:val="04A0"/>
        <w:tblInd w:w="120" w:type="dxa"/>
      </w:tblPr>
      <w:tblGrid>
        <w:gridCol w:w="1550"/>
        <w:gridCol w:w="3000"/>
        <w:gridCol w:w="4810"/>
      </w:tblGrid>
      <w:tr>
        <w:tc>
          <w:tcPr>
            <w:tcW w:type="dxa" w:w="1550"/>
            <w:shd w:fill="173C31"/>
            <w:tcMar>
              <w:top w:w="80" w:type="dxa"/>
              <w:start w:w="120" w:type="dxa"/>
              <w:bottom w:w="80" w:type="dxa"/>
              <w:end w:w="120" w:type="dxa"/>
            </w:tcMar>
          </w:tcPr>
          <w:p>
            <w:r>
              <w:rPr>
                <w:b/>
                <w:color w:val="FFFFFF"/>
                <w:sz w:val="17"/>
              </w:rPr>
              <w:t>Entity</w:t>
            </w:r>
          </w:p>
        </w:tc>
        <w:tc>
          <w:tcPr>
            <w:tcW w:type="dxa" w:w="3000"/>
            <w:shd w:fill="173C31"/>
            <w:tcMar>
              <w:top w:w="80" w:type="dxa"/>
              <w:start w:w="120" w:type="dxa"/>
              <w:bottom w:w="80" w:type="dxa"/>
              <w:end w:w="120" w:type="dxa"/>
            </w:tcMar>
          </w:tcPr>
          <w:p>
            <w:r>
              <w:rPr>
                <w:b/>
                <w:color w:val="FFFFFF"/>
                <w:sz w:val="17"/>
              </w:rPr>
              <w:t>Important fields</w:t>
            </w:r>
          </w:p>
        </w:tc>
        <w:tc>
          <w:tcPr>
            <w:tcW w:type="dxa" w:w="4810"/>
            <w:shd w:fill="173C31"/>
            <w:tcMar>
              <w:top w:w="80" w:type="dxa"/>
              <w:start w:w="120" w:type="dxa"/>
              <w:bottom w:w="80" w:type="dxa"/>
              <w:end w:w="120" w:type="dxa"/>
            </w:tcMar>
          </w:tcPr>
          <w:p>
            <w:r>
              <w:rPr>
                <w:b/>
                <w:color w:val="FFFFFF"/>
                <w:sz w:val="17"/>
              </w:rPr>
              <w:t>Relationships / rules</w:t>
            </w:r>
          </w:p>
        </w:tc>
      </w:tr>
      <w:tr>
        <w:tc>
          <w:tcPr>
            <w:tcW w:type="dxa" w:w="1550"/>
            <w:vAlign w:val="center"/>
            <w:tcMar>
              <w:top w:w="80" w:type="dxa"/>
              <w:start w:w="120" w:type="dxa"/>
              <w:bottom w:w="80" w:type="dxa"/>
              <w:end w:w="120" w:type="dxa"/>
            </w:tcMar>
          </w:tcPr>
          <w:p>
            <w:pPr>
              <w:spacing w:after="0"/>
            </w:pPr>
            <w:r>
              <w:rPr>
                <w:rFonts w:ascii="Calibri" w:hAnsi="Calibri"/>
                <w:sz w:val="16"/>
              </w:rPr>
              <w:t>Institution</w:t>
            </w:r>
          </w:p>
        </w:tc>
        <w:tc>
          <w:tcPr>
            <w:tcW w:type="dxa" w:w="3000"/>
            <w:vAlign w:val="center"/>
            <w:tcMar>
              <w:top w:w="80" w:type="dxa"/>
              <w:start w:w="120" w:type="dxa"/>
              <w:bottom w:w="80" w:type="dxa"/>
              <w:end w:w="120" w:type="dxa"/>
            </w:tcMar>
          </w:tcPr>
          <w:p>
            <w:pPr>
              <w:spacing w:after="0"/>
            </w:pPr>
            <w:r>
              <w:rPr>
                <w:rFonts w:ascii="Calibri" w:hAnsi="Calibri"/>
                <w:sz w:val="16"/>
              </w:rPr>
              <w:t>tenant ID, legal name, branding, plan, status</w:t>
            </w:r>
          </w:p>
        </w:tc>
        <w:tc>
          <w:tcPr>
            <w:tcW w:type="dxa" w:w="4810"/>
            <w:vAlign w:val="center"/>
            <w:tcMar>
              <w:top w:w="80" w:type="dxa"/>
              <w:start w:w="120" w:type="dxa"/>
              <w:bottom w:w="80" w:type="dxa"/>
              <w:end w:w="120" w:type="dxa"/>
            </w:tcMar>
          </w:tcPr>
          <w:p>
            <w:pPr>
              <w:spacing w:after="0"/>
            </w:pPr>
            <w:r>
              <w:rPr>
                <w:rFonts w:ascii="Calibri" w:hAnsi="Calibri"/>
                <w:sz w:val="16"/>
              </w:rPr>
              <w:t>Owns all school-scoped data</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Person</w:t>
            </w:r>
          </w:p>
        </w:tc>
        <w:tc>
          <w:tcPr>
            <w:tcW w:type="dxa" w:w="3000"/>
            <w:vAlign w:val="center"/>
            <w:shd w:fill="F5F7F4"/>
            <w:tcMar>
              <w:top w:w="80" w:type="dxa"/>
              <w:start w:w="120" w:type="dxa"/>
              <w:bottom w:w="80" w:type="dxa"/>
              <w:end w:w="120" w:type="dxa"/>
            </w:tcMar>
          </w:tcPr>
          <w:p>
            <w:pPr>
              <w:spacing w:after="0"/>
            </w:pPr>
            <w:r>
              <w:rPr>
                <w:rFonts w:ascii="Calibri" w:hAnsi="Calibri"/>
                <w:sz w:val="16"/>
              </w:rPr>
              <w:t>person ID, names, contacts, verification state</w:t>
            </w:r>
          </w:p>
        </w:tc>
        <w:tc>
          <w:tcPr>
            <w:tcW w:type="dxa" w:w="4810"/>
            <w:vAlign w:val="center"/>
            <w:shd w:fill="F5F7F4"/>
            <w:tcMar>
              <w:top w:w="80" w:type="dxa"/>
              <w:start w:w="120" w:type="dxa"/>
              <w:bottom w:w="80" w:type="dxa"/>
              <w:end w:w="120" w:type="dxa"/>
            </w:tcMar>
          </w:tcPr>
          <w:p>
            <w:pPr>
              <w:spacing w:after="0"/>
            </w:pPr>
            <w:r>
              <w:rPr>
                <w:rFonts w:ascii="Calibri" w:hAnsi="Calibri"/>
                <w:sz w:val="16"/>
              </w:rPr>
              <w:t>May hold several roles and relationships</w:t>
            </w:r>
          </w:p>
        </w:tc>
      </w:tr>
      <w:tr>
        <w:tc>
          <w:tcPr>
            <w:tcW w:type="dxa" w:w="1550"/>
            <w:vAlign w:val="center"/>
            <w:tcMar>
              <w:top w:w="80" w:type="dxa"/>
              <w:start w:w="120" w:type="dxa"/>
              <w:bottom w:w="80" w:type="dxa"/>
              <w:end w:w="120" w:type="dxa"/>
            </w:tcMar>
          </w:tcPr>
          <w:p>
            <w:pPr>
              <w:spacing w:after="0"/>
            </w:pPr>
            <w:r>
              <w:rPr>
                <w:rFonts w:ascii="Calibri" w:hAnsi="Calibri"/>
                <w:sz w:val="16"/>
              </w:rPr>
              <w:t>Student profile</w:t>
            </w:r>
          </w:p>
        </w:tc>
        <w:tc>
          <w:tcPr>
            <w:tcW w:type="dxa" w:w="3000"/>
            <w:vAlign w:val="center"/>
            <w:tcMar>
              <w:top w:w="80" w:type="dxa"/>
              <w:start w:w="120" w:type="dxa"/>
              <w:bottom w:w="80" w:type="dxa"/>
              <w:end w:w="120" w:type="dxa"/>
            </w:tcMar>
          </w:tcPr>
          <w:p>
            <w:pPr>
              <w:spacing w:after="0"/>
            </w:pPr>
            <w:r>
              <w:rPr>
                <w:rFonts w:ascii="Calibri" w:hAnsi="Calibri"/>
                <w:sz w:val="16"/>
              </w:rPr>
              <w:t>admission number, programme/class, status, demographics</w:t>
            </w:r>
          </w:p>
        </w:tc>
        <w:tc>
          <w:tcPr>
            <w:tcW w:type="dxa" w:w="4810"/>
            <w:vAlign w:val="center"/>
            <w:tcMar>
              <w:top w:w="80" w:type="dxa"/>
              <w:start w:w="120" w:type="dxa"/>
              <w:bottom w:w="80" w:type="dxa"/>
              <w:end w:w="120" w:type="dxa"/>
            </w:tcMar>
          </w:tcPr>
          <w:p>
            <w:pPr>
              <w:spacing w:after="0"/>
            </w:pPr>
            <w:r>
              <w:rPr>
                <w:rFonts w:ascii="Calibri" w:hAnsi="Calibri"/>
                <w:sz w:val="16"/>
              </w:rPr>
              <w:t>Linked to person, guardians, enrolments and records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Staff profile</w:t>
            </w:r>
          </w:p>
        </w:tc>
        <w:tc>
          <w:tcPr>
            <w:tcW w:type="dxa" w:w="3000"/>
            <w:vAlign w:val="center"/>
            <w:shd w:fill="F5F7F4"/>
            <w:tcMar>
              <w:top w:w="80" w:type="dxa"/>
              <w:start w:w="120" w:type="dxa"/>
              <w:bottom w:w="80" w:type="dxa"/>
              <w:end w:w="120" w:type="dxa"/>
            </w:tcMar>
          </w:tcPr>
          <w:p>
            <w:pPr>
              <w:spacing w:after="0"/>
            </w:pPr>
            <w:r>
              <w:rPr>
                <w:rFonts w:ascii="Calibri" w:hAnsi="Calibri"/>
                <w:sz w:val="16"/>
              </w:rPr>
              <w:t>staff number, department, employment state</w:t>
            </w:r>
          </w:p>
        </w:tc>
        <w:tc>
          <w:tcPr>
            <w:tcW w:type="dxa" w:w="4810"/>
            <w:vAlign w:val="center"/>
            <w:shd w:fill="F5F7F4"/>
            <w:tcMar>
              <w:top w:w="80" w:type="dxa"/>
              <w:start w:w="120" w:type="dxa"/>
              <w:bottom w:w="80" w:type="dxa"/>
              <w:end w:w="120" w:type="dxa"/>
            </w:tcMar>
          </w:tcPr>
          <w:p>
            <w:pPr>
              <w:spacing w:after="0"/>
            </w:pPr>
            <w:r>
              <w:rPr>
                <w:rFonts w:ascii="Calibri" w:hAnsi="Calibri"/>
                <w:sz w:val="16"/>
              </w:rPr>
              <w:t>Linked to role assignments and teaching allocations</w:t>
            </w:r>
          </w:p>
        </w:tc>
      </w:tr>
      <w:tr>
        <w:tc>
          <w:tcPr>
            <w:tcW w:type="dxa" w:w="1550"/>
            <w:vAlign w:val="center"/>
            <w:tcMar>
              <w:top w:w="80" w:type="dxa"/>
              <w:start w:w="120" w:type="dxa"/>
              <w:bottom w:w="80" w:type="dxa"/>
              <w:end w:w="120" w:type="dxa"/>
            </w:tcMar>
          </w:tcPr>
          <w:p>
            <w:pPr>
              <w:spacing w:after="0"/>
            </w:pPr>
            <w:r>
              <w:rPr>
                <w:rFonts w:ascii="Calibri" w:hAnsi="Calibri"/>
                <w:sz w:val="16"/>
              </w:rPr>
              <w:t>Academic period</w:t>
            </w:r>
          </w:p>
        </w:tc>
        <w:tc>
          <w:tcPr>
            <w:tcW w:type="dxa" w:w="3000"/>
            <w:vAlign w:val="center"/>
            <w:tcMar>
              <w:top w:w="80" w:type="dxa"/>
              <w:start w:w="120" w:type="dxa"/>
              <w:bottom w:w="80" w:type="dxa"/>
              <w:end w:w="120" w:type="dxa"/>
            </w:tcMar>
          </w:tcPr>
          <w:p>
            <w:pPr>
              <w:spacing w:after="0"/>
            </w:pPr>
            <w:r>
              <w:rPr>
                <w:rFonts w:ascii="Calibri" w:hAnsi="Calibri"/>
                <w:sz w:val="16"/>
              </w:rPr>
              <w:t>year, term/semester, dates, state</w:t>
            </w:r>
          </w:p>
        </w:tc>
        <w:tc>
          <w:tcPr>
            <w:tcW w:type="dxa" w:w="4810"/>
            <w:vAlign w:val="center"/>
            <w:tcMar>
              <w:top w:w="80" w:type="dxa"/>
              <w:start w:w="120" w:type="dxa"/>
              <w:bottom w:w="80" w:type="dxa"/>
              <w:end w:w="120" w:type="dxa"/>
            </w:tcMar>
          </w:tcPr>
          <w:p>
            <w:pPr>
              <w:spacing w:after="0"/>
            </w:pPr>
            <w:r>
              <w:rPr>
                <w:rFonts w:ascii="Calibri" w:hAnsi="Calibri"/>
                <w:sz w:val="16"/>
              </w:rPr>
              <w:t>Controls entry, locking and publication</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Course/subject</w:t>
            </w:r>
          </w:p>
        </w:tc>
        <w:tc>
          <w:tcPr>
            <w:tcW w:type="dxa" w:w="3000"/>
            <w:vAlign w:val="center"/>
            <w:shd w:fill="F5F7F4"/>
            <w:tcMar>
              <w:top w:w="80" w:type="dxa"/>
              <w:start w:w="120" w:type="dxa"/>
              <w:bottom w:w="80" w:type="dxa"/>
              <w:end w:w="120" w:type="dxa"/>
            </w:tcMar>
          </w:tcPr>
          <w:p>
            <w:pPr>
              <w:spacing w:after="0"/>
            </w:pPr>
            <w:r>
              <w:rPr>
                <w:rFonts w:ascii="Calibri" w:hAnsi="Calibri"/>
                <w:sz w:val="16"/>
              </w:rPr>
              <w:t>code, title, level, credits</w:t>
            </w:r>
          </w:p>
        </w:tc>
        <w:tc>
          <w:tcPr>
            <w:tcW w:type="dxa" w:w="4810"/>
            <w:vAlign w:val="center"/>
            <w:shd w:fill="F5F7F4"/>
            <w:tcMar>
              <w:top w:w="80" w:type="dxa"/>
              <w:start w:w="120" w:type="dxa"/>
              <w:bottom w:w="80" w:type="dxa"/>
              <w:end w:w="120" w:type="dxa"/>
            </w:tcMar>
          </w:tcPr>
          <w:p>
            <w:pPr>
              <w:spacing w:after="0"/>
            </w:pPr>
            <w:r>
              <w:rPr>
                <w:rFonts w:ascii="Calibri" w:hAnsi="Calibri"/>
                <w:sz w:val="16"/>
              </w:rPr>
              <w:t>Linked to classes, teachers, assessments and materials</w:t>
            </w:r>
          </w:p>
        </w:tc>
      </w:tr>
      <w:tr>
        <w:tc>
          <w:tcPr>
            <w:tcW w:type="dxa" w:w="1550"/>
            <w:vAlign w:val="center"/>
            <w:tcMar>
              <w:top w:w="80" w:type="dxa"/>
              <w:start w:w="120" w:type="dxa"/>
              <w:bottom w:w="80" w:type="dxa"/>
              <w:end w:w="120" w:type="dxa"/>
            </w:tcMar>
          </w:tcPr>
          <w:p>
            <w:pPr>
              <w:spacing w:after="0"/>
            </w:pPr>
            <w:r>
              <w:rPr>
                <w:rFonts w:ascii="Calibri" w:hAnsi="Calibri"/>
                <w:sz w:val="16"/>
              </w:rPr>
              <w:t>Invoice and payment</w:t>
            </w:r>
          </w:p>
        </w:tc>
        <w:tc>
          <w:tcPr>
            <w:tcW w:type="dxa" w:w="3000"/>
            <w:vAlign w:val="center"/>
            <w:tcMar>
              <w:top w:w="80" w:type="dxa"/>
              <w:start w:w="120" w:type="dxa"/>
              <w:bottom w:w="80" w:type="dxa"/>
              <w:end w:w="120" w:type="dxa"/>
            </w:tcMar>
          </w:tcPr>
          <w:p>
            <w:pPr>
              <w:spacing w:after="0"/>
            </w:pPr>
            <w:r>
              <w:rPr>
                <w:rFonts w:ascii="Calibri" w:hAnsi="Calibri"/>
                <w:sz w:val="16"/>
              </w:rPr>
              <w:t>reference, amount, currency, status, source</w:t>
            </w:r>
          </w:p>
        </w:tc>
        <w:tc>
          <w:tcPr>
            <w:tcW w:type="dxa" w:w="4810"/>
            <w:vAlign w:val="center"/>
            <w:tcMar>
              <w:top w:w="80" w:type="dxa"/>
              <w:start w:w="120" w:type="dxa"/>
              <w:bottom w:w="80" w:type="dxa"/>
              <w:end w:w="120" w:type="dxa"/>
            </w:tcMar>
          </w:tcPr>
          <w:p>
            <w:pPr>
              <w:spacing w:after="0"/>
            </w:pPr>
            <w:r>
              <w:rPr>
                <w:rFonts w:ascii="Calibri" w:hAnsi="Calibri"/>
                <w:sz w:val="16"/>
              </w:rPr>
              <w:t>Immutable ledger events with controlled corrections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Content item</w:t>
            </w:r>
          </w:p>
        </w:tc>
        <w:tc>
          <w:tcPr>
            <w:tcW w:type="dxa" w:w="3000"/>
            <w:vAlign w:val="center"/>
            <w:shd w:fill="F5F7F4"/>
            <w:tcMar>
              <w:top w:w="80" w:type="dxa"/>
              <w:start w:w="120" w:type="dxa"/>
              <w:bottom w:w="80" w:type="dxa"/>
              <w:end w:w="120" w:type="dxa"/>
            </w:tcMar>
          </w:tcPr>
          <w:p>
            <w:pPr>
              <w:spacing w:after="0"/>
            </w:pPr>
            <w:r>
              <w:rPr>
                <w:rFonts w:ascii="Calibri" w:hAnsi="Calibri"/>
                <w:sz w:val="16"/>
              </w:rPr>
              <w:t>title, type, owner, audience, version</w:t>
            </w:r>
          </w:p>
        </w:tc>
        <w:tc>
          <w:tcPr>
            <w:tcW w:type="dxa" w:w="4810"/>
            <w:vAlign w:val="center"/>
            <w:shd w:fill="F5F7F4"/>
            <w:tcMar>
              <w:top w:w="80" w:type="dxa"/>
              <w:start w:w="120" w:type="dxa"/>
              <w:bottom w:w="80" w:type="dxa"/>
              <w:end w:w="120" w:type="dxa"/>
            </w:tcMar>
          </w:tcPr>
          <w:p>
            <w:pPr>
              <w:spacing w:after="0"/>
            </w:pPr>
            <w:r>
              <w:rPr>
                <w:rFonts w:ascii="Calibri" w:hAnsi="Calibri"/>
                <w:sz w:val="16"/>
              </w:rPr>
              <w:t>File bytes in object storage; metadata in database</w:t>
            </w:r>
          </w:p>
        </w:tc>
      </w:tr>
      <w:tr>
        <w:tc>
          <w:tcPr>
            <w:tcW w:type="dxa" w:w="1550"/>
            <w:vAlign w:val="center"/>
            <w:tcMar>
              <w:top w:w="80" w:type="dxa"/>
              <w:start w:w="120" w:type="dxa"/>
              <w:bottom w:w="80" w:type="dxa"/>
              <w:end w:w="120" w:type="dxa"/>
            </w:tcMar>
          </w:tcPr>
          <w:p>
            <w:pPr>
              <w:spacing w:after="0"/>
            </w:pPr>
            <w:r>
              <w:rPr>
                <w:rFonts w:ascii="Calibri" w:hAnsi="Calibri"/>
                <w:sz w:val="16"/>
              </w:rPr>
              <w:t>Audit event</w:t>
            </w:r>
          </w:p>
        </w:tc>
        <w:tc>
          <w:tcPr>
            <w:tcW w:type="dxa" w:w="3000"/>
            <w:vAlign w:val="center"/>
            <w:tcMar>
              <w:top w:w="80" w:type="dxa"/>
              <w:start w:w="120" w:type="dxa"/>
              <w:bottom w:w="80" w:type="dxa"/>
              <w:end w:w="120" w:type="dxa"/>
            </w:tcMar>
          </w:tcPr>
          <w:p>
            <w:pPr>
              <w:spacing w:after="0"/>
            </w:pPr>
            <w:r>
              <w:rPr>
                <w:rFonts w:ascii="Calibri" w:hAnsi="Calibri"/>
                <w:sz w:val="16"/>
              </w:rPr>
              <w:t>actor, action, target, timestamp, session</w:t>
            </w:r>
          </w:p>
        </w:tc>
        <w:tc>
          <w:tcPr>
            <w:tcW w:type="dxa" w:w="4810"/>
            <w:vAlign w:val="center"/>
            <w:tcMar>
              <w:top w:w="80" w:type="dxa"/>
              <w:start w:w="120" w:type="dxa"/>
              <w:bottom w:w="80" w:type="dxa"/>
              <w:end w:w="120" w:type="dxa"/>
            </w:tcMar>
          </w:tcPr>
          <w:p>
            <w:pPr>
              <w:spacing w:after="0"/>
            </w:pPr>
            <w:r>
              <w:rPr>
                <w:rFonts w:ascii="Calibri" w:hAnsi="Calibri"/>
                <w:sz w:val="16"/>
              </w:rPr>
              <w:t>Append-only and retained under policy</w:t>
            </w:r>
          </w:p>
        </w:tc>
      </w:tr>
    </w:tbl>
    <w:p/>
    <w:p>
      <w:r>
        <w:br w:type="page"/>
      </w:r>
    </w:p>
    <w:p>
      <w:pPr>
        <w:pStyle w:val="Heading1"/>
      </w:pPr>
      <w:r>
        <w:t>8. School onboarding: from sale to live operation</w:t>
      </w:r>
    </w:p>
    <w:p>
      <w:pPr>
        <w:pStyle w:val="ListNumber"/>
        <w:numPr>
          <w:ilvl w:val="0"/>
          <w:numId w:val="14"/>
        </w:numPr>
      </w:pPr>
      <w:r>
        <w:t>Commercial approval: sign order form, subscription schedule, implementation scope, data-processing terms and support agreement.</w:t>
      </w:r>
    </w:p>
    <w:p>
      <w:pPr>
        <w:pStyle w:val="ListNumber"/>
        <w:numPr>
          <w:ilvl w:val="0"/>
          <w:numId w:val="14"/>
        </w:numPr>
      </w:pPr>
      <w:r>
        <w:t>Tenant creation: platform owner creates the school tenant, owner account, plan, storage limits and initial domain.</w:t>
      </w:r>
    </w:p>
    <w:p>
      <w:pPr>
        <w:pStyle w:val="ListNumber"/>
        <w:numPr>
          <w:ilvl w:val="0"/>
          <w:numId w:val="14"/>
        </w:numPr>
      </w:pPr>
      <w:r>
        <w:t>Discovery: collect academic structure, campuses, calendar, grading, fees, roles, communications, data sources and integration needs.</w:t>
      </w:r>
    </w:p>
    <w:p>
      <w:pPr>
        <w:pStyle w:val="ListNumber"/>
        <w:numPr>
          <w:ilvl w:val="0"/>
          <w:numId w:val="14"/>
        </w:numPr>
      </w:pPr>
      <w:r>
        <w:t>Configuration: load branding, terms, classes/programmes, subjects/course units, departments, fee structures and permission templates.</w:t>
      </w:r>
    </w:p>
    <w:p>
      <w:pPr>
        <w:pStyle w:val="ListNumber"/>
        <w:numPr>
          <w:ilvl w:val="0"/>
          <w:numId w:val="14"/>
        </w:numPr>
      </w:pPr>
      <w:r>
        <w:t>Data preparation: school cleans source spreadsheets; implementation team validates formats and obtains signed import approval.</w:t>
      </w:r>
    </w:p>
    <w:p>
      <w:pPr>
        <w:pStyle w:val="ListNumber"/>
        <w:numPr>
          <w:ilvl w:val="0"/>
          <w:numId w:val="14"/>
        </w:numPr>
      </w:pPr>
      <w:r>
        <w:t>Pilot: one class or department tests login, attendance, marks, messages, fees and reports using controlled data.</w:t>
      </w:r>
    </w:p>
    <w:p>
      <w:pPr>
        <w:pStyle w:val="ListNumber"/>
        <w:numPr>
          <w:ilvl w:val="0"/>
          <w:numId w:val="14"/>
        </w:numPr>
      </w:pPr>
      <w:r>
        <w:t>Training: administrators and champions complete guided training; teachers, learners and guardians receive role-specific onboarding.</w:t>
      </w:r>
    </w:p>
    <w:p>
      <w:pPr>
        <w:pStyle w:val="ListNumber"/>
        <w:numPr>
          <w:ilvl w:val="0"/>
          <w:numId w:val="14"/>
        </w:numPr>
      </w:pPr>
      <w:r>
        <w:t>Acceptance: school signs functional, security, data and operational acceptance checklists.</w:t>
      </w:r>
    </w:p>
    <w:p>
      <w:pPr>
        <w:pStyle w:val="ListNumber"/>
        <w:numPr>
          <w:ilvl w:val="0"/>
          <w:numId w:val="14"/>
        </w:numPr>
      </w:pPr>
      <w:r>
        <w:t>Go-live: activate production access in stages and keep enhanced support available.</w:t>
      </w:r>
    </w:p>
    <w:p>
      <w:pPr>
        <w:pStyle w:val="ListNumber"/>
        <w:numPr>
          <w:ilvl w:val="0"/>
          <w:numId w:val="14"/>
        </w:numPr>
      </w:pPr>
      <w:r>
        <w:t>Stabilisation: review incidents, adoption, unmatched payments, failed invitations and user feedback after 7, 30 and 90 days.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BE8E5"/>
            <w:tcMar>
              <w:top w:w="80" w:type="dxa"/>
              <w:start w:w="120" w:type="dxa"/>
              <w:bottom w:w="80" w:type="dxa"/>
              <w:end w:w="120" w:type="dxa"/>
            </w:tcMar>
          </w:tcPr>
          <w:p>
            <w:pPr>
              <w:spacing w:after="60"/>
            </w:pPr>
            <w:r>
              <w:rPr>
                <w:b/>
                <w:color w:val="173C31"/>
              </w:rPr>
              <w:t>Go-live rule</w:t>
            </w:r>
          </w:p>
          <w:p>
            <w:pPr>
              <w:spacing w:after="0"/>
            </w:pPr>
            <w:r>
              <w:rPr>
                <w:sz w:val="19"/>
              </w:rPr>
              <w:t>No institution should load real student data merely because the visual prototype looks finished. Production use begins only after secure authentication, tenant isolation, backups, monitoring, privacy controls, tested workflows and written acceptance are in place.</w:t>
            </w:r>
          </w:p>
        </w:tc>
      </w:tr>
    </w:tbl>
    <w:p/>
    <w:p>
      <w:pPr>
        <w:pStyle w:val="Heading1"/>
      </w:pPr>
      <w:r>
        <w:t>9. Admissions and enrolment</w:t>
      </w:r>
    </w:p>
    <w:p>
      <w:pPr>
        <w:pStyle w:val="Heading2"/>
      </w:pPr>
      <w:r>
        <w:t>Create an application</w:t>
      </w:r>
    </w:p>
    <w:p>
      <w:r>
        <w:t>Applicant or admissions officer opens the configured form, enters required information, uploads allowed evidence, confirms consent and submits. The system assigns a reference and prevents silent changes after submission.</w:t>
      </w:r>
    </w:p>
    <w:p>
      <w:pPr>
        <w:pStyle w:val="Heading2"/>
      </w:pPr>
      <w:r>
        <w:t>Review and decision</w:t>
      </w:r>
    </w:p>
    <w:p>
      <w:r>
        <w:t>Admissions staff validate completeness, request corrections, record assessment/interview outcomes and recommend a decision. Only an authorised approver can issue admission, waitlist or decline status.</w:t>
      </w:r>
    </w:p>
    <w:p>
      <w:pPr>
        <w:pStyle w:val="Heading2"/>
      </w:pPr>
      <w:r>
        <w:t>Convert to student</w:t>
      </w:r>
    </w:p>
    <w:p>
      <w:r>
        <w:t>After acceptance and required conditions, the system creates the student profile, admission number, initial enrolment, guardian links, fee account and account invitations. Duplicate detection runs before creation.</w:t>
      </w:r>
    </w:p>
    <w:p>
      <w:pPr>
        <w:pStyle w:val="Heading2"/>
      </w:pPr>
      <w:r>
        <w:t>Transfer or withdrawal</w:t>
      </w:r>
    </w:p>
    <w:p>
      <w:r>
        <w:t>Authorised staff record effective date, reason category and destination where appropriate. Access and billing update according to policy while historical records remain available.</w:t>
      </w:r>
    </w:p>
    <w:p>
      <w:pPr>
        <w:pStyle w:val="Heading1"/>
      </w:pPr>
      <w:r>
        <w:t>10. Student information management</w:t>
      </w:r>
    </w:p>
    <w:p>
      <w:pPr>
        <w:pStyle w:val="Heading2"/>
      </w:pPr>
      <w:r>
        <w:t>Student profile</w:t>
      </w:r>
    </w:p>
    <w:p>
      <w:r>
        <w:t>Stores identity, admissions, contacts, guardians, enrolment, authorised medical alerts, accommodations and status. Fields have visibility classifications.</w:t>
      </w:r>
    </w:p>
    <w:p>
      <w:pPr>
        <w:pStyle w:val="Heading2"/>
      </w:pPr>
      <w:r>
        <w:t>Change request</w:t>
      </w:r>
    </w:p>
    <w:p>
      <w:r>
        <w:t>Student or guardian requests a correction; authorised staff verify evidence, approve or reject, and the audit trail records old and new values.</w:t>
      </w:r>
    </w:p>
    <w:p>
      <w:pPr>
        <w:pStyle w:val="Heading2"/>
      </w:pPr>
      <w:r>
        <w:t>Bulk update</w:t>
      </w:r>
    </w:p>
    <w:p>
      <w:r>
        <w:t>Administrator uploads a validated template, previews proposed changes, resolves errors and confirms. High-risk fields cannot be mass-overwritten without additional approval.</w:t>
      </w:r>
    </w:p>
    <w:p>
      <w:pPr>
        <w:pStyle w:val="Heading2"/>
      </w:pPr>
      <w:r>
        <w:t>Document access</w:t>
      </w:r>
    </w:p>
    <w:p>
      <w:r>
        <w:t>Official letters and IDs use templates, serial numbers and generation logs. Downloads contain only fields appropriate to the requesting role.</w:t>
      </w:r>
    </w:p>
    <w:p>
      <w:pPr>
        <w:pStyle w:val="Heading1"/>
      </w:pPr>
      <w:r>
        <w:t>11. Academic structure, curriculum and teaching allocation</w:t>
      </w:r>
    </w:p>
    <w:p>
      <w:pPr>
        <w:pStyle w:val="Heading2"/>
      </w:pPr>
      <w:r>
        <w:t>Structure setup</w:t>
      </w:r>
    </w:p>
    <w:p>
      <w:r>
        <w:t>Academic administrator defines year, terms/semesters, programmes/classes, streams/cohorts, departments, subjects/course units, credits, rooms and teaching periods.</w:t>
      </w:r>
    </w:p>
    <w:p>
      <w:pPr>
        <w:pStyle w:val="Heading2"/>
      </w:pPr>
      <w:r>
        <w:t>Teacher allocation</w:t>
      </w:r>
    </w:p>
    <w:p>
      <w:r>
        <w:t>Assign teacher, course, group and period with effective dates. Conflicts and missing qualifications may generate warnings for school review.</w:t>
      </w:r>
    </w:p>
    <w:p>
      <w:pPr>
        <w:pStyle w:val="Heading2"/>
      </w:pPr>
      <w:r>
        <w:t>Curriculum coverage</w:t>
      </w:r>
    </w:p>
    <w:p>
      <w:r>
        <w:t>Teachers record topics taught against schemes of work; leaders view progress without editing the teacher’s historical entries invisibly.</w:t>
      </w:r>
    </w:p>
    <w:p>
      <w:pPr>
        <w:pStyle w:val="Heading2"/>
      </w:pPr>
      <w:r>
        <w:t>Period closure</w:t>
      </w:r>
    </w:p>
    <w:p>
      <w:r>
        <w:t>At term end, entry closes in stages: teacher submission, departmental review, examinations review, principal approval and publication.</w:t>
      </w:r>
    </w:p>
    <w:p>
      <w:pPr>
        <w:pStyle w:val="Heading1"/>
      </w:pPr>
      <w:r>
        <w:t>12. Timetable and calendar</w:t>
      </w:r>
    </w:p>
    <w:p>
      <w:pPr>
        <w:pStyle w:val="Heading2"/>
      </w:pPr>
      <w:r>
        <w:t>Build timetable</w:t>
      </w:r>
    </w:p>
    <w:p>
      <w:r>
        <w:t>Create periods, breaks, rooms, teacher availability, class needs and constraints. Generate or manually place sessions, then resolve collisions.</w:t>
      </w:r>
    </w:p>
    <w:p>
      <w:pPr>
        <w:pStyle w:val="Heading2"/>
      </w:pPr>
      <w:r>
        <w:t>Publish timetable</w:t>
      </w:r>
    </w:p>
    <w:p>
      <w:r>
        <w:t>Reviewer validates teacher, class and room views. Publishing creates a version and notifies affected users. Later changes show the effective date.</w:t>
      </w:r>
    </w:p>
    <w:p>
      <w:pPr>
        <w:pStyle w:val="Heading2"/>
      </w:pPr>
      <w:r>
        <w:t>Substitution</w:t>
      </w:r>
    </w:p>
    <w:p>
      <w:r>
        <w:t>Authorised staff select an absent teacher, choose a qualified substitute, notify them and preserve the original schedule record.</w:t>
      </w:r>
    </w:p>
    <w:p>
      <w:pPr>
        <w:pStyle w:val="Heading2"/>
      </w:pPr>
      <w:r>
        <w:t>School calendar</w:t>
      </w:r>
    </w:p>
    <w:p>
      <w:r>
        <w:t>Events specify audience, campus, date, location, owner and reminder rules. Private staff events never appear to learners or guardians.</w:t>
      </w:r>
    </w:p>
    <w:p>
      <w:pPr>
        <w:pStyle w:val="Heading1"/>
      </w:pPr>
      <w:r>
        <w:t>13. Attendance</w:t>
      </w:r>
    </w:p>
    <w:p>
      <w:pPr>
        <w:pStyle w:val="Heading2"/>
      </w:pPr>
      <w:r>
        <w:t>Teacher register</w:t>
      </w:r>
    </w:p>
    <w:p>
      <w:r>
        <w:t>Teacher opens Today, chooses the scheduled class, marks present/absent/late/excused, adds authorised notes and submits. The system records submission time and prevents access to unrelated classes.</w:t>
      </w:r>
    </w:p>
    <w:p>
      <w:pPr>
        <w:pStyle w:val="Heading2"/>
      </w:pPr>
      <w:r>
        <w:t>Late arrival</w:t>
      </w:r>
    </w:p>
    <w:p>
      <w:r>
        <w:t>Reception locates the learner, records arrival time and reason category, issues an optional slip and updates the class register.</w:t>
      </w:r>
    </w:p>
    <w:p>
      <w:pPr>
        <w:pStyle w:val="Heading2"/>
      </w:pPr>
      <w:r>
        <w:t>Correction</w:t>
      </w:r>
    </w:p>
    <w:p>
      <w:r>
        <w:t>Teacher requests or makes a correction within the allowed window. After locking, an attendance officer must approve the change; both values remain in history.</w:t>
      </w:r>
    </w:p>
    <w:p>
      <w:pPr>
        <w:pStyle w:val="Heading2"/>
      </w:pPr>
      <w:r>
        <w:t>Guardian alert</w:t>
      </w:r>
    </w:p>
    <w:p>
      <w:r>
        <w:t>Configured absence or lateness rules create an SMS, email or portal notification after validation. Staff can suppress an alert with a documented reason.</w:t>
      </w:r>
    </w:p>
    <w:p>
      <w:pPr>
        <w:pStyle w:val="Heading2"/>
      </w:pPr>
      <w:r>
        <w:t>Daily close</w:t>
      </w:r>
    </w:p>
    <w:p>
      <w:r>
        <w:t>Dashboard identifies missing registers, unexplained absences and safeguarding escalation rules. Authorised staff resolve exceptions and close the day.</w:t>
      </w:r>
    </w:p>
    <w:p>
      <w:pPr>
        <w:pStyle w:val="Heading1"/>
      </w:pPr>
      <w:r>
        <w:t>14. Assessments, marks and report cards</w:t>
      </w:r>
    </w:p>
    <w:p>
      <w:pPr>
        <w:pStyle w:val="Heading2"/>
      </w:pPr>
      <w:r>
        <w:t>Assessment setup</w:t>
      </w:r>
    </w:p>
    <w:p>
      <w:r>
        <w:t>Examinations officer defines assessment, subject, group, maximum mark, weighting, grading scale, entry window and moderation rule.</w:t>
      </w:r>
    </w:p>
    <w:p>
      <w:pPr>
        <w:pStyle w:val="Heading2"/>
      </w:pPr>
      <w:r>
        <w:t>Mark entry</w:t>
      </w:r>
    </w:p>
    <w:p>
      <w:r>
        <w:t>Teacher opens assigned assessment, enters or imports marks, sees validation warnings, saves draft and submits. Blank, absent, exempt and zero are distinct states.</w:t>
      </w:r>
    </w:p>
    <w:p>
      <w:pPr>
        <w:pStyle w:val="Heading2"/>
      </w:pPr>
      <w:r>
        <w:t>Moderation</w:t>
      </w:r>
    </w:p>
    <w:p>
      <w:r>
        <w:t>Department head reviews distribution, missing entries and comments. Corrections are returned to the teacher or changed through an authorised moderated action.</w:t>
      </w:r>
    </w:p>
    <w:p>
      <w:pPr>
        <w:pStyle w:val="Heading2"/>
      </w:pPr>
      <w:r>
        <w:t>Result calculation</w:t>
      </w:r>
    </w:p>
    <w:p>
      <w:r>
        <w:t>System applies approved weightings and grading rules, notifies administrators of anomalies and locks the calculation version.</w:t>
      </w:r>
    </w:p>
    <w:p>
      <w:pPr>
        <w:pStyle w:val="Heading2"/>
      </w:pPr>
      <w:r>
        <w:t>Publication</w:t>
      </w:r>
    </w:p>
    <w:p>
      <w:r>
        <w:t>Principal or delegated approver signs off the cohort. Students and guardians see only published results. Report downloads display the correct school branding and verification reference.</w:t>
      </w:r>
    </w:p>
    <w:p>
      <w:pPr>
        <w:pStyle w:val="Heading2"/>
      </w:pPr>
      <w:r>
        <w:t>Correction after publication</w:t>
      </w:r>
    </w:p>
    <w:p>
      <w:r>
        <w:t>Create a formal correction case, record reason and approval, recalculate the affected report, supersede the old version and notify relevant users.</w:t>
      </w:r>
    </w:p>
    <w:p>
      <w:pPr>
        <w:pStyle w:val="Heading1"/>
      </w:pPr>
      <w:r>
        <w:t>15. Learning centre and course materials</w:t>
      </w:r>
    </w:p>
    <w:p>
      <w:pPr>
        <w:pStyle w:val="Heading2"/>
      </w:pPr>
      <w:r>
        <w:t>Post material</w:t>
      </w:r>
    </w:p>
    <w:p>
      <w:r>
        <w:t>Teacher selects course/class, chooses material type, adds title and instructions, uploads or links approved content, sets availability and audience, previews student view and publishes.</w:t>
      </w:r>
    </w:p>
    <w:p>
      <w:pPr>
        <w:pStyle w:val="Heading2"/>
      </w:pPr>
      <w:r>
        <w:t>Post assignment</w:t>
      </w:r>
    </w:p>
    <w:p>
      <w:r>
        <w:t>Teacher adds instructions, rubric, allowed file types, due date, late policy and group/individual setting. Students receive the task in their dashboard.</w:t>
      </w:r>
    </w:p>
    <w:p>
      <w:pPr>
        <w:pStyle w:val="Heading2"/>
      </w:pPr>
      <w:r>
        <w:t>Student submission</w:t>
      </w:r>
    </w:p>
    <w:p>
      <w:r>
        <w:t>Student opens the task, reviews requirements, uploads or enters work, confirms originality statement where configured and submits. A timestamped receipt is shown.</w:t>
      </w:r>
    </w:p>
    <w:p>
      <w:pPr>
        <w:pStyle w:val="Heading2"/>
      </w:pPr>
      <w:r>
        <w:t>Mark and feedback</w:t>
      </w:r>
    </w:p>
    <w:p>
      <w:r>
        <w:t>Teacher opens submissions, uses rubric/comments, records score, saves drafts and releases feedback. Students cannot see peers’ work unless deliberately enabled for a learning activity.</w:t>
      </w:r>
    </w:p>
    <w:p>
      <w:pPr>
        <w:pStyle w:val="Heading2"/>
      </w:pPr>
      <w:r>
        <w:t>Training videos</w:t>
      </w:r>
    </w:p>
    <w:p>
      <w:r>
        <w:t>Administrators publish role-specific videos with captions or transcripts, progress tracking and a short knowledge check where required.</w:t>
      </w:r>
    </w:p>
    <w:p>
      <w:pPr>
        <w:pStyle w:val="Heading1"/>
      </w:pPr>
      <w:r>
        <w:t>16. Messaging and announcements</w:t>
      </w:r>
    </w:p>
    <w:p>
      <w:pPr>
        <w:pStyle w:val="Heading2"/>
      </w:pPr>
      <w:r>
        <w:t>Teacher posts a class message</w:t>
      </w:r>
    </w:p>
    <w:p>
      <w:r>
        <w:t>Open Messages &gt; New message; choose an assigned class or subject; enter a clear subject and body; optionally attach an approved file; choose portal, email or SMS if permitted; preview recipients; schedule or send; review delivery status.</w:t>
      </w:r>
    </w:p>
    <w:p>
      <w:pPr>
        <w:pStyle w:val="Heading2"/>
      </w:pPr>
      <w:r>
        <w:t>Principal posts a school announcement</w:t>
      </w:r>
    </w:p>
    <w:p>
      <w:r>
        <w:t>Open Communication Centre &gt; Announcement; choose whole school, campus, staff, guardians, students or selected groups; select priority and expiry; add translated versions if available; require acknowledgement if important; preview; approve or publish; monitor delivery and acknowledgements.</w:t>
      </w:r>
    </w:p>
    <w:p>
      <w:pPr>
        <w:pStyle w:val="Heading2"/>
      </w:pPr>
      <w:r>
        <w:t>Private conversation</w:t>
      </w:r>
    </w:p>
    <w:p>
      <w:r>
        <w:t>A user starts only with recipients allowed by school policy. Messages are retained, reportable and subject to moderation. Student-to-student messaging is off by default.</w:t>
      </w:r>
    </w:p>
    <w:p>
      <w:pPr>
        <w:pStyle w:val="Heading2"/>
      </w:pPr>
      <w:r>
        <w:t>Emergency notice</w:t>
      </w:r>
    </w:p>
    <w:p>
      <w:r>
        <w:t>Only authorised leaders can use emergency priority. The notice displays prominently, sends configured channels and requires a resolution/expiry update.</w:t>
      </w:r>
    </w:p>
    <w:p>
      <w:pPr>
        <w:pStyle w:val="Heading2"/>
      </w:pPr>
      <w:r>
        <w:t>Message governance</w:t>
      </w:r>
    </w:p>
    <w:p>
      <w:r>
        <w:t>Recipient lists are calculated server-side. Users never download hidden contact lists merely to send a message. Templates, rate limits, prohibited-content reporting and audit records apply.</w:t>
      </w:r>
    </w:p>
    <w:p>
      <w:pPr>
        <w:pStyle w:val="Heading1"/>
      </w:pPr>
      <w:r>
        <w:t>17. Fees, invoices and payments</w:t>
      </w:r>
    </w:p>
    <w:p>
      <w:pPr>
        <w:pStyle w:val="Heading2"/>
      </w:pPr>
      <w:r>
        <w:t>Configure fees</w:t>
      </w:r>
    </w:p>
    <w:p>
      <w:r>
        <w:t>Bursar defines charge categories, amounts, academic period, affected programmes, optional/mandatory state, due dates, discounts and approval.</w:t>
      </w:r>
    </w:p>
    <w:p>
      <w:pPr>
        <w:pStyle w:val="Heading2"/>
      </w:pPr>
      <w:r>
        <w:t>Raise invoices</w:t>
      </w:r>
    </w:p>
    <w:p>
      <w:r>
        <w:t>System or bursar creates student ledger charges from approved rules. Each charge has a reference; changing a fee uses adjustment entries rather than overwriting history.</w:t>
      </w:r>
    </w:p>
    <w:p>
      <w:pPr>
        <w:pStyle w:val="Heading2"/>
      </w:pPr>
      <w:r>
        <w:t>Cash/bank payment</w:t>
      </w:r>
    </w:p>
    <w:p>
      <w:r>
        <w:t>Authorised cashier records source, reference and amount; the system allocates according to school policy and generates a numbered receipt. Supervisor reconciles daily totals.</w:t>
      </w:r>
    </w:p>
    <w:p>
      <w:pPr>
        <w:pStyle w:val="Heading2"/>
      </w:pPr>
      <w:r>
        <w:t>Mobile money payment</w:t>
      </w:r>
    </w:p>
    <w:p>
      <w:r>
        <w:t>Guardian chooses Pay, provider and amount; payment partner returns a trusted status. Only verified callback data marks a payment successful; screenshots are not treated as settlement.</w:t>
      </w:r>
    </w:p>
    <w:p>
      <w:pPr>
        <w:pStyle w:val="Heading2"/>
      </w:pPr>
      <w:r>
        <w:t>Reversal/refund</w:t>
      </w:r>
    </w:p>
    <w:p>
      <w:r>
        <w:t>User requests reversal with reason and evidence. A separate approver authorises it. The ledger posts a reversing event and preserves the original transaction.</w:t>
      </w:r>
    </w:p>
    <w:p>
      <w:pPr>
        <w:pStyle w:val="Heading2"/>
      </w:pPr>
      <w:r>
        <w:t>Statement and arrears</w:t>
      </w:r>
    </w:p>
    <w:p>
      <w:r>
        <w:t>Guardians see opening balance, charges, payments, adjustments and closing balance for linked children. Collection messages use approved tone and privacy-safe recipient data.</w:t>
      </w:r>
    </w:p>
    <w:p>
      <w:pPr>
        <w:pStyle w:val="Heading1"/>
      </w:pPr>
      <w:r>
        <w:t>18. Library</w:t>
      </w:r>
    </w:p>
    <w:p>
      <w:pPr>
        <w:pStyle w:val="Heading2"/>
      </w:pPr>
      <w:r>
        <w:t>Catalogue</w:t>
      </w:r>
    </w:p>
    <w:p>
      <w:r>
        <w:t>Librarian creates titles, copies, identifiers, authors, categories, location and condition. Bulk imports are validated.</w:t>
      </w:r>
    </w:p>
    <w:p>
      <w:pPr>
        <w:pStyle w:val="Heading2"/>
      </w:pPr>
      <w:r>
        <w:t>Issue item</w:t>
      </w:r>
    </w:p>
    <w:p>
      <w:r>
        <w:t>Scan or select borrower and copy, check eligibility and due date, confirm issue and notify borrower.</w:t>
      </w:r>
    </w:p>
    <w:p>
      <w:pPr>
        <w:pStyle w:val="Heading2"/>
      </w:pPr>
      <w:r>
        <w:t>Return item</w:t>
      </w:r>
    </w:p>
    <w:p>
      <w:r>
        <w:t>Record return date and condition, calculate configured overdue consequence and close loan.</w:t>
      </w:r>
    </w:p>
    <w:p>
      <w:pPr>
        <w:pStyle w:val="Heading2"/>
      </w:pPr>
      <w:r>
        <w:t>Inventory</w:t>
      </w:r>
    </w:p>
    <w:p>
      <w:r>
        <w:t>Run stocktake sessions, scan copies, investigate missing items and approve write-offs through controlled workflow.</w:t>
      </w:r>
    </w:p>
    <w:p>
      <w:pPr>
        <w:pStyle w:val="Heading1"/>
      </w:pPr>
      <w:r>
        <w:t>19. Transport</w:t>
      </w:r>
    </w:p>
    <w:p>
      <w:pPr>
        <w:pStyle w:val="Heading2"/>
      </w:pPr>
      <w:r>
        <w:t>Setup</w:t>
      </w:r>
    </w:p>
    <w:p>
      <w:r>
        <w:t>Transport officer records vehicles, capacity, routes, stops, drivers/attendants, required document expiry and service status.</w:t>
      </w:r>
    </w:p>
    <w:p>
      <w:pPr>
        <w:pStyle w:val="Heading2"/>
      </w:pPr>
      <w:r>
        <w:t>Assign learner</w:t>
      </w:r>
    </w:p>
    <w:p>
      <w:r>
        <w:t>Guardian requests or school assigns an eligible route and stop; officer confirms capacity, dates and fee impact.</w:t>
      </w:r>
    </w:p>
    <w:p>
      <w:pPr>
        <w:pStyle w:val="Heading2"/>
      </w:pPr>
      <w:r>
        <w:t>Daily manifest</w:t>
      </w:r>
    </w:p>
    <w:p>
      <w:r>
        <w:t>Authorised staff use the current passenger list and record exceptions. Guardians see only their linked learner’s route information.</w:t>
      </w:r>
    </w:p>
    <w:p>
      <w:pPr>
        <w:pStyle w:val="Heading2"/>
      </w:pPr>
      <w:r>
        <w:t>Incident and maintenance</w:t>
      </w:r>
    </w:p>
    <w:p>
      <w:r>
        <w:t>Vehicle issues remove the vehicle from service, create follow-up tasks and notify affected users through approved channels.</w:t>
      </w:r>
    </w:p>
    <w:p>
      <w:pPr>
        <w:pStyle w:val="Heading1"/>
      </w:pPr>
      <w:r>
        <w:t>20. Staff and human-resource support</w:t>
      </w:r>
    </w:p>
    <w:p>
      <w:pPr>
        <w:pStyle w:val="Heading2"/>
      </w:pPr>
      <w:r>
        <w:t>Staff record</w:t>
      </w:r>
    </w:p>
    <w:p>
      <w:r>
        <w:t>Stores role, department, contacts, employment status, documents and access linkage. Sensitive HR information is separated from ordinary administrator access.</w:t>
      </w:r>
    </w:p>
    <w:p>
      <w:pPr>
        <w:pStyle w:val="Heading2"/>
      </w:pPr>
      <w:r>
        <w:t>Leave</w:t>
      </w:r>
    </w:p>
    <w:p>
      <w:r>
        <w:t>Staff submit request; supervisor and HR apply configured approval; timetable substitution may be triggered after approval.</w:t>
      </w:r>
    </w:p>
    <w:p>
      <w:pPr>
        <w:pStyle w:val="Heading2"/>
      </w:pPr>
      <w:r>
        <w:t>Duty roster</w:t>
      </w:r>
    </w:p>
    <w:p>
      <w:r>
        <w:t>Administrator schedules duties, publishes versions and records changes.</w:t>
      </w:r>
    </w:p>
    <w:p>
      <w:pPr>
        <w:pStyle w:val="Heading2"/>
      </w:pPr>
      <w:r>
        <w:t>Offboarding</w:t>
      </w:r>
    </w:p>
    <w:p>
      <w:r>
        <w:t>HR confirms departure; administrator disables access, transfers owned work, collects equipment status and retains records under policy.</w:t>
      </w:r>
    </w:p>
    <w:p>
      <w:pPr>
        <w:pStyle w:val="Heading1"/>
      </w:pPr>
      <w:r>
        <w:t>21. Wellbeing, discipline and health records</w:t>
      </w:r>
    </w:p>
    <w:p>
      <w:pPr>
        <w:pStyle w:val="Heading2"/>
      </w:pPr>
      <w:r>
        <w:t>Restricted access</w:t>
      </w:r>
    </w:p>
    <w:p>
      <w:r>
        <w:t>These records use separate permissions, enhanced audit and minimal display. A general teacher sees only necessary alerts, not full case notes.</w:t>
      </w:r>
    </w:p>
    <w:p>
      <w:pPr>
        <w:pStyle w:val="Heading2"/>
      </w:pPr>
      <w:r>
        <w:t>Record concern</w:t>
      </w:r>
    </w:p>
    <w:p>
      <w:r>
        <w:t>Authorised staff select a category, record factual observations, assign a case owner and follow school policy. The system supports action tracking, not unqualified diagnosis.</w:t>
      </w:r>
    </w:p>
    <w:p>
      <w:pPr>
        <w:pStyle w:val="Heading2"/>
      </w:pPr>
      <w:r>
        <w:t>Discipline</w:t>
      </w:r>
    </w:p>
    <w:p>
      <w:r>
        <w:t>Incidents, evidence, responses, decisions and appeals are recorded with permissions and retention rules. Mass visibility is prohibited.</w:t>
      </w:r>
    </w:p>
    <w:p>
      <w:pPr>
        <w:pStyle w:val="Heading2"/>
      </w:pPr>
      <w:r>
        <w:t>Health room</w:t>
      </w:r>
    </w:p>
    <w:p>
      <w:r>
        <w:t>Authorised health staff record visits and school-approved care information. Emergency contacts and essential alerts are visible only to roles that need them.</w:t>
      </w:r>
    </w:p>
    <w:p>
      <w:pPr>
        <w:pStyle w:val="Heading1"/>
      </w:pPr>
      <w:r>
        <w:t>22. Reports, analytics and exports</w:t>
      </w:r>
    </w:p>
    <w:p>
      <w:pPr>
        <w:pStyle w:val="Heading2"/>
      </w:pPr>
      <w:r>
        <w:t>Dashboard</w:t>
      </w:r>
    </w:p>
    <w:p>
      <w:r>
        <w:t>Shows role-appropriate indicators with definitions, date filters and source timestamps.</w:t>
      </w:r>
    </w:p>
    <w:p>
      <w:pPr>
        <w:pStyle w:val="Heading2"/>
      </w:pPr>
      <w:r>
        <w:t>Report builder</w:t>
      </w:r>
    </w:p>
    <w:p>
      <w:r>
        <w:t>Authorised user selects approved dataset, filters, columns and format. Highly sensitive fields are unavailable without extra permission.</w:t>
      </w:r>
    </w:p>
    <w:p>
      <w:pPr>
        <w:pStyle w:val="Heading2"/>
      </w:pPr>
      <w:r>
        <w:t>Export</w:t>
      </w:r>
    </w:p>
    <w:p>
      <w:r>
        <w:t>System displays purpose warning, logs requester and filters, watermarks where appropriate and applies download expiry.</w:t>
      </w:r>
    </w:p>
    <w:p>
      <w:pPr>
        <w:pStyle w:val="Heading2"/>
      </w:pPr>
      <w:r>
        <w:t>Scheduled report</w:t>
      </w:r>
    </w:p>
    <w:p>
      <w:r>
        <w:t>Owner selects audience and cadence; recipients must already hold access. A schedule cannot bypass permissions.</w:t>
      </w:r>
    </w:p>
    <w:p>
      <w:pPr>
        <w:pStyle w:val="Heading2"/>
      </w:pPr>
      <w:r>
        <w:t>Data quality</w:t>
      </w:r>
    </w:p>
    <w:p>
      <w:r>
        <w:t>Reports identify missing registers, unmatched payments, duplicate people and incomplete marks for resolution.</w:t>
      </w:r>
    </w:p>
    <w:p>
      <w:pPr>
        <w:pStyle w:val="Heading1"/>
      </w:pPr>
      <w:r>
        <w:t>23. Notifications</w:t>
      </w:r>
    </w:p>
    <w:p>
      <w:pPr>
        <w:pStyle w:val="Heading2"/>
      </w:pPr>
      <w:r>
        <w:t>Preference</w:t>
      </w:r>
    </w:p>
    <w:p>
      <w:r>
        <w:t>Users choose permitted channel preferences; critical institutional notices may follow mandatory policy.</w:t>
      </w:r>
    </w:p>
    <w:p>
      <w:pPr>
        <w:pStyle w:val="Heading2"/>
      </w:pPr>
      <w:r>
        <w:t>Queue</w:t>
      </w:r>
    </w:p>
    <w:p>
      <w:r>
        <w:t>Events create notification jobs with template, locale, recipient, channel and retry policy.</w:t>
      </w:r>
    </w:p>
    <w:p>
      <w:pPr>
        <w:pStyle w:val="Heading2"/>
      </w:pPr>
      <w:r>
        <w:t>Delivery</w:t>
      </w:r>
    </w:p>
    <w:p>
      <w:r>
        <w:t>Provider responses update sent, delivered, failed or unknown states. Staff see summaries, not private provider credentials.</w:t>
      </w:r>
    </w:p>
    <w:p>
      <w:pPr>
        <w:pStyle w:val="Heading2"/>
      </w:pPr>
      <w:r>
        <w:t>Failure</w:t>
      </w:r>
    </w:p>
    <w:p>
      <w:r>
        <w:t>Invalid contacts enter a correction workflow. Repeated failures stop retry loops and create an administrator task.</w:t>
      </w:r>
    </w:p>
    <w:p>
      <w:r>
        <w:br w:type="page"/>
      </w:r>
    </w:p>
    <w:p>
      <w:pPr>
        <w:pStyle w:val="Heading1"/>
      </w:pPr>
      <w:r>
        <w:t>24. Detailed daily operating routines</w:t>
      </w:r>
    </w:p>
    <w:p>
      <w:pPr>
        <w:pStyle w:val="Heading2"/>
      </w:pPr>
      <w:r>
        <w:t>Teacher — start of day</w:t>
      </w:r>
    </w:p>
    <w:p>
      <w:pPr>
        <w:pStyle w:val="ListNumber"/>
        <w:numPr>
          <w:ilvl w:val="0"/>
          <w:numId w:val="15"/>
        </w:numPr>
      </w:pPr>
      <w:r>
        <w:t>Sign in and confirm the institution and role shown.</w:t>
      </w:r>
    </w:p>
    <w:p>
      <w:pPr>
        <w:pStyle w:val="ListNumber"/>
        <w:numPr>
          <w:ilvl w:val="0"/>
          <w:numId w:val="15"/>
        </w:numPr>
      </w:pPr>
      <w:r>
        <w:t>Review Today for lessons, substitutions, notices and outstanding registers.</w:t>
      </w:r>
    </w:p>
    <w:p>
      <w:pPr>
        <w:pStyle w:val="ListNumber"/>
        <w:numPr>
          <w:ilvl w:val="0"/>
          <w:numId w:val="15"/>
        </w:numPr>
      </w:pPr>
      <w:r>
        <w:t>Open each scheduled class only when it begins; do not reuse yesterday’s register.</w:t>
      </w:r>
    </w:p>
    <w:p>
      <w:pPr>
        <w:pStyle w:val="ListNumber"/>
        <w:numPr>
          <w:ilvl w:val="0"/>
          <w:numId w:val="15"/>
        </w:numPr>
      </w:pPr>
      <w:r>
        <w:t>Record attendance, teaching progress and assigned follow-ups.</w:t>
      </w:r>
    </w:p>
    <w:p>
      <w:pPr>
        <w:pStyle w:val="ListNumber"/>
        <w:numPr>
          <w:ilvl w:val="0"/>
          <w:numId w:val="15"/>
        </w:numPr>
      </w:pPr>
      <w:r>
        <w:t>Before leaving, submit drafts, review messages and confirm no student data was downloaded to a shared device.</w:t>
      </w:r>
    </w:p>
    <w:p>
      <w:pPr>
        <w:pStyle w:val="Heading2"/>
      </w:pPr>
      <w:r>
        <w:t>Student — normal school day</w:t>
      </w:r>
    </w:p>
    <w:p>
      <w:pPr>
        <w:pStyle w:val="ListNumber"/>
        <w:numPr>
          <w:ilvl w:val="0"/>
          <w:numId w:val="16"/>
        </w:numPr>
      </w:pPr>
      <w:r>
        <w:t>Sign in with personal credentials; never share a password.</w:t>
      </w:r>
    </w:p>
    <w:p>
      <w:pPr>
        <w:pStyle w:val="ListNumber"/>
        <w:numPr>
          <w:ilvl w:val="0"/>
          <w:numId w:val="16"/>
        </w:numPr>
      </w:pPr>
      <w:r>
        <w:t>Review Today for timetable changes, assignments and notices.</w:t>
      </w:r>
    </w:p>
    <w:p>
      <w:pPr>
        <w:pStyle w:val="ListNumber"/>
        <w:numPr>
          <w:ilvl w:val="0"/>
          <w:numId w:val="16"/>
        </w:numPr>
      </w:pPr>
      <w:r>
        <w:t>Open course material only from enrolled subjects.</w:t>
      </w:r>
    </w:p>
    <w:p>
      <w:pPr>
        <w:pStyle w:val="ListNumber"/>
        <w:numPr>
          <w:ilvl w:val="0"/>
          <w:numId w:val="16"/>
        </w:numPr>
      </w:pPr>
      <w:r>
        <w:t>Submit work before the deadline and keep the submission receipt.</w:t>
      </w:r>
    </w:p>
    <w:p>
      <w:pPr>
        <w:pStyle w:val="ListNumber"/>
        <w:numPr>
          <w:ilvl w:val="0"/>
          <w:numId w:val="16"/>
        </w:numPr>
      </w:pPr>
      <w:r>
        <w:t>Use Request correction if a result, attendance entry or profile fact appears wrong.</w:t>
      </w:r>
    </w:p>
    <w:p>
      <w:pPr>
        <w:pStyle w:val="Heading2"/>
      </w:pPr>
      <w:r>
        <w:t>Guardian — weekly review</w:t>
      </w:r>
    </w:p>
    <w:p>
      <w:pPr>
        <w:pStyle w:val="ListNumber"/>
        <w:numPr>
          <w:ilvl w:val="0"/>
          <w:numId w:val="17"/>
        </w:numPr>
      </w:pPr>
      <w:r>
        <w:t>Choose the correct child in the portal.</w:t>
      </w:r>
    </w:p>
    <w:p>
      <w:pPr>
        <w:pStyle w:val="ListNumber"/>
        <w:numPr>
          <w:ilvl w:val="0"/>
          <w:numId w:val="17"/>
        </w:numPr>
      </w:pPr>
      <w:r>
        <w:t>Review attendance, notices, assignments, published performance and fee statement.</w:t>
      </w:r>
    </w:p>
    <w:p>
      <w:pPr>
        <w:pStyle w:val="ListNumber"/>
        <w:numPr>
          <w:ilvl w:val="0"/>
          <w:numId w:val="17"/>
        </w:numPr>
      </w:pPr>
      <w:r>
        <w:t>Acknowledge required notices and update only permitted contact preferences.</w:t>
      </w:r>
    </w:p>
    <w:p>
      <w:pPr>
        <w:pStyle w:val="ListNumber"/>
        <w:numPr>
          <w:ilvl w:val="0"/>
          <w:numId w:val="17"/>
        </w:numPr>
      </w:pPr>
      <w:r>
        <w:t>Use structured message/request tools instead of contacting unauthorised personal numbers.</w:t>
      </w:r>
    </w:p>
    <w:p>
      <w:pPr>
        <w:pStyle w:val="ListNumber"/>
        <w:numPr>
          <w:ilvl w:val="0"/>
          <w:numId w:val="17"/>
        </w:numPr>
      </w:pPr>
      <w:r>
        <w:t>Report an incorrect guardian link or suspicious access immediately.</w:t>
      </w:r>
    </w:p>
    <w:p>
      <w:pPr>
        <w:pStyle w:val="Heading2"/>
      </w:pPr>
      <w:r>
        <w:t>School administrator — daily control</w:t>
      </w:r>
    </w:p>
    <w:p>
      <w:pPr>
        <w:pStyle w:val="ListNumber"/>
        <w:numPr>
          <w:ilvl w:val="0"/>
          <w:numId w:val="18"/>
        </w:numPr>
      </w:pPr>
      <w:r>
        <w:t>Review failed logins, pending invitations, missing registers, delivery failures and data-quality alerts.</w:t>
      </w:r>
    </w:p>
    <w:p>
      <w:pPr>
        <w:pStyle w:val="ListNumber"/>
        <w:numPr>
          <w:ilvl w:val="0"/>
          <w:numId w:val="18"/>
        </w:numPr>
      </w:pPr>
      <w:r>
        <w:t>Resolve user and configuration requests using least privilege.</w:t>
      </w:r>
    </w:p>
    <w:p>
      <w:pPr>
        <w:pStyle w:val="ListNumber"/>
        <w:numPr>
          <w:ilvl w:val="0"/>
          <w:numId w:val="18"/>
        </w:numPr>
      </w:pPr>
      <w:r>
        <w:t>Confirm scheduled jobs and integrations are healthy.</w:t>
      </w:r>
    </w:p>
    <w:p>
      <w:pPr>
        <w:pStyle w:val="ListNumber"/>
        <w:numPr>
          <w:ilvl w:val="0"/>
          <w:numId w:val="18"/>
        </w:numPr>
      </w:pPr>
      <w:r>
        <w:t>Review sensitive audit exceptions and escalate suspicious activity.</w:t>
      </w:r>
    </w:p>
    <w:p>
      <w:pPr>
        <w:pStyle w:val="ListNumber"/>
        <w:numPr>
          <w:ilvl w:val="0"/>
          <w:numId w:val="18"/>
        </w:numPr>
      </w:pPr>
      <w:r>
        <w:t>Record operational incidents and hand over unresolved items.</w:t>
      </w:r>
    </w:p>
    <w:p>
      <w:pPr>
        <w:pStyle w:val="Heading2"/>
      </w:pPr>
      <w:r>
        <w:t>Bursar — end of day</w:t>
      </w:r>
    </w:p>
    <w:p>
      <w:pPr>
        <w:pStyle w:val="ListNumber"/>
        <w:numPr>
          <w:ilvl w:val="0"/>
          <w:numId w:val="19"/>
        </w:numPr>
      </w:pPr>
      <w:r>
        <w:t>Reconcile platform receipts against cash, bank and payment-provider totals.</w:t>
      </w:r>
    </w:p>
    <w:p>
      <w:pPr>
        <w:pStyle w:val="ListNumber"/>
        <w:numPr>
          <w:ilvl w:val="0"/>
          <w:numId w:val="19"/>
        </w:numPr>
      </w:pPr>
      <w:r>
        <w:t>Investigate unmatched, duplicate or reversed transactions.</w:t>
      </w:r>
    </w:p>
    <w:p>
      <w:pPr>
        <w:pStyle w:val="ListNumber"/>
        <w:numPr>
          <w:ilvl w:val="0"/>
          <w:numId w:val="19"/>
        </w:numPr>
      </w:pPr>
      <w:r>
        <w:t>Lock the cashier session and obtain supervisor review.</w:t>
      </w:r>
    </w:p>
    <w:p>
      <w:pPr>
        <w:pStyle w:val="ListNumber"/>
        <w:numPr>
          <w:ilvl w:val="0"/>
          <w:numId w:val="19"/>
        </w:numPr>
      </w:pPr>
      <w:r>
        <w:t>Export only the approved reconciliation summary to an authorised location.</w:t>
      </w:r>
    </w:p>
    <w:p>
      <w:pPr>
        <w:pStyle w:val="ListNumber"/>
        <w:numPr>
          <w:ilvl w:val="0"/>
          <w:numId w:val="19"/>
        </w:numPr>
      </w:pPr>
      <w:r>
        <w:t>Escalate discrepancies before posting manual adjustments.</w:t>
      </w:r>
    </w:p>
    <w:p>
      <w:pPr>
        <w:pStyle w:val="Heading1"/>
      </w:pPr>
      <w:r>
        <w:t>25. School administration and configuration</w:t>
      </w:r>
    </w:p>
    <w:p>
      <w:pPr>
        <w:pStyle w:val="Heading2"/>
      </w:pPr>
      <w:r>
        <w:t>Create a user</w:t>
      </w:r>
    </w:p>
    <w:p>
      <w:pPr>
        <w:pStyle w:val="ListNumber"/>
        <w:numPr>
          <w:ilvl w:val="0"/>
          <w:numId w:val="20"/>
        </w:numPr>
      </w:pPr>
      <w:r>
        <w:t>Search for an existing person to avoid duplicates.</w:t>
      </w:r>
    </w:p>
    <w:p>
      <w:pPr>
        <w:pStyle w:val="ListNumber"/>
        <w:numPr>
          <w:ilvl w:val="0"/>
          <w:numId w:val="20"/>
        </w:numPr>
      </w:pPr>
      <w:r>
        <w:t>Create or verify profile details from authorised source data.</w:t>
      </w:r>
    </w:p>
    <w:p>
      <w:pPr>
        <w:pStyle w:val="ListNumber"/>
        <w:numPr>
          <w:ilvl w:val="0"/>
          <w:numId w:val="20"/>
        </w:numPr>
      </w:pPr>
      <w:r>
        <w:t>Assign institution, role, scope and effective dates.</w:t>
      </w:r>
    </w:p>
    <w:p>
      <w:pPr>
        <w:pStyle w:val="ListNumber"/>
        <w:numPr>
          <w:ilvl w:val="0"/>
          <w:numId w:val="20"/>
        </w:numPr>
      </w:pPr>
      <w:r>
        <w:t>Choose invitation channel and send.</w:t>
      </w:r>
    </w:p>
    <w:p>
      <w:pPr>
        <w:pStyle w:val="ListNumber"/>
        <w:numPr>
          <w:ilvl w:val="0"/>
          <w:numId w:val="20"/>
        </w:numPr>
      </w:pPr>
      <w:r>
        <w:t>Confirm activation and remove any temporary permissions.</w:t>
      </w:r>
    </w:p>
    <w:p>
      <w:pPr>
        <w:pStyle w:val="Heading2"/>
      </w:pPr>
      <w:r>
        <w:t>Change permissions</w:t>
      </w:r>
    </w:p>
    <w:p>
      <w:pPr>
        <w:pStyle w:val="ListNumber"/>
        <w:numPr>
          <w:ilvl w:val="0"/>
          <w:numId w:val="21"/>
        </w:numPr>
      </w:pPr>
      <w:r>
        <w:t>Receive an approved request naming business purpose.</w:t>
      </w:r>
    </w:p>
    <w:p>
      <w:pPr>
        <w:pStyle w:val="ListNumber"/>
        <w:numPr>
          <w:ilvl w:val="0"/>
          <w:numId w:val="21"/>
        </w:numPr>
      </w:pPr>
      <w:r>
        <w:t>Compare current and proposed role scopes.</w:t>
      </w:r>
    </w:p>
    <w:p>
      <w:pPr>
        <w:pStyle w:val="ListNumber"/>
        <w:numPr>
          <w:ilvl w:val="0"/>
          <w:numId w:val="21"/>
        </w:numPr>
      </w:pPr>
      <w:r>
        <w:t>Apply the minimum change with expiry where possible.</w:t>
      </w:r>
    </w:p>
    <w:p>
      <w:pPr>
        <w:pStyle w:val="ListNumber"/>
        <w:numPr>
          <w:ilvl w:val="0"/>
          <w:numId w:val="21"/>
        </w:numPr>
      </w:pPr>
      <w:r>
        <w:t>Record approval reference and reason.</w:t>
      </w:r>
    </w:p>
    <w:p>
      <w:pPr>
        <w:pStyle w:val="ListNumber"/>
        <w:numPr>
          <w:ilvl w:val="0"/>
          <w:numId w:val="21"/>
        </w:numPr>
      </w:pPr>
      <w:r>
        <w:t>Notify the user and include the change in the next access review.</w:t>
      </w:r>
    </w:p>
    <w:p>
      <w:pPr>
        <w:pStyle w:val="Heading2"/>
      </w:pPr>
      <w:r>
        <w:t>Close an academic term</w:t>
      </w:r>
    </w:p>
    <w:p>
      <w:pPr>
        <w:pStyle w:val="ListNumber"/>
        <w:numPr>
          <w:ilvl w:val="0"/>
          <w:numId w:val="22"/>
        </w:numPr>
      </w:pPr>
      <w:r>
        <w:t>Confirm registers, marks, finance cut-offs and outstanding exceptions.</w:t>
      </w:r>
    </w:p>
    <w:p>
      <w:pPr>
        <w:pStyle w:val="ListNumber"/>
        <w:numPr>
          <w:ilvl w:val="0"/>
          <w:numId w:val="22"/>
        </w:numPr>
      </w:pPr>
      <w:r>
        <w:t>Move period to review state.</w:t>
      </w:r>
    </w:p>
    <w:p>
      <w:pPr>
        <w:pStyle w:val="ListNumber"/>
        <w:numPr>
          <w:ilvl w:val="0"/>
          <w:numId w:val="22"/>
        </w:numPr>
      </w:pPr>
      <w:r>
        <w:t>Obtain academic and leadership approvals.</w:t>
      </w:r>
    </w:p>
    <w:p>
      <w:pPr>
        <w:pStyle w:val="ListNumber"/>
        <w:numPr>
          <w:ilvl w:val="0"/>
          <w:numId w:val="22"/>
        </w:numPr>
      </w:pPr>
      <w:r>
        <w:t>Publish approved reports and archive the calculation version.</w:t>
      </w:r>
    </w:p>
    <w:p>
      <w:pPr>
        <w:pStyle w:val="ListNumber"/>
        <w:numPr>
          <w:ilvl w:val="0"/>
          <w:numId w:val="22"/>
        </w:numPr>
      </w:pPr>
      <w:r>
        <w:t>Lock ordinary editing and open correction workflows.</w:t>
      </w:r>
    </w:p>
    <w:p>
      <w:pPr>
        <w:pStyle w:val="Heading2"/>
      </w:pPr>
      <w:r>
        <w:t>Configure a new term</w:t>
      </w:r>
    </w:p>
    <w:p>
      <w:pPr>
        <w:pStyle w:val="ListNumber"/>
        <w:numPr>
          <w:ilvl w:val="0"/>
          <w:numId w:val="23"/>
        </w:numPr>
      </w:pPr>
      <w:r>
        <w:t>Create dates and teaching weeks.</w:t>
      </w:r>
    </w:p>
    <w:p>
      <w:pPr>
        <w:pStyle w:val="ListNumber"/>
        <w:numPr>
          <w:ilvl w:val="0"/>
          <w:numId w:val="23"/>
        </w:numPr>
      </w:pPr>
      <w:r>
        <w:t>Copy or create classes, subjects and fee rules.</w:t>
      </w:r>
    </w:p>
    <w:p>
      <w:pPr>
        <w:pStyle w:val="ListNumber"/>
        <w:numPr>
          <w:ilvl w:val="0"/>
          <w:numId w:val="23"/>
        </w:numPr>
      </w:pPr>
      <w:r>
        <w:t>Update enrolments and staff allocations.</w:t>
      </w:r>
    </w:p>
    <w:p>
      <w:pPr>
        <w:pStyle w:val="ListNumber"/>
        <w:numPr>
          <w:ilvl w:val="0"/>
          <w:numId w:val="23"/>
        </w:numPr>
      </w:pPr>
      <w:r>
        <w:t>Build and validate timetable.</w:t>
      </w:r>
    </w:p>
    <w:p>
      <w:pPr>
        <w:pStyle w:val="ListNumber"/>
        <w:numPr>
          <w:ilvl w:val="0"/>
          <w:numId w:val="23"/>
        </w:numPr>
      </w:pPr>
      <w:r>
        <w:t>Test representative portals before publishing.</w:t>
      </w:r>
    </w:p>
    <w:p>
      <w:pPr>
        <w:pStyle w:val="Heading1"/>
      </w:pPr>
      <w:r>
        <w:t>26. Platform administration by Avatar Solutions</w:t>
      </w:r>
    </w:p>
    <w:p>
      <w:pPr>
        <w:pStyle w:val="ListBullet"/>
      </w:pPr>
      <w:r>
        <w:t>Provision, suspend and retire tenants through controlled lifecycle states.</w:t>
      </w:r>
    </w:p>
    <w:p>
      <w:pPr>
        <w:pStyle w:val="ListBullet"/>
      </w:pPr>
      <w:r>
        <w:t>Operate subscription entitlements without exposing one school’s data to another.</w:t>
      </w:r>
    </w:p>
    <w:p>
      <w:pPr>
        <w:pStyle w:val="ListBullet"/>
      </w:pPr>
      <w:r>
        <w:t>Maintain environment separation for development, test, staging and production.</w:t>
      </w:r>
    </w:p>
    <w:p>
      <w:pPr>
        <w:pStyle w:val="ListBullet"/>
      </w:pPr>
      <w:r>
        <w:t>Use ticketed, time-bound and audited support access; obtain school authorisation when content access is required.</w:t>
      </w:r>
    </w:p>
    <w:p>
      <w:pPr>
        <w:pStyle w:val="ListBullet"/>
      </w:pPr>
      <w:r>
        <w:t>Manage releases, migrations, backups, monitoring, incident response, provider credentials and security patches.</w:t>
      </w:r>
    </w:p>
    <w:p>
      <w:pPr>
        <w:pStyle w:val="ListBullet"/>
      </w:pPr>
      <w:r>
        <w:t>Publish service-status and maintenance notices appropriate to affected tenants.</w:t>
      </w:r>
    </w:p>
    <w:p>
      <w:pPr>
        <w:pStyle w:val="ListBullet"/>
      </w:pPr>
      <w:r>
        <w:t>Never use production student data for casual demonstrations, development or staff training.</w:t>
      </w:r>
    </w:p>
    <w:p>
      <w:pPr>
        <w:pStyle w:val="Heading1"/>
      </w:pPr>
      <w:r>
        <w:t>27. Technical architecture specification</w:t>
      </w:r>
    </w:p>
    <w:p>
      <w:r>
        <w:t>The production system should use a modular web application with a responsive client, authenticated API layer, relational database, object storage, background job queue and audited integration services. The exact vendor stack may change, but the controls below are mandatory.</w:t>
      </w:r>
    </w:p>
    <w:tbl>
      <w:tblPr>
        <w:tblStyle w:val="TableGrid"/>
        <w:tblW w:type="dxa" w:w="9360"/>
        <w:jc w:val="left"/>
        <w:tblLayout w:type="fixed"/>
        <w:tblLook w:firstColumn="1" w:firstRow="1" w:lastColumn="0" w:lastRow="0" w:noHBand="0" w:noVBand="1" w:val="04A0"/>
        <w:tblInd w:w="120" w:type="dxa"/>
      </w:tblPr>
      <w:tblGrid>
        <w:gridCol w:w="1550"/>
        <w:gridCol w:w="2800"/>
        <w:gridCol w:w="5010"/>
      </w:tblGrid>
      <w:tr>
        <w:tc>
          <w:tcPr>
            <w:tcW w:type="dxa" w:w="1550"/>
            <w:shd w:fill="173C31"/>
            <w:tcMar>
              <w:top w:w="80" w:type="dxa"/>
              <w:start w:w="120" w:type="dxa"/>
              <w:bottom w:w="80" w:type="dxa"/>
              <w:end w:w="120" w:type="dxa"/>
            </w:tcMar>
          </w:tcPr>
          <w:p>
            <w:r>
              <w:rPr>
                <w:b/>
                <w:color w:val="FFFFFF"/>
                <w:sz w:val="17"/>
              </w:rPr>
              <w:t>Layer</w:t>
            </w:r>
          </w:p>
        </w:tc>
        <w:tc>
          <w:tcPr>
            <w:tcW w:type="dxa" w:w="2800"/>
            <w:shd w:fill="173C31"/>
            <w:tcMar>
              <w:top w:w="80" w:type="dxa"/>
              <w:start w:w="120" w:type="dxa"/>
              <w:bottom w:w="80" w:type="dxa"/>
              <w:end w:w="120" w:type="dxa"/>
            </w:tcMar>
          </w:tcPr>
          <w:p>
            <w:r>
              <w:rPr>
                <w:b/>
                <w:color w:val="FFFFFF"/>
                <w:sz w:val="17"/>
              </w:rPr>
              <w:t>Responsibility</w:t>
            </w:r>
          </w:p>
        </w:tc>
        <w:tc>
          <w:tcPr>
            <w:tcW w:type="dxa" w:w="5010"/>
            <w:shd w:fill="173C31"/>
            <w:tcMar>
              <w:top w:w="80" w:type="dxa"/>
              <w:start w:w="120" w:type="dxa"/>
              <w:bottom w:w="80" w:type="dxa"/>
              <w:end w:w="120" w:type="dxa"/>
            </w:tcMar>
          </w:tcPr>
          <w:p>
            <w:r>
              <w:rPr>
                <w:b/>
                <w:color w:val="FFFFFF"/>
                <w:sz w:val="17"/>
              </w:rPr>
              <w:t>Required characteristics</w:t>
            </w:r>
          </w:p>
        </w:tc>
      </w:tr>
      <w:tr>
        <w:tc>
          <w:tcPr>
            <w:tcW w:type="dxa" w:w="1550"/>
            <w:vAlign w:val="center"/>
            <w:tcMar>
              <w:top w:w="80" w:type="dxa"/>
              <w:start w:w="120" w:type="dxa"/>
              <w:bottom w:w="80" w:type="dxa"/>
              <w:end w:w="120" w:type="dxa"/>
            </w:tcMar>
          </w:tcPr>
          <w:p>
            <w:pPr>
              <w:spacing w:after="0"/>
            </w:pPr>
            <w:r>
              <w:rPr>
                <w:rFonts w:ascii="Calibri" w:hAnsi="Calibri"/>
                <w:sz w:val="16"/>
              </w:rPr>
              <w:t>Web/mobile client</w:t>
            </w:r>
          </w:p>
        </w:tc>
        <w:tc>
          <w:tcPr>
            <w:tcW w:type="dxa" w:w="2800"/>
            <w:vAlign w:val="center"/>
            <w:tcMar>
              <w:top w:w="80" w:type="dxa"/>
              <w:start w:w="120" w:type="dxa"/>
              <w:bottom w:w="80" w:type="dxa"/>
              <w:end w:w="120" w:type="dxa"/>
            </w:tcMar>
          </w:tcPr>
          <w:p>
            <w:pPr>
              <w:spacing w:after="0"/>
            </w:pPr>
            <w:r>
              <w:rPr>
                <w:rFonts w:ascii="Calibri" w:hAnsi="Calibri"/>
                <w:sz w:val="16"/>
              </w:rPr>
              <w:t>Role-based user experience</w:t>
            </w:r>
          </w:p>
        </w:tc>
        <w:tc>
          <w:tcPr>
            <w:tcW w:type="dxa" w:w="5010"/>
            <w:vAlign w:val="center"/>
            <w:tcMar>
              <w:top w:w="80" w:type="dxa"/>
              <w:start w:w="120" w:type="dxa"/>
              <w:bottom w:w="80" w:type="dxa"/>
              <w:end w:w="120" w:type="dxa"/>
            </w:tcMar>
          </w:tcPr>
          <w:p>
            <w:pPr>
              <w:spacing w:after="0"/>
            </w:pPr>
            <w:r>
              <w:rPr>
                <w:rFonts w:ascii="Calibri" w:hAnsi="Calibri"/>
                <w:sz w:val="16"/>
              </w:rPr>
              <w:t>Responsive, accessible, low-bandwidth, session-safe, no secrets embedded</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API/application services</w:t>
            </w:r>
          </w:p>
        </w:tc>
        <w:tc>
          <w:tcPr>
            <w:tcW w:type="dxa" w:w="2800"/>
            <w:vAlign w:val="center"/>
            <w:shd w:fill="F5F7F4"/>
            <w:tcMar>
              <w:top w:w="80" w:type="dxa"/>
              <w:start w:w="120" w:type="dxa"/>
              <w:bottom w:w="80" w:type="dxa"/>
              <w:end w:w="120" w:type="dxa"/>
            </w:tcMar>
          </w:tcPr>
          <w:p>
            <w:pPr>
              <w:spacing w:after="0"/>
            </w:pPr>
            <w:r>
              <w:rPr>
                <w:rFonts w:ascii="Calibri" w:hAnsi="Calibri"/>
                <w:sz w:val="16"/>
              </w:rPr>
              <w:t>Business rules and authorisation</w:t>
            </w:r>
          </w:p>
        </w:tc>
        <w:tc>
          <w:tcPr>
            <w:tcW w:type="dxa" w:w="5010"/>
            <w:vAlign w:val="center"/>
            <w:shd w:fill="F5F7F4"/>
            <w:tcMar>
              <w:top w:w="80" w:type="dxa"/>
              <w:start w:w="120" w:type="dxa"/>
              <w:bottom w:w="80" w:type="dxa"/>
              <w:end w:w="120" w:type="dxa"/>
            </w:tcMar>
          </w:tcPr>
          <w:p>
            <w:pPr>
              <w:spacing w:after="0"/>
            </w:pPr>
            <w:r>
              <w:rPr>
                <w:rFonts w:ascii="Calibri" w:hAnsi="Calibri"/>
                <w:sz w:val="16"/>
              </w:rPr>
              <w:t>Server-side permission checks, tenant scoping, validation, idempotency</w:t>
            </w:r>
          </w:p>
        </w:tc>
      </w:tr>
      <w:tr>
        <w:tc>
          <w:tcPr>
            <w:tcW w:type="dxa" w:w="1550"/>
            <w:vAlign w:val="center"/>
            <w:tcMar>
              <w:top w:w="80" w:type="dxa"/>
              <w:start w:w="120" w:type="dxa"/>
              <w:bottom w:w="80" w:type="dxa"/>
              <w:end w:w="120" w:type="dxa"/>
            </w:tcMar>
          </w:tcPr>
          <w:p>
            <w:pPr>
              <w:spacing w:after="0"/>
            </w:pPr>
            <w:r>
              <w:rPr>
                <w:rFonts w:ascii="Calibri" w:hAnsi="Calibri"/>
                <w:sz w:val="16"/>
              </w:rPr>
              <w:t>Relational database</w:t>
            </w:r>
          </w:p>
        </w:tc>
        <w:tc>
          <w:tcPr>
            <w:tcW w:type="dxa" w:w="2800"/>
            <w:vAlign w:val="center"/>
            <w:tcMar>
              <w:top w:w="80" w:type="dxa"/>
              <w:start w:w="120" w:type="dxa"/>
              <w:bottom w:w="80" w:type="dxa"/>
              <w:end w:w="120" w:type="dxa"/>
            </w:tcMar>
          </w:tcPr>
          <w:p>
            <w:pPr>
              <w:spacing w:after="0"/>
            </w:pPr>
            <w:r>
              <w:rPr>
                <w:rFonts w:ascii="Calibri" w:hAnsi="Calibri"/>
                <w:sz w:val="16"/>
              </w:rPr>
              <w:t>Structured records and ledgers</w:t>
            </w:r>
          </w:p>
        </w:tc>
        <w:tc>
          <w:tcPr>
            <w:tcW w:type="dxa" w:w="5010"/>
            <w:vAlign w:val="center"/>
            <w:tcMar>
              <w:top w:w="80" w:type="dxa"/>
              <w:start w:w="120" w:type="dxa"/>
              <w:bottom w:w="80" w:type="dxa"/>
              <w:end w:w="120" w:type="dxa"/>
            </w:tcMar>
          </w:tcPr>
          <w:p>
            <w:pPr>
              <w:spacing w:after="0"/>
            </w:pPr>
            <w:r>
              <w:rPr>
                <w:rFonts w:ascii="Calibri" w:hAnsi="Calibri"/>
                <w:sz w:val="16"/>
              </w:rPr>
              <w:t>Encryption, backups, migrations, constraints, tenant-aware queries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Object storage</w:t>
            </w:r>
          </w:p>
        </w:tc>
        <w:tc>
          <w:tcPr>
            <w:tcW w:type="dxa" w:w="2800"/>
            <w:vAlign w:val="center"/>
            <w:shd w:fill="F5F7F4"/>
            <w:tcMar>
              <w:top w:w="80" w:type="dxa"/>
              <w:start w:w="120" w:type="dxa"/>
              <w:bottom w:w="80" w:type="dxa"/>
              <w:end w:w="120" w:type="dxa"/>
            </w:tcMar>
          </w:tcPr>
          <w:p>
            <w:pPr>
              <w:spacing w:after="0"/>
            </w:pPr>
            <w:r>
              <w:rPr>
                <w:rFonts w:ascii="Calibri" w:hAnsi="Calibri"/>
                <w:sz w:val="16"/>
              </w:rPr>
              <w:t>Documents, videos and submissions</w:t>
            </w:r>
          </w:p>
        </w:tc>
        <w:tc>
          <w:tcPr>
            <w:tcW w:type="dxa" w:w="5010"/>
            <w:vAlign w:val="center"/>
            <w:shd w:fill="F5F7F4"/>
            <w:tcMar>
              <w:top w:w="80" w:type="dxa"/>
              <w:start w:w="120" w:type="dxa"/>
              <w:bottom w:w="80" w:type="dxa"/>
              <w:end w:w="120" w:type="dxa"/>
            </w:tcMar>
          </w:tcPr>
          <w:p>
            <w:pPr>
              <w:spacing w:after="0"/>
            </w:pPr>
            <w:r>
              <w:rPr>
                <w:rFonts w:ascii="Calibri" w:hAnsi="Calibri"/>
                <w:sz w:val="16"/>
              </w:rPr>
              <w:t>Private by default, signed access, malware scanning, retention</w:t>
            </w:r>
          </w:p>
        </w:tc>
      </w:tr>
      <w:tr>
        <w:tc>
          <w:tcPr>
            <w:tcW w:type="dxa" w:w="1550"/>
            <w:vAlign w:val="center"/>
            <w:tcMar>
              <w:top w:w="80" w:type="dxa"/>
              <w:start w:w="120" w:type="dxa"/>
              <w:bottom w:w="80" w:type="dxa"/>
              <w:end w:w="120" w:type="dxa"/>
            </w:tcMar>
          </w:tcPr>
          <w:p>
            <w:pPr>
              <w:spacing w:after="0"/>
            </w:pPr>
            <w:r>
              <w:rPr>
                <w:rFonts w:ascii="Calibri" w:hAnsi="Calibri"/>
                <w:sz w:val="16"/>
              </w:rPr>
              <w:t>Identity service</w:t>
            </w:r>
          </w:p>
        </w:tc>
        <w:tc>
          <w:tcPr>
            <w:tcW w:type="dxa" w:w="2800"/>
            <w:vAlign w:val="center"/>
            <w:tcMar>
              <w:top w:w="80" w:type="dxa"/>
              <w:start w:w="120" w:type="dxa"/>
              <w:bottom w:w="80" w:type="dxa"/>
              <w:end w:w="120" w:type="dxa"/>
            </w:tcMar>
          </w:tcPr>
          <w:p>
            <w:pPr>
              <w:spacing w:after="0"/>
            </w:pPr>
            <w:r>
              <w:rPr>
                <w:rFonts w:ascii="Calibri" w:hAnsi="Calibri"/>
                <w:sz w:val="16"/>
              </w:rPr>
              <w:t>Authentication and session management</w:t>
            </w:r>
          </w:p>
        </w:tc>
        <w:tc>
          <w:tcPr>
            <w:tcW w:type="dxa" w:w="5010"/>
            <w:vAlign w:val="center"/>
            <w:tcMar>
              <w:top w:w="80" w:type="dxa"/>
              <w:start w:w="120" w:type="dxa"/>
              <w:bottom w:w="80" w:type="dxa"/>
              <w:end w:w="120" w:type="dxa"/>
            </w:tcMar>
          </w:tcPr>
          <w:p>
            <w:pPr>
              <w:spacing w:after="0"/>
            </w:pPr>
            <w:r>
              <w:rPr>
                <w:rFonts w:ascii="Calibri" w:hAnsi="Calibri"/>
                <w:sz w:val="16"/>
              </w:rPr>
              <w:t>Secure password hashing, MFA, rate limiting, recovery controls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Job queue</w:t>
            </w:r>
          </w:p>
        </w:tc>
        <w:tc>
          <w:tcPr>
            <w:tcW w:type="dxa" w:w="2800"/>
            <w:vAlign w:val="center"/>
            <w:shd w:fill="F5F7F4"/>
            <w:tcMar>
              <w:top w:w="80" w:type="dxa"/>
              <w:start w:w="120" w:type="dxa"/>
              <w:bottom w:w="80" w:type="dxa"/>
              <w:end w:w="120" w:type="dxa"/>
            </w:tcMar>
          </w:tcPr>
          <w:p>
            <w:pPr>
              <w:spacing w:after="0"/>
            </w:pPr>
            <w:r>
              <w:rPr>
                <w:rFonts w:ascii="Calibri" w:hAnsi="Calibri"/>
                <w:sz w:val="16"/>
              </w:rPr>
              <w:t>Messages, reports, imports and retries</w:t>
            </w:r>
          </w:p>
        </w:tc>
        <w:tc>
          <w:tcPr>
            <w:tcW w:type="dxa" w:w="5010"/>
            <w:vAlign w:val="center"/>
            <w:shd w:fill="F5F7F4"/>
            <w:tcMar>
              <w:top w:w="80" w:type="dxa"/>
              <w:start w:w="120" w:type="dxa"/>
              <w:bottom w:w="80" w:type="dxa"/>
              <w:end w:w="120" w:type="dxa"/>
            </w:tcMar>
          </w:tcPr>
          <w:p>
            <w:pPr>
              <w:spacing w:after="0"/>
            </w:pPr>
            <w:r>
              <w:rPr>
                <w:rFonts w:ascii="Calibri" w:hAnsi="Calibri"/>
                <w:sz w:val="16"/>
              </w:rPr>
              <w:t>Durable jobs, deduplication, retry limits, dead-letter review</w:t>
            </w:r>
          </w:p>
        </w:tc>
      </w:tr>
      <w:tr>
        <w:tc>
          <w:tcPr>
            <w:tcW w:type="dxa" w:w="1550"/>
            <w:vAlign w:val="center"/>
            <w:tcMar>
              <w:top w:w="80" w:type="dxa"/>
              <w:start w:w="120" w:type="dxa"/>
              <w:bottom w:w="80" w:type="dxa"/>
              <w:end w:w="120" w:type="dxa"/>
            </w:tcMar>
          </w:tcPr>
          <w:p>
            <w:pPr>
              <w:spacing w:after="0"/>
            </w:pPr>
            <w:r>
              <w:rPr>
                <w:rFonts w:ascii="Calibri" w:hAnsi="Calibri"/>
                <w:sz w:val="16"/>
              </w:rPr>
              <w:t>Integration gateway</w:t>
            </w:r>
          </w:p>
        </w:tc>
        <w:tc>
          <w:tcPr>
            <w:tcW w:type="dxa" w:w="2800"/>
            <w:vAlign w:val="center"/>
            <w:tcMar>
              <w:top w:w="80" w:type="dxa"/>
              <w:start w:w="120" w:type="dxa"/>
              <w:bottom w:w="80" w:type="dxa"/>
              <w:end w:w="120" w:type="dxa"/>
            </w:tcMar>
          </w:tcPr>
          <w:p>
            <w:pPr>
              <w:spacing w:after="0"/>
            </w:pPr>
            <w:r>
              <w:rPr>
                <w:rFonts w:ascii="Calibri" w:hAnsi="Calibri"/>
                <w:sz w:val="16"/>
              </w:rPr>
              <w:t>SMS, email, payments and external systems</w:t>
            </w:r>
          </w:p>
        </w:tc>
        <w:tc>
          <w:tcPr>
            <w:tcW w:type="dxa" w:w="5010"/>
            <w:vAlign w:val="center"/>
            <w:tcMar>
              <w:top w:w="80" w:type="dxa"/>
              <w:start w:w="120" w:type="dxa"/>
              <w:bottom w:w="80" w:type="dxa"/>
              <w:end w:w="120" w:type="dxa"/>
            </w:tcMar>
          </w:tcPr>
          <w:p>
            <w:pPr>
              <w:spacing w:after="0"/>
            </w:pPr>
            <w:r>
              <w:rPr>
                <w:rFonts w:ascii="Calibri" w:hAnsi="Calibri"/>
                <w:sz w:val="16"/>
              </w:rPr>
              <w:t>Signed callbacks, secret rotation, timeouts, reconciliation</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Observability</w:t>
            </w:r>
          </w:p>
        </w:tc>
        <w:tc>
          <w:tcPr>
            <w:tcW w:type="dxa" w:w="2800"/>
            <w:vAlign w:val="center"/>
            <w:shd w:fill="F5F7F4"/>
            <w:tcMar>
              <w:top w:w="80" w:type="dxa"/>
              <w:start w:w="120" w:type="dxa"/>
              <w:bottom w:w="80" w:type="dxa"/>
              <w:end w:w="120" w:type="dxa"/>
            </w:tcMar>
          </w:tcPr>
          <w:p>
            <w:pPr>
              <w:spacing w:after="0"/>
            </w:pPr>
            <w:r>
              <w:rPr>
                <w:rFonts w:ascii="Calibri" w:hAnsi="Calibri"/>
                <w:sz w:val="16"/>
              </w:rPr>
              <w:t>Logs, metrics, traces and alerts</w:t>
            </w:r>
          </w:p>
        </w:tc>
        <w:tc>
          <w:tcPr>
            <w:tcW w:type="dxa" w:w="5010"/>
            <w:vAlign w:val="center"/>
            <w:shd w:fill="F5F7F4"/>
            <w:tcMar>
              <w:top w:w="80" w:type="dxa"/>
              <w:start w:w="120" w:type="dxa"/>
              <w:bottom w:w="80" w:type="dxa"/>
              <w:end w:w="120" w:type="dxa"/>
            </w:tcMar>
          </w:tcPr>
          <w:p>
            <w:pPr>
              <w:spacing w:after="0"/>
            </w:pPr>
            <w:r>
              <w:rPr>
                <w:rFonts w:ascii="Calibri" w:hAnsi="Calibri"/>
                <w:sz w:val="16"/>
              </w:rPr>
              <w:t>No unnecessary sensitive content; actionable operational alerts</w:t>
            </w:r>
          </w:p>
        </w:tc>
      </w:tr>
    </w:tbl>
    <w:p/>
    <w:p>
      <w:pPr>
        <w:pStyle w:val="Heading2"/>
      </w:pPr>
      <w:r>
        <w:t>27.1 Multi-tenancy</w:t>
      </w:r>
    </w:p>
    <w:p>
      <w:pPr>
        <w:pStyle w:val="ListBullet"/>
      </w:pPr>
      <w:r>
        <w:t>Every school record carries an immutable tenant identifier.</w:t>
      </w:r>
    </w:p>
    <w:p>
      <w:pPr>
        <w:pStyle w:val="ListBullet"/>
      </w:pPr>
      <w:r>
        <w:t>Tenant scope is derived from the authenticated session, never trusted from a client-supplied field alone.</w:t>
      </w:r>
    </w:p>
    <w:p>
      <w:pPr>
        <w:pStyle w:val="ListBullet"/>
      </w:pPr>
      <w:r>
        <w:t>Database queries, caches, files, jobs, exports and analytics all preserve tenant scope.</w:t>
      </w:r>
    </w:p>
    <w:p>
      <w:pPr>
        <w:pStyle w:val="ListBullet"/>
      </w:pPr>
      <w:r>
        <w:t>Automated tests must attempt cross-tenant access and fail.</w:t>
      </w:r>
    </w:p>
    <w:p>
      <w:pPr>
        <w:pStyle w:val="ListBullet"/>
      </w:pPr>
      <w:r>
        <w:t>Platform support elevation is explicit, time-bound and audited.</w:t>
      </w:r>
    </w:p>
    <w:p>
      <w:pPr>
        <w:pStyle w:val="Heading2"/>
      </w:pPr>
      <w:r>
        <w:t>27.2 Availability and performance</w:t>
      </w:r>
    </w:p>
    <w:p>
      <w:pPr>
        <w:pStyle w:val="ListBullet"/>
      </w:pPr>
      <w:r>
        <w:t>Define service targets for uptime, response time, job completion and recovery.</w:t>
      </w:r>
    </w:p>
    <w:p>
      <w:pPr>
        <w:pStyle w:val="ListBullet"/>
      </w:pPr>
      <w:r>
        <w:t>Use caching only where authorisation and invalidation remain correct.</w:t>
      </w:r>
    </w:p>
    <w:p>
      <w:pPr>
        <w:pStyle w:val="ListBullet"/>
      </w:pPr>
      <w:r>
        <w:t>Paginate large directories and reports.</w:t>
      </w:r>
    </w:p>
    <w:p>
      <w:pPr>
        <w:pStyle w:val="ListBullet"/>
      </w:pPr>
      <w:r>
        <w:t>Support resumable or retryable uploads and queued delivery.</w:t>
      </w:r>
    </w:p>
    <w:p>
      <w:pPr>
        <w:pStyle w:val="ListBullet"/>
      </w:pPr>
      <w:r>
        <w:t>Provide graceful low-bandwidth modes that avoid auto-playing video and oversized downloads.</w:t>
      </w:r>
    </w:p>
    <w:p>
      <w:pPr>
        <w:pStyle w:val="Heading1"/>
      </w:pPr>
      <w:r>
        <w:t>28. Security, privacy and child-data protection</w:t>
      </w:r>
    </w:p>
    <w:p>
      <w:pPr>
        <w:pStyle w:val="Heading2"/>
      </w:pPr>
      <w:r>
        <w:t>Authentication</w:t>
      </w:r>
    </w:p>
    <w:p>
      <w:pPr>
        <w:pStyle w:val="ListBullet"/>
      </w:pPr>
      <w:r>
        <w:t>Strong password policy and secure hashing.</w:t>
      </w:r>
    </w:p>
    <w:p>
      <w:pPr>
        <w:pStyle w:val="ListBullet"/>
      </w:pPr>
      <w:r>
        <w:t>MFA required for platform, school administration and finance roles.</w:t>
      </w:r>
    </w:p>
    <w:p>
      <w:pPr>
        <w:pStyle w:val="ListBullet"/>
      </w:pPr>
      <w:r>
        <w:t>Secure, short-lived sessions with inactivity timeout and remote revocation.</w:t>
      </w:r>
    </w:p>
    <w:p>
      <w:pPr>
        <w:pStyle w:val="ListBullet"/>
      </w:pPr>
      <w:r>
        <w:t>Rate limiting, bot protection and suspicious-login detection.</w:t>
      </w:r>
    </w:p>
    <w:p>
      <w:pPr>
        <w:pStyle w:val="Heading2"/>
      </w:pPr>
      <w:r>
        <w:t>Authorisation</w:t>
      </w:r>
    </w:p>
    <w:p>
      <w:pPr>
        <w:pStyle w:val="ListBullet"/>
      </w:pPr>
      <w:r>
        <w:t>Server-side checks on every protected operation.</w:t>
      </w:r>
    </w:p>
    <w:p>
      <w:pPr>
        <w:pStyle w:val="ListBullet"/>
      </w:pPr>
      <w:r>
        <w:t>Tenant and record scope enforced independently of visible menus.</w:t>
      </w:r>
    </w:p>
    <w:p>
      <w:pPr>
        <w:pStyle w:val="ListBullet"/>
      </w:pPr>
      <w:r>
        <w:t>Approval workflows for high-risk finance, publication and role changes.</w:t>
      </w:r>
    </w:p>
    <w:p>
      <w:pPr>
        <w:pStyle w:val="ListBullet"/>
      </w:pPr>
      <w:r>
        <w:t>Regular access reviews and automated expiry.</w:t>
      </w:r>
    </w:p>
    <w:p>
      <w:pPr>
        <w:pStyle w:val="Heading2"/>
      </w:pPr>
      <w:r>
        <w:t>Data protection</w:t>
      </w:r>
    </w:p>
    <w:p>
      <w:pPr>
        <w:pStyle w:val="ListBullet"/>
      </w:pPr>
      <w:r>
        <w:t>Encrypt data in transit and at rest.</w:t>
      </w:r>
    </w:p>
    <w:p>
      <w:pPr>
        <w:pStyle w:val="ListBullet"/>
      </w:pPr>
      <w:r>
        <w:t>Minimise collection and classify fields by sensitivity.</w:t>
      </w:r>
    </w:p>
    <w:p>
      <w:pPr>
        <w:pStyle w:val="ListBullet"/>
      </w:pPr>
      <w:r>
        <w:t>Do not expose private contacts in bulk recipient lists.</w:t>
      </w:r>
    </w:p>
    <w:p>
      <w:pPr>
        <w:pStyle w:val="ListBullet"/>
      </w:pPr>
      <w:r>
        <w:t>Use documented retention, archival and deletion rules.</w:t>
      </w:r>
    </w:p>
    <w:p>
      <w:pPr>
        <w:pStyle w:val="Heading2"/>
      </w:pPr>
      <w:r>
        <w:t>Secure engineering</w:t>
      </w:r>
    </w:p>
    <w:p>
      <w:pPr>
        <w:pStyle w:val="ListBullet"/>
      </w:pPr>
      <w:r>
        <w:t>Peer review, automated tests, dependency scanning and controlled release pipeline.</w:t>
      </w:r>
    </w:p>
    <w:p>
      <w:pPr>
        <w:pStyle w:val="ListBullet"/>
      </w:pPr>
      <w:r>
        <w:t>Secret manager for credentials; no secrets in source code or client bundles.</w:t>
      </w:r>
    </w:p>
    <w:p>
      <w:pPr>
        <w:pStyle w:val="ListBullet"/>
      </w:pPr>
      <w:r>
        <w:t>Validated inputs, output encoding and safe file handling.</w:t>
      </w:r>
    </w:p>
    <w:p>
      <w:pPr>
        <w:pStyle w:val="ListBullet"/>
      </w:pPr>
      <w:r>
        <w:t>Independent penetration testing before broad launch and after major architectural change.</w:t>
      </w:r>
    </w:p>
    <w:p>
      <w:pPr>
        <w:pStyle w:val="Heading2"/>
      </w:pPr>
      <w:r>
        <w:t>Privacy operations</w:t>
      </w:r>
    </w:p>
    <w:p>
      <w:pPr>
        <w:pStyle w:val="ListBullet"/>
      </w:pPr>
      <w:r>
        <w:t>Clear privacy notices for schools, staff, guardians and learners.</w:t>
      </w:r>
    </w:p>
    <w:p>
      <w:pPr>
        <w:pStyle w:val="ListBullet"/>
      </w:pPr>
      <w:r>
        <w:t>Document controller/processor responsibilities and authorised purposes.</w:t>
      </w:r>
    </w:p>
    <w:p>
      <w:pPr>
        <w:pStyle w:val="ListBullet"/>
      </w:pPr>
      <w:r>
        <w:t>Support access, correction, export and deletion requests where legally appropriate.</w:t>
      </w:r>
    </w:p>
    <w:p>
      <w:pPr>
        <w:pStyle w:val="ListBullet"/>
      </w:pPr>
      <w:r>
        <w:t>Maintain breach-response and notification procedures reviewed by qualified counsel.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0EE"/>
            <w:tcMar>
              <w:top w:w="80" w:type="dxa"/>
              <w:start w:w="120" w:type="dxa"/>
              <w:bottom w:w="80" w:type="dxa"/>
              <w:end w:w="120" w:type="dxa"/>
            </w:tcMar>
          </w:tcPr>
          <w:p>
            <w:pPr>
              <w:spacing w:after="60"/>
            </w:pPr>
            <w:r>
              <w:rPr>
                <w:b/>
                <w:color w:val="173C31"/>
              </w:rPr>
              <w:t>Legal review required</w:t>
            </w:r>
          </w:p>
          <w:p>
            <w:pPr>
              <w:spacing w:after="0"/>
            </w:pPr>
            <w:r>
              <w:rPr>
                <w:sz w:val="19"/>
              </w:rPr>
              <w:t>This blueprint is operational guidance, not legal advice. Before launch, Avatar Solutions and each institution should obtain qualified advice on Ugandan education, privacy/data-protection, child protection, payments, tax, employment, records retention and cross-border hosting obligations.</w:t>
            </w:r>
          </w:p>
        </w:tc>
      </w:tr>
    </w:tbl>
    <w:p/>
    <w:p>
      <w:pPr>
        <w:pStyle w:val="Heading1"/>
      </w:pPr>
      <w:r>
        <w:t>29. Backup, disaster recovery and business continuity</w:t>
      </w:r>
    </w:p>
    <w:p>
      <w:pPr>
        <w:pStyle w:val="ListNumber"/>
        <w:numPr>
          <w:ilvl w:val="0"/>
          <w:numId w:val="24"/>
        </w:numPr>
      </w:pPr>
      <w:r>
        <w:t>Classify databases, files, configuration, secrets and audit records.</w:t>
      </w:r>
    </w:p>
    <w:p>
      <w:pPr>
        <w:pStyle w:val="ListNumber"/>
        <w:numPr>
          <w:ilvl w:val="0"/>
          <w:numId w:val="24"/>
        </w:numPr>
      </w:pPr>
      <w:r>
        <w:t>Set recovery point and recovery time objectives by system tier.</w:t>
      </w:r>
    </w:p>
    <w:p>
      <w:pPr>
        <w:pStyle w:val="ListNumber"/>
        <w:numPr>
          <w:ilvl w:val="0"/>
          <w:numId w:val="24"/>
        </w:numPr>
      </w:pPr>
      <w:r>
        <w:t>Run automated encrypted backups to a separated account or region.</w:t>
      </w:r>
    </w:p>
    <w:p>
      <w:pPr>
        <w:pStyle w:val="ListNumber"/>
        <w:numPr>
          <w:ilvl w:val="0"/>
          <w:numId w:val="24"/>
        </w:numPr>
      </w:pPr>
      <w:r>
        <w:t>Test restoration on a schedule; a backup is not considered reliable until restoration succeeds.</w:t>
      </w:r>
    </w:p>
    <w:p>
      <w:pPr>
        <w:pStyle w:val="ListNumber"/>
        <w:numPr>
          <w:ilvl w:val="0"/>
          <w:numId w:val="24"/>
        </w:numPr>
      </w:pPr>
      <w:r>
        <w:t>Maintain runbooks for database corruption, account compromise, provider outage, accidental deletion and regional failure.</w:t>
      </w:r>
    </w:p>
    <w:p>
      <w:pPr>
        <w:pStyle w:val="ListNumber"/>
        <w:numPr>
          <w:ilvl w:val="0"/>
          <w:numId w:val="24"/>
        </w:numPr>
      </w:pPr>
      <w:r>
        <w:t>Communicate service status without revealing exploitable details.</w:t>
      </w:r>
    </w:p>
    <w:p>
      <w:pPr>
        <w:pStyle w:val="ListNumber"/>
        <w:numPr>
          <w:ilvl w:val="0"/>
          <w:numId w:val="24"/>
        </w:numPr>
      </w:pPr>
      <w:r>
        <w:t>After recovery, reconcile queued payments, messages, imports and reports before normal operation resumes.</w:t>
      </w:r>
    </w:p>
    <w:p>
      <w:pPr>
        <w:pStyle w:val="Heading1"/>
      </w:pPr>
      <w:r>
        <w:t>30. Maintenance, releases and support</w:t>
      </w:r>
    </w:p>
    <w:tbl>
      <w:tblPr>
        <w:tblStyle w:val="TableGrid"/>
        <w:tblW w:type="dxa" w:w="9360"/>
        <w:jc w:val="left"/>
        <w:tblLayout w:type="fixed"/>
        <w:tblLook w:firstColumn="1" w:firstRow="1" w:lastColumn="0" w:lastRow="0" w:noHBand="0" w:noVBand="1" w:val="04A0"/>
        <w:tblInd w:w="120" w:type="dxa"/>
      </w:tblPr>
      <w:tblGrid>
        <w:gridCol w:w="1100"/>
        <w:gridCol w:w="4130"/>
        <w:gridCol w:w="4130"/>
      </w:tblGrid>
      <w:tr>
        <w:tc>
          <w:tcPr>
            <w:tcW w:type="dxa" w:w="1100"/>
            <w:shd w:fill="173C31"/>
            <w:tcMar>
              <w:top w:w="80" w:type="dxa"/>
              <w:start w:w="120" w:type="dxa"/>
              <w:bottom w:w="80" w:type="dxa"/>
              <w:end w:w="120" w:type="dxa"/>
            </w:tcMar>
          </w:tcPr>
          <w:p>
            <w:r>
              <w:rPr>
                <w:b/>
                <w:color w:val="FFFFFF"/>
                <w:sz w:val="17"/>
              </w:rPr>
              <w:t>Cadence</w:t>
            </w:r>
          </w:p>
        </w:tc>
        <w:tc>
          <w:tcPr>
            <w:tcW w:type="dxa" w:w="4130"/>
            <w:shd w:fill="173C31"/>
            <w:tcMar>
              <w:top w:w="80" w:type="dxa"/>
              <w:start w:w="120" w:type="dxa"/>
              <w:bottom w:w="80" w:type="dxa"/>
              <w:end w:w="120" w:type="dxa"/>
            </w:tcMar>
          </w:tcPr>
          <w:p>
            <w:r>
              <w:rPr>
                <w:b/>
                <w:color w:val="FFFFFF"/>
                <w:sz w:val="17"/>
              </w:rPr>
              <w:t>Avatar Solutions responsibility</w:t>
            </w:r>
          </w:p>
        </w:tc>
        <w:tc>
          <w:tcPr>
            <w:tcW w:type="dxa" w:w="4130"/>
            <w:shd w:fill="173C31"/>
            <w:tcMar>
              <w:top w:w="80" w:type="dxa"/>
              <w:start w:w="120" w:type="dxa"/>
              <w:bottom w:w="80" w:type="dxa"/>
              <w:end w:w="120" w:type="dxa"/>
            </w:tcMar>
          </w:tcPr>
          <w:p>
            <w:r>
              <w:rPr>
                <w:b/>
                <w:color w:val="FFFFFF"/>
                <w:sz w:val="17"/>
              </w:rPr>
              <w:t>School responsibility</w:t>
            </w:r>
          </w:p>
        </w:tc>
      </w:tr>
      <w:tr>
        <w:tc>
          <w:tcPr>
            <w:tcW w:type="dxa" w:w="1100"/>
            <w:vAlign w:val="center"/>
            <w:tcMar>
              <w:top w:w="80" w:type="dxa"/>
              <w:start w:w="120" w:type="dxa"/>
              <w:bottom w:w="80" w:type="dxa"/>
              <w:end w:w="120" w:type="dxa"/>
            </w:tcMar>
          </w:tcPr>
          <w:p>
            <w:pPr>
              <w:spacing w:after="0"/>
            </w:pPr>
            <w:r>
              <w:rPr>
                <w:rFonts w:ascii="Calibri" w:hAnsi="Calibri"/>
                <w:sz w:val="16"/>
              </w:rPr>
              <w:t>Daily</w:t>
            </w:r>
          </w:p>
        </w:tc>
        <w:tc>
          <w:tcPr>
            <w:tcW w:type="dxa" w:w="4130"/>
            <w:vAlign w:val="center"/>
            <w:tcMar>
              <w:top w:w="80" w:type="dxa"/>
              <w:start w:w="120" w:type="dxa"/>
              <w:bottom w:w="80" w:type="dxa"/>
              <w:end w:w="120" w:type="dxa"/>
            </w:tcMar>
          </w:tcPr>
          <w:p>
            <w:pPr>
              <w:spacing w:after="0"/>
            </w:pPr>
            <w:r>
              <w:rPr>
                <w:rFonts w:ascii="Calibri" w:hAnsi="Calibri"/>
                <w:sz w:val="16"/>
              </w:rPr>
              <w:t>Monitor availability, errors, queues, integrations and security alerts</w:t>
            </w:r>
          </w:p>
        </w:tc>
        <w:tc>
          <w:tcPr>
            <w:tcW w:type="dxa" w:w="4130"/>
            <w:vAlign w:val="center"/>
            <w:tcMar>
              <w:top w:w="80" w:type="dxa"/>
              <w:start w:w="120" w:type="dxa"/>
              <w:bottom w:w="80" w:type="dxa"/>
              <w:end w:w="120" w:type="dxa"/>
            </w:tcMar>
          </w:tcPr>
          <w:p>
            <w:pPr>
              <w:spacing w:after="0"/>
            </w:pPr>
            <w:r>
              <w:rPr>
                <w:rFonts w:ascii="Calibri" w:hAnsi="Calibri"/>
                <w:sz w:val="16"/>
              </w:rPr>
              <w:t>Review operational exceptions and report user-impacting issues</w:t>
            </w:r>
          </w:p>
        </w:tc>
      </w:tr>
      <w:tr>
        <w:tc>
          <w:tcPr>
            <w:tcW w:type="dxa" w:w="1100"/>
            <w:vAlign w:val="center"/>
            <w:shd w:fill="F5F7F4"/>
            <w:tcMar>
              <w:top w:w="80" w:type="dxa"/>
              <w:start w:w="120" w:type="dxa"/>
              <w:bottom w:w="80" w:type="dxa"/>
              <w:end w:w="120" w:type="dxa"/>
            </w:tcMar>
          </w:tcPr>
          <w:p>
            <w:pPr>
              <w:spacing w:after="0"/>
            </w:pPr>
            <w:r>
              <w:rPr>
                <w:rFonts w:ascii="Calibri" w:hAnsi="Calibri"/>
                <w:sz w:val="16"/>
              </w:rPr>
              <w:t>Weekly</w:t>
            </w:r>
          </w:p>
        </w:tc>
        <w:tc>
          <w:tcPr>
            <w:tcW w:type="dxa" w:w="4130"/>
            <w:vAlign w:val="center"/>
            <w:shd w:fill="F5F7F4"/>
            <w:tcMar>
              <w:top w:w="80" w:type="dxa"/>
              <w:start w:w="120" w:type="dxa"/>
              <w:bottom w:w="80" w:type="dxa"/>
              <w:end w:w="120" w:type="dxa"/>
            </w:tcMar>
          </w:tcPr>
          <w:p>
            <w:pPr>
              <w:spacing w:after="0"/>
            </w:pPr>
            <w:r>
              <w:rPr>
                <w:rFonts w:ascii="Calibri" w:hAnsi="Calibri"/>
                <w:sz w:val="16"/>
              </w:rPr>
              <w:t>Review failed jobs, capacity, dependency alerts and unresolved incidents</w:t>
            </w:r>
          </w:p>
        </w:tc>
        <w:tc>
          <w:tcPr>
            <w:tcW w:type="dxa" w:w="4130"/>
            <w:vAlign w:val="center"/>
            <w:shd w:fill="F5F7F4"/>
            <w:tcMar>
              <w:top w:w="80" w:type="dxa"/>
              <w:start w:w="120" w:type="dxa"/>
              <w:bottom w:w="80" w:type="dxa"/>
              <w:end w:w="120" w:type="dxa"/>
            </w:tcMar>
          </w:tcPr>
          <w:p>
            <w:pPr>
              <w:spacing w:after="0"/>
            </w:pPr>
            <w:r>
              <w:rPr>
                <w:rFonts w:ascii="Calibri" w:hAnsi="Calibri"/>
                <w:sz w:val="16"/>
              </w:rPr>
              <w:t>Review unmatched payments, missing registers and inactive invitations</w:t>
            </w:r>
          </w:p>
        </w:tc>
      </w:tr>
      <w:tr>
        <w:tc>
          <w:tcPr>
            <w:tcW w:type="dxa" w:w="1100"/>
            <w:vAlign w:val="center"/>
            <w:tcMar>
              <w:top w:w="80" w:type="dxa"/>
              <w:start w:w="120" w:type="dxa"/>
              <w:bottom w:w="80" w:type="dxa"/>
              <w:end w:w="120" w:type="dxa"/>
            </w:tcMar>
          </w:tcPr>
          <w:p>
            <w:pPr>
              <w:spacing w:after="0"/>
            </w:pPr>
            <w:r>
              <w:rPr>
                <w:rFonts w:ascii="Calibri" w:hAnsi="Calibri"/>
                <w:sz w:val="16"/>
              </w:rPr>
              <w:t>Monthly</w:t>
            </w:r>
          </w:p>
        </w:tc>
        <w:tc>
          <w:tcPr>
            <w:tcW w:type="dxa" w:w="4130"/>
            <w:vAlign w:val="center"/>
            <w:tcMar>
              <w:top w:w="80" w:type="dxa"/>
              <w:start w:w="120" w:type="dxa"/>
              <w:bottom w:w="80" w:type="dxa"/>
              <w:end w:w="120" w:type="dxa"/>
            </w:tcMar>
          </w:tcPr>
          <w:p>
            <w:pPr>
              <w:spacing w:after="0"/>
            </w:pPr>
            <w:r>
              <w:rPr>
                <w:rFonts w:ascii="Calibri" w:hAnsi="Calibri"/>
                <w:sz w:val="16"/>
              </w:rPr>
              <w:t>Patch supported components, review access exceptions and service metrics</w:t>
            </w:r>
          </w:p>
        </w:tc>
        <w:tc>
          <w:tcPr>
            <w:tcW w:type="dxa" w:w="4130"/>
            <w:vAlign w:val="center"/>
            <w:tcMar>
              <w:top w:w="80" w:type="dxa"/>
              <w:start w:w="120" w:type="dxa"/>
              <w:bottom w:w="80" w:type="dxa"/>
              <w:end w:w="120" w:type="dxa"/>
            </w:tcMar>
          </w:tcPr>
          <w:p>
            <w:pPr>
              <w:spacing w:after="0"/>
            </w:pPr>
            <w:r>
              <w:rPr>
                <w:rFonts w:ascii="Calibri" w:hAnsi="Calibri"/>
                <w:sz w:val="16"/>
              </w:rPr>
              <w:t>Review administrator accounts, integrations and data quality</w:t>
            </w:r>
          </w:p>
        </w:tc>
      </w:tr>
      <w:tr>
        <w:tc>
          <w:tcPr>
            <w:tcW w:type="dxa" w:w="1100"/>
            <w:vAlign w:val="center"/>
            <w:shd w:fill="F5F7F4"/>
            <w:tcMar>
              <w:top w:w="80" w:type="dxa"/>
              <w:start w:w="120" w:type="dxa"/>
              <w:bottom w:w="80" w:type="dxa"/>
              <w:end w:w="120" w:type="dxa"/>
            </w:tcMar>
          </w:tcPr>
          <w:p>
            <w:pPr>
              <w:spacing w:after="0"/>
            </w:pPr>
            <w:r>
              <w:rPr>
                <w:rFonts w:ascii="Calibri" w:hAnsi="Calibri"/>
                <w:sz w:val="16"/>
              </w:rPr>
              <w:t>Quarterly</w:t>
            </w:r>
          </w:p>
        </w:tc>
        <w:tc>
          <w:tcPr>
            <w:tcW w:type="dxa" w:w="4130"/>
            <w:vAlign w:val="center"/>
            <w:shd w:fill="F5F7F4"/>
            <w:tcMar>
              <w:top w:w="80" w:type="dxa"/>
              <w:start w:w="120" w:type="dxa"/>
              <w:bottom w:w="80" w:type="dxa"/>
              <w:end w:w="120" w:type="dxa"/>
            </w:tcMar>
          </w:tcPr>
          <w:p>
            <w:pPr>
              <w:spacing w:after="0"/>
            </w:pPr>
            <w:r>
              <w:rPr>
                <w:rFonts w:ascii="Calibri" w:hAnsi="Calibri"/>
                <w:sz w:val="16"/>
              </w:rPr>
              <w:t>Restore test, vulnerability review, permission audit and roadmap release</w:t>
            </w:r>
          </w:p>
        </w:tc>
        <w:tc>
          <w:tcPr>
            <w:tcW w:type="dxa" w:w="4130"/>
            <w:vAlign w:val="center"/>
            <w:shd w:fill="F5F7F4"/>
            <w:tcMar>
              <w:top w:w="80" w:type="dxa"/>
              <w:start w:w="120" w:type="dxa"/>
              <w:bottom w:w="80" w:type="dxa"/>
              <w:end w:w="120" w:type="dxa"/>
            </w:tcMar>
          </w:tcPr>
          <w:p>
            <w:pPr>
              <w:spacing w:after="0"/>
            </w:pPr>
            <w:r>
              <w:rPr>
                <w:rFonts w:ascii="Calibri" w:hAnsi="Calibri"/>
                <w:sz w:val="16"/>
              </w:rPr>
              <w:t>Formal access review, champion training and policy confirmation</w:t>
            </w:r>
          </w:p>
        </w:tc>
      </w:tr>
      <w:tr>
        <w:tc>
          <w:tcPr>
            <w:tcW w:type="dxa" w:w="1100"/>
            <w:vAlign w:val="center"/>
            <w:tcMar>
              <w:top w:w="80" w:type="dxa"/>
              <w:start w:w="120" w:type="dxa"/>
              <w:bottom w:w="80" w:type="dxa"/>
              <w:end w:w="120" w:type="dxa"/>
            </w:tcMar>
          </w:tcPr>
          <w:p>
            <w:pPr>
              <w:spacing w:after="0"/>
            </w:pPr>
            <w:r>
              <w:rPr>
                <w:rFonts w:ascii="Calibri" w:hAnsi="Calibri"/>
                <w:sz w:val="16"/>
              </w:rPr>
              <w:t>Annually</w:t>
            </w:r>
          </w:p>
        </w:tc>
        <w:tc>
          <w:tcPr>
            <w:tcW w:type="dxa" w:w="4130"/>
            <w:vAlign w:val="center"/>
            <w:tcMar>
              <w:top w:w="80" w:type="dxa"/>
              <w:start w:w="120" w:type="dxa"/>
              <w:bottom w:w="80" w:type="dxa"/>
              <w:end w:w="120" w:type="dxa"/>
            </w:tcMar>
          </w:tcPr>
          <w:p>
            <w:pPr>
              <w:spacing w:after="0"/>
            </w:pPr>
            <w:r>
              <w:rPr>
                <w:rFonts w:ascii="Calibri" w:hAnsi="Calibri"/>
                <w:sz w:val="16"/>
              </w:rPr>
              <w:t>Independent security assessment, disaster exercise and retention review</w:t>
            </w:r>
          </w:p>
        </w:tc>
        <w:tc>
          <w:tcPr>
            <w:tcW w:type="dxa" w:w="4130"/>
            <w:vAlign w:val="center"/>
            <w:tcMar>
              <w:top w:w="80" w:type="dxa"/>
              <w:start w:w="120" w:type="dxa"/>
              <w:bottom w:w="80" w:type="dxa"/>
              <w:end w:w="120" w:type="dxa"/>
            </w:tcMar>
          </w:tcPr>
          <w:p>
            <w:pPr>
              <w:spacing w:after="0"/>
            </w:pPr>
            <w:r>
              <w:rPr>
                <w:rFonts w:ascii="Calibri" w:hAnsi="Calibri"/>
                <w:sz w:val="16"/>
              </w:rPr>
              <w:t>Renew contracts, verify ownership, archive periods and review compliance</w:t>
            </w:r>
          </w:p>
        </w:tc>
      </w:tr>
    </w:tbl>
    <w:p/>
    <w:p>
      <w:pPr>
        <w:pStyle w:val="Heading2"/>
      </w:pPr>
      <w:r>
        <w:t>30.1 Release lifecycle</w:t>
      </w:r>
    </w:p>
    <w:p>
      <w:pPr>
        <w:pStyle w:val="ListNumber"/>
        <w:numPr>
          <w:ilvl w:val="0"/>
          <w:numId w:val="25"/>
        </w:numPr>
      </w:pPr>
      <w:r>
        <w:t>Define change and acceptance criteria.</w:t>
      </w:r>
    </w:p>
    <w:p>
      <w:pPr>
        <w:pStyle w:val="ListNumber"/>
        <w:numPr>
          <w:ilvl w:val="0"/>
          <w:numId w:val="25"/>
        </w:numPr>
      </w:pPr>
      <w:r>
        <w:t>Build in development with synthetic data.</w:t>
      </w:r>
    </w:p>
    <w:p>
      <w:pPr>
        <w:pStyle w:val="ListNumber"/>
        <w:numPr>
          <w:ilvl w:val="0"/>
          <w:numId w:val="25"/>
        </w:numPr>
      </w:pPr>
      <w:r>
        <w:t>Run automated unit, integration, permission and migration tests.</w:t>
      </w:r>
    </w:p>
    <w:p>
      <w:pPr>
        <w:pStyle w:val="ListNumber"/>
        <w:numPr>
          <w:ilvl w:val="0"/>
          <w:numId w:val="25"/>
        </w:numPr>
      </w:pPr>
      <w:r>
        <w:t>Deploy to staging and complete role-based acceptance.</w:t>
      </w:r>
    </w:p>
    <w:p>
      <w:pPr>
        <w:pStyle w:val="ListNumber"/>
        <w:numPr>
          <w:ilvl w:val="0"/>
          <w:numId w:val="25"/>
        </w:numPr>
      </w:pPr>
      <w:r>
        <w:t>Prepare rollback, support note and migration backup.</w:t>
      </w:r>
    </w:p>
    <w:p>
      <w:pPr>
        <w:pStyle w:val="ListNumber"/>
        <w:numPr>
          <w:ilvl w:val="0"/>
          <w:numId w:val="25"/>
        </w:numPr>
      </w:pPr>
      <w:r>
        <w:t>Release gradually, monitor and either complete or roll back.</w:t>
      </w:r>
    </w:p>
    <w:p>
      <w:pPr>
        <w:pStyle w:val="ListNumber"/>
        <w:numPr>
          <w:ilvl w:val="0"/>
          <w:numId w:val="25"/>
        </w:numPr>
      </w:pPr>
      <w:r>
        <w:t>Record release version and notify affected users.</w:t>
      </w:r>
    </w:p>
    <w:p>
      <w:pPr>
        <w:pStyle w:val="Heading2"/>
      </w:pPr>
      <w:r>
        <w:t>30.2 Support model</w:t>
      </w:r>
    </w:p>
    <w:p>
      <w:pPr>
        <w:pStyle w:val="ListBullet"/>
      </w:pPr>
      <w:r>
        <w:t>Tier 0: searchable help, guided tours and training videos.</w:t>
      </w:r>
    </w:p>
    <w:p>
      <w:pPr>
        <w:pStyle w:val="ListBullet"/>
      </w:pPr>
      <w:r>
        <w:t>Tier 1: school champions handle routine passwords and “how-to” questions.</w:t>
      </w:r>
    </w:p>
    <w:p>
      <w:pPr>
        <w:pStyle w:val="ListBullet"/>
      </w:pPr>
      <w:r>
        <w:t>Tier 2: Avatar Solutions support handles configuration, defects and integrations.</w:t>
      </w:r>
    </w:p>
    <w:p>
      <w:pPr>
        <w:pStyle w:val="ListBullet"/>
      </w:pPr>
      <w:r>
        <w:t>Tier 3: engineering/security handles incidents, data repair and platform defects.</w:t>
      </w:r>
    </w:p>
    <w:p>
      <w:pPr>
        <w:pStyle w:val="ListBullet"/>
      </w:pPr>
      <w:r>
        <w:t>Every ticket has tenant, requester, impact, urgency, evidence, owner, actions and resolution.</w:t>
      </w:r>
    </w:p>
    <w:p>
      <w:r>
        <w:br w:type="page"/>
      </w:r>
    </w:p>
    <w:p>
      <w:pPr>
        <w:pStyle w:val="Heading1"/>
      </w:pPr>
      <w:r>
        <w:t>31. Commercial packaging and implementation roadmap</w:t>
      </w:r>
    </w:p>
    <w:tbl>
      <w:tblPr>
        <w:tblStyle w:val="TableGrid"/>
        <w:tblW w:type="dxa" w:w="9360"/>
        <w:jc w:val="left"/>
        <w:tblLayout w:type="fixed"/>
        <w:tblLook w:firstColumn="1" w:firstRow="1" w:lastColumn="0" w:lastRow="0" w:noHBand="0" w:noVBand="1" w:val="04A0"/>
        <w:tblInd w:w="120" w:type="dxa"/>
      </w:tblPr>
      <w:tblGrid>
        <w:gridCol w:w="1300"/>
        <w:gridCol w:w="2600"/>
        <w:gridCol w:w="5460"/>
      </w:tblGrid>
      <w:tr>
        <w:tc>
          <w:tcPr>
            <w:tcW w:type="dxa" w:w="1300"/>
            <w:shd w:fill="173C31"/>
            <w:tcMar>
              <w:top w:w="80" w:type="dxa"/>
              <w:start w:w="120" w:type="dxa"/>
              <w:bottom w:w="80" w:type="dxa"/>
              <w:end w:w="120" w:type="dxa"/>
            </w:tcMar>
          </w:tcPr>
          <w:p>
            <w:r>
              <w:rPr>
                <w:b/>
                <w:color w:val="FFFFFF"/>
                <w:sz w:val="17"/>
              </w:rPr>
              <w:t>Package</w:t>
            </w:r>
          </w:p>
        </w:tc>
        <w:tc>
          <w:tcPr>
            <w:tcW w:type="dxa" w:w="2600"/>
            <w:shd w:fill="173C31"/>
            <w:tcMar>
              <w:top w:w="80" w:type="dxa"/>
              <w:start w:w="120" w:type="dxa"/>
              <w:bottom w:w="80" w:type="dxa"/>
              <w:end w:w="120" w:type="dxa"/>
            </w:tcMar>
          </w:tcPr>
          <w:p>
            <w:r>
              <w:rPr>
                <w:b/>
                <w:color w:val="FFFFFF"/>
                <w:sz w:val="17"/>
              </w:rPr>
              <w:t>Recommended audience</w:t>
            </w:r>
          </w:p>
        </w:tc>
        <w:tc>
          <w:tcPr>
            <w:tcW w:type="dxa" w:w="5460"/>
            <w:shd w:fill="173C31"/>
            <w:tcMar>
              <w:top w:w="80" w:type="dxa"/>
              <w:start w:w="120" w:type="dxa"/>
              <w:bottom w:w="80" w:type="dxa"/>
              <w:end w:w="120" w:type="dxa"/>
            </w:tcMar>
          </w:tcPr>
          <w:p>
            <w:r>
              <w:rPr>
                <w:b/>
                <w:color w:val="FFFFFF"/>
                <w:sz w:val="17"/>
              </w:rPr>
              <w:t>Included capability</w:t>
            </w:r>
          </w:p>
        </w:tc>
      </w:tr>
      <w:tr>
        <w:tc>
          <w:tcPr>
            <w:tcW w:type="dxa" w:w="1300"/>
            <w:vAlign w:val="center"/>
            <w:tcMar>
              <w:top w:w="80" w:type="dxa"/>
              <w:start w:w="120" w:type="dxa"/>
              <w:bottom w:w="80" w:type="dxa"/>
              <w:end w:w="120" w:type="dxa"/>
            </w:tcMar>
          </w:tcPr>
          <w:p>
            <w:pPr>
              <w:spacing w:after="0"/>
            </w:pPr>
            <w:r>
              <w:rPr>
                <w:rFonts w:ascii="Calibri" w:hAnsi="Calibri"/>
                <w:sz w:val="16"/>
              </w:rPr>
              <w:t>Core</w:t>
            </w:r>
          </w:p>
        </w:tc>
        <w:tc>
          <w:tcPr>
            <w:tcW w:type="dxa" w:w="2600"/>
            <w:vAlign w:val="center"/>
            <w:tcMar>
              <w:top w:w="80" w:type="dxa"/>
              <w:start w:w="120" w:type="dxa"/>
              <w:bottom w:w="80" w:type="dxa"/>
              <w:end w:w="120" w:type="dxa"/>
            </w:tcMar>
          </w:tcPr>
          <w:p>
            <w:pPr>
              <w:spacing w:after="0"/>
            </w:pPr>
            <w:r>
              <w:rPr>
                <w:rFonts w:ascii="Calibri" w:hAnsi="Calibri"/>
                <w:sz w:val="16"/>
              </w:rPr>
              <w:t>Small nursery/primary/secondary school</w:t>
            </w:r>
          </w:p>
        </w:tc>
        <w:tc>
          <w:tcPr>
            <w:tcW w:type="dxa" w:w="5460"/>
            <w:vAlign w:val="center"/>
            <w:tcMar>
              <w:top w:w="80" w:type="dxa"/>
              <w:start w:w="120" w:type="dxa"/>
              <w:bottom w:w="80" w:type="dxa"/>
              <w:end w:w="120" w:type="dxa"/>
            </w:tcMar>
          </w:tcPr>
          <w:p>
            <w:pPr>
              <w:spacing w:after="0"/>
            </w:pPr>
            <w:r>
              <w:rPr>
                <w:rFonts w:ascii="Calibri" w:hAnsi="Calibri"/>
                <w:sz w:val="16"/>
              </w:rPr>
              <w:t>Identity, students, attendance, timetable, messages, basic fees and reports</w:t>
            </w:r>
          </w:p>
        </w:tc>
      </w:tr>
      <w:tr>
        <w:tc>
          <w:tcPr>
            <w:tcW w:type="dxa" w:w="1300"/>
            <w:vAlign w:val="center"/>
            <w:shd w:fill="F5F7F4"/>
            <w:tcMar>
              <w:top w:w="80" w:type="dxa"/>
              <w:start w:w="120" w:type="dxa"/>
              <w:bottom w:w="80" w:type="dxa"/>
              <w:end w:w="120" w:type="dxa"/>
            </w:tcMar>
          </w:tcPr>
          <w:p>
            <w:pPr>
              <w:spacing w:after="0"/>
            </w:pPr>
            <w:r>
              <w:rPr>
                <w:rFonts w:ascii="Calibri" w:hAnsi="Calibri"/>
                <w:sz w:val="16"/>
              </w:rPr>
              <w:t>Academic Plus</w:t>
            </w:r>
          </w:p>
        </w:tc>
        <w:tc>
          <w:tcPr>
            <w:tcW w:type="dxa" w:w="2600"/>
            <w:vAlign w:val="center"/>
            <w:shd w:fill="F5F7F4"/>
            <w:tcMar>
              <w:top w:w="80" w:type="dxa"/>
              <w:start w:w="120" w:type="dxa"/>
              <w:bottom w:w="80" w:type="dxa"/>
              <w:end w:w="120" w:type="dxa"/>
            </w:tcMar>
          </w:tcPr>
          <w:p>
            <w:pPr>
              <w:spacing w:after="0"/>
            </w:pPr>
            <w:r>
              <w:rPr>
                <w:rFonts w:ascii="Calibri" w:hAnsi="Calibri"/>
                <w:sz w:val="16"/>
              </w:rPr>
              <w:t>Growing schools and institutes</w:t>
            </w:r>
          </w:p>
        </w:tc>
        <w:tc>
          <w:tcPr>
            <w:tcW w:type="dxa" w:w="5460"/>
            <w:vAlign w:val="center"/>
            <w:shd w:fill="F5F7F4"/>
            <w:tcMar>
              <w:top w:w="80" w:type="dxa"/>
              <w:start w:w="120" w:type="dxa"/>
              <w:bottom w:w="80" w:type="dxa"/>
              <w:end w:w="120" w:type="dxa"/>
            </w:tcMar>
          </w:tcPr>
          <w:p>
            <w:pPr>
              <w:spacing w:after="0"/>
            </w:pPr>
            <w:r>
              <w:rPr>
                <w:rFonts w:ascii="Calibri" w:hAnsi="Calibri"/>
                <w:sz w:val="16"/>
              </w:rPr>
              <w:t>Core plus learning centre, assessments, report cards, library and advanced analytics</w:t>
            </w:r>
          </w:p>
        </w:tc>
      </w:tr>
      <w:tr>
        <w:tc>
          <w:tcPr>
            <w:tcW w:type="dxa" w:w="1300"/>
            <w:vAlign w:val="center"/>
            <w:tcMar>
              <w:top w:w="80" w:type="dxa"/>
              <w:start w:w="120" w:type="dxa"/>
              <w:bottom w:w="80" w:type="dxa"/>
              <w:end w:w="120" w:type="dxa"/>
            </w:tcMar>
          </w:tcPr>
          <w:p>
            <w:pPr>
              <w:spacing w:after="0"/>
            </w:pPr>
            <w:r>
              <w:rPr>
                <w:rFonts w:ascii="Calibri" w:hAnsi="Calibri"/>
                <w:sz w:val="16"/>
              </w:rPr>
              <w:t>Enterprise</w:t>
            </w:r>
          </w:p>
        </w:tc>
        <w:tc>
          <w:tcPr>
            <w:tcW w:type="dxa" w:w="2600"/>
            <w:vAlign w:val="center"/>
            <w:tcMar>
              <w:top w:w="80" w:type="dxa"/>
              <w:start w:w="120" w:type="dxa"/>
              <w:bottom w:w="80" w:type="dxa"/>
              <w:end w:w="120" w:type="dxa"/>
            </w:tcMar>
          </w:tcPr>
          <w:p>
            <w:pPr>
              <w:spacing w:after="0"/>
            </w:pPr>
            <w:r>
              <w:rPr>
                <w:rFonts w:ascii="Calibri" w:hAnsi="Calibri"/>
                <w:sz w:val="16"/>
              </w:rPr>
              <w:t>Multi-campus schools, colleges and universities</w:t>
            </w:r>
          </w:p>
        </w:tc>
        <w:tc>
          <w:tcPr>
            <w:tcW w:type="dxa" w:w="5460"/>
            <w:vAlign w:val="center"/>
            <w:tcMar>
              <w:top w:w="80" w:type="dxa"/>
              <w:start w:w="120" w:type="dxa"/>
              <w:bottom w:w="80" w:type="dxa"/>
              <w:end w:w="120" w:type="dxa"/>
            </w:tcMar>
          </w:tcPr>
          <w:p>
            <w:pPr>
              <w:spacing w:after="0"/>
            </w:pPr>
            <w:r>
              <w:rPr>
                <w:rFonts w:ascii="Calibri" w:hAnsi="Calibri"/>
                <w:sz w:val="16"/>
              </w:rPr>
              <w:t>Advanced roles, integrations, SSO options, audit exports, higher limits and dedicated support</w:t>
            </w:r>
          </w:p>
        </w:tc>
      </w:tr>
      <w:tr>
        <w:tc>
          <w:tcPr>
            <w:tcW w:type="dxa" w:w="1300"/>
            <w:vAlign w:val="center"/>
            <w:shd w:fill="F5F7F4"/>
            <w:tcMar>
              <w:top w:w="80" w:type="dxa"/>
              <w:start w:w="120" w:type="dxa"/>
              <w:bottom w:w="80" w:type="dxa"/>
              <w:end w:w="120" w:type="dxa"/>
            </w:tcMar>
          </w:tcPr>
          <w:p>
            <w:pPr>
              <w:spacing w:after="0"/>
            </w:pPr>
            <w:r>
              <w:rPr>
                <w:rFonts w:ascii="Calibri" w:hAnsi="Calibri"/>
                <w:sz w:val="16"/>
              </w:rPr>
              <w:t>Add-ons</w:t>
            </w:r>
          </w:p>
        </w:tc>
        <w:tc>
          <w:tcPr>
            <w:tcW w:type="dxa" w:w="2600"/>
            <w:vAlign w:val="center"/>
            <w:shd w:fill="F5F7F4"/>
            <w:tcMar>
              <w:top w:w="80" w:type="dxa"/>
              <w:start w:w="120" w:type="dxa"/>
              <w:bottom w:w="80" w:type="dxa"/>
              <w:end w:w="120" w:type="dxa"/>
            </w:tcMar>
          </w:tcPr>
          <w:p>
            <w:pPr>
              <w:spacing w:after="0"/>
            </w:pPr>
            <w:r>
              <w:rPr>
                <w:rFonts w:ascii="Calibri" w:hAnsi="Calibri"/>
                <w:sz w:val="16"/>
              </w:rPr>
              <w:t>Any eligible tenant</w:t>
            </w:r>
          </w:p>
        </w:tc>
        <w:tc>
          <w:tcPr>
            <w:tcW w:type="dxa" w:w="5460"/>
            <w:vAlign w:val="center"/>
            <w:shd w:fill="F5F7F4"/>
            <w:tcMar>
              <w:top w:w="80" w:type="dxa"/>
              <w:start w:w="120" w:type="dxa"/>
              <w:bottom w:w="80" w:type="dxa"/>
              <w:end w:w="120" w:type="dxa"/>
            </w:tcMar>
          </w:tcPr>
          <w:p>
            <w:pPr>
              <w:spacing w:after="0"/>
            </w:pPr>
            <w:r>
              <w:rPr>
                <w:rFonts w:ascii="Calibri" w:hAnsi="Calibri"/>
                <w:sz w:val="16"/>
              </w:rPr>
              <w:t>SMS bundles, payment gateway, transport, custom domain, migration and premium training</w:t>
            </w:r>
          </w:p>
        </w:tc>
      </w:tr>
    </w:tbl>
    <w:p/>
    <w:p>
      <w:pPr>
        <w:pStyle w:val="Heading2"/>
      </w:pPr>
      <w:r>
        <w:t>31.1 Delivery phases</w:t>
      </w:r>
    </w:p>
    <w:tbl>
      <w:tblPr>
        <w:tblStyle w:val="TableGrid"/>
        <w:tblW w:type="dxa" w:w="9360"/>
        <w:jc w:val="left"/>
        <w:tblLayout w:type="fixed"/>
        <w:tblLook w:firstColumn="1" w:firstRow="1" w:lastColumn="0" w:lastRow="0" w:noHBand="0" w:noVBand="1" w:val="04A0"/>
        <w:tblInd w:w="120" w:type="dxa"/>
      </w:tblPr>
      <w:tblGrid>
        <w:gridCol w:w="1100"/>
        <w:gridCol w:w="3180"/>
        <w:gridCol w:w="5080"/>
      </w:tblGrid>
      <w:tr>
        <w:tc>
          <w:tcPr>
            <w:tcW w:type="dxa" w:w="1100"/>
            <w:shd w:fill="173C31"/>
            <w:tcMar>
              <w:top w:w="80" w:type="dxa"/>
              <w:start w:w="120" w:type="dxa"/>
              <w:bottom w:w="80" w:type="dxa"/>
              <w:end w:w="120" w:type="dxa"/>
            </w:tcMar>
          </w:tcPr>
          <w:p>
            <w:r>
              <w:rPr>
                <w:b/>
                <w:color w:val="FFFFFF"/>
                <w:sz w:val="17"/>
              </w:rPr>
              <w:t>Phase</w:t>
            </w:r>
          </w:p>
        </w:tc>
        <w:tc>
          <w:tcPr>
            <w:tcW w:type="dxa" w:w="3180"/>
            <w:shd w:fill="173C31"/>
            <w:tcMar>
              <w:top w:w="80" w:type="dxa"/>
              <w:start w:w="120" w:type="dxa"/>
              <w:bottom w:w="80" w:type="dxa"/>
              <w:end w:w="120" w:type="dxa"/>
            </w:tcMar>
          </w:tcPr>
          <w:p>
            <w:r>
              <w:rPr>
                <w:b/>
                <w:color w:val="FFFFFF"/>
                <w:sz w:val="17"/>
              </w:rPr>
              <w:t>Outcome</w:t>
            </w:r>
          </w:p>
        </w:tc>
        <w:tc>
          <w:tcPr>
            <w:tcW w:type="dxa" w:w="5080"/>
            <w:shd w:fill="173C31"/>
            <w:tcMar>
              <w:top w:w="80" w:type="dxa"/>
              <w:start w:w="120" w:type="dxa"/>
              <w:bottom w:w="80" w:type="dxa"/>
              <w:end w:w="120" w:type="dxa"/>
            </w:tcMar>
          </w:tcPr>
          <w:p>
            <w:r>
              <w:rPr>
                <w:b/>
                <w:color w:val="FFFFFF"/>
                <w:sz w:val="17"/>
              </w:rPr>
              <w:t>Exit criteria</w:t>
            </w:r>
          </w:p>
        </w:tc>
      </w:tr>
      <w:tr>
        <w:tc>
          <w:tcPr>
            <w:tcW w:type="dxa" w:w="1100"/>
            <w:vAlign w:val="center"/>
            <w:tcMar>
              <w:top w:w="80" w:type="dxa"/>
              <w:start w:w="120" w:type="dxa"/>
              <w:bottom w:w="80" w:type="dxa"/>
              <w:end w:w="120" w:type="dxa"/>
            </w:tcMar>
          </w:tcPr>
          <w:p>
            <w:pPr>
              <w:spacing w:after="0"/>
            </w:pPr>
            <w:r>
              <w:rPr>
                <w:rFonts w:ascii="Calibri" w:hAnsi="Calibri"/>
                <w:sz w:val="16"/>
              </w:rPr>
              <w:t>0. Validation</w:t>
            </w:r>
          </w:p>
        </w:tc>
        <w:tc>
          <w:tcPr>
            <w:tcW w:type="dxa" w:w="3180"/>
            <w:vAlign w:val="center"/>
            <w:tcMar>
              <w:top w:w="80" w:type="dxa"/>
              <w:start w:w="120" w:type="dxa"/>
              <w:bottom w:w="80" w:type="dxa"/>
              <w:end w:w="120" w:type="dxa"/>
            </w:tcMar>
          </w:tcPr>
          <w:p>
            <w:pPr>
              <w:spacing w:after="0"/>
            </w:pPr>
            <w:r>
              <w:rPr>
                <w:rFonts w:ascii="Calibri" w:hAnsi="Calibri"/>
                <w:sz w:val="16"/>
              </w:rPr>
              <w:t>Signed scope and pilot schools</w:t>
            </w:r>
          </w:p>
        </w:tc>
        <w:tc>
          <w:tcPr>
            <w:tcW w:type="dxa" w:w="5080"/>
            <w:vAlign w:val="center"/>
            <w:tcMar>
              <w:top w:w="80" w:type="dxa"/>
              <w:start w:w="120" w:type="dxa"/>
              <w:bottom w:w="80" w:type="dxa"/>
              <w:end w:w="120" w:type="dxa"/>
            </w:tcMar>
          </w:tcPr>
          <w:p>
            <w:pPr>
              <w:spacing w:after="0"/>
            </w:pPr>
            <w:r>
              <w:rPr>
                <w:rFonts w:ascii="Calibri" w:hAnsi="Calibri"/>
                <w:sz w:val="16"/>
              </w:rPr>
              <w:t>Validated workflows, risks, budget and owner</w:t>
            </w:r>
          </w:p>
        </w:tc>
      </w:tr>
      <w:tr>
        <w:tc>
          <w:tcPr>
            <w:tcW w:type="dxa" w:w="1100"/>
            <w:vAlign w:val="center"/>
            <w:shd w:fill="F5F7F4"/>
            <w:tcMar>
              <w:top w:w="80" w:type="dxa"/>
              <w:start w:w="120" w:type="dxa"/>
              <w:bottom w:w="80" w:type="dxa"/>
              <w:end w:w="120" w:type="dxa"/>
            </w:tcMar>
          </w:tcPr>
          <w:p>
            <w:pPr>
              <w:spacing w:after="0"/>
            </w:pPr>
            <w:r>
              <w:rPr>
                <w:rFonts w:ascii="Calibri" w:hAnsi="Calibri"/>
                <w:sz w:val="16"/>
              </w:rPr>
              <w:t>1. Foundation</w:t>
            </w:r>
          </w:p>
        </w:tc>
        <w:tc>
          <w:tcPr>
            <w:tcW w:type="dxa" w:w="3180"/>
            <w:vAlign w:val="center"/>
            <w:shd w:fill="F5F7F4"/>
            <w:tcMar>
              <w:top w:w="80" w:type="dxa"/>
              <w:start w:w="120" w:type="dxa"/>
              <w:bottom w:w="80" w:type="dxa"/>
              <w:end w:w="120" w:type="dxa"/>
            </w:tcMar>
          </w:tcPr>
          <w:p>
            <w:pPr>
              <w:spacing w:after="0"/>
            </w:pPr>
            <w:r>
              <w:rPr>
                <w:rFonts w:ascii="Calibri" w:hAnsi="Calibri"/>
                <w:sz w:val="16"/>
              </w:rPr>
              <w:t>Secure multi-tenant identity and administration</w:t>
            </w:r>
          </w:p>
        </w:tc>
        <w:tc>
          <w:tcPr>
            <w:tcW w:type="dxa" w:w="5080"/>
            <w:vAlign w:val="center"/>
            <w:shd w:fill="F5F7F4"/>
            <w:tcMar>
              <w:top w:w="80" w:type="dxa"/>
              <w:start w:w="120" w:type="dxa"/>
              <w:bottom w:w="80" w:type="dxa"/>
              <w:end w:w="120" w:type="dxa"/>
            </w:tcMar>
          </w:tcPr>
          <w:p>
            <w:pPr>
              <w:spacing w:after="0"/>
            </w:pPr>
            <w:r>
              <w:rPr>
                <w:rFonts w:ascii="Calibri" w:hAnsi="Calibri"/>
                <w:sz w:val="16"/>
              </w:rPr>
              <w:t>Tenant isolation tests, MFA, audit, backups</w:t>
            </w:r>
          </w:p>
        </w:tc>
      </w:tr>
      <w:tr>
        <w:tc>
          <w:tcPr>
            <w:tcW w:type="dxa" w:w="1100"/>
            <w:vAlign w:val="center"/>
            <w:tcMar>
              <w:top w:w="80" w:type="dxa"/>
              <w:start w:w="120" w:type="dxa"/>
              <w:bottom w:w="80" w:type="dxa"/>
              <w:end w:w="120" w:type="dxa"/>
            </w:tcMar>
          </w:tcPr>
          <w:p>
            <w:pPr>
              <w:spacing w:after="0"/>
            </w:pPr>
            <w:r>
              <w:rPr>
                <w:rFonts w:ascii="Calibri" w:hAnsi="Calibri"/>
                <w:sz w:val="16"/>
              </w:rPr>
              <w:t>2. School core</w:t>
            </w:r>
          </w:p>
        </w:tc>
        <w:tc>
          <w:tcPr>
            <w:tcW w:type="dxa" w:w="3180"/>
            <w:vAlign w:val="center"/>
            <w:tcMar>
              <w:top w:w="80" w:type="dxa"/>
              <w:start w:w="120" w:type="dxa"/>
              <w:bottom w:w="80" w:type="dxa"/>
              <w:end w:w="120" w:type="dxa"/>
            </w:tcMar>
          </w:tcPr>
          <w:p>
            <w:pPr>
              <w:spacing w:after="0"/>
            </w:pPr>
            <w:r>
              <w:rPr>
                <w:rFonts w:ascii="Calibri" w:hAnsi="Calibri"/>
                <w:sz w:val="16"/>
              </w:rPr>
              <w:t>Students, staff, structure, timetable, attendance and messages</w:t>
            </w:r>
          </w:p>
        </w:tc>
        <w:tc>
          <w:tcPr>
            <w:tcW w:type="dxa" w:w="5080"/>
            <w:vAlign w:val="center"/>
            <w:tcMar>
              <w:top w:w="80" w:type="dxa"/>
              <w:start w:w="120" w:type="dxa"/>
              <w:bottom w:w="80" w:type="dxa"/>
              <w:end w:w="120" w:type="dxa"/>
            </w:tcMar>
          </w:tcPr>
          <w:p>
            <w:pPr>
              <w:spacing w:after="0"/>
            </w:pPr>
            <w:r>
              <w:rPr>
                <w:rFonts w:ascii="Calibri" w:hAnsi="Calibri"/>
                <w:sz w:val="16"/>
              </w:rPr>
              <w:t>Role acceptance and pilot completion</w:t>
            </w:r>
          </w:p>
        </w:tc>
      </w:tr>
      <w:tr>
        <w:tc>
          <w:tcPr>
            <w:tcW w:type="dxa" w:w="1100"/>
            <w:vAlign w:val="center"/>
            <w:shd w:fill="F5F7F4"/>
            <w:tcMar>
              <w:top w:w="80" w:type="dxa"/>
              <w:start w:w="120" w:type="dxa"/>
              <w:bottom w:w="80" w:type="dxa"/>
              <w:end w:w="120" w:type="dxa"/>
            </w:tcMar>
          </w:tcPr>
          <w:p>
            <w:pPr>
              <w:spacing w:after="0"/>
            </w:pPr>
            <w:r>
              <w:rPr>
                <w:rFonts w:ascii="Calibri" w:hAnsi="Calibri"/>
                <w:sz w:val="16"/>
              </w:rPr>
              <w:t>3. Academics</w:t>
            </w:r>
          </w:p>
        </w:tc>
        <w:tc>
          <w:tcPr>
            <w:tcW w:type="dxa" w:w="3180"/>
            <w:vAlign w:val="center"/>
            <w:shd w:fill="F5F7F4"/>
            <w:tcMar>
              <w:top w:w="80" w:type="dxa"/>
              <w:start w:w="120" w:type="dxa"/>
              <w:bottom w:w="80" w:type="dxa"/>
              <w:end w:w="120" w:type="dxa"/>
            </w:tcMar>
          </w:tcPr>
          <w:p>
            <w:pPr>
              <w:spacing w:after="0"/>
            </w:pPr>
            <w:r>
              <w:rPr>
                <w:rFonts w:ascii="Calibri" w:hAnsi="Calibri"/>
                <w:sz w:val="16"/>
              </w:rPr>
              <w:t>Learning, assignments, marks and reports</w:t>
            </w:r>
          </w:p>
        </w:tc>
        <w:tc>
          <w:tcPr>
            <w:tcW w:type="dxa" w:w="5080"/>
            <w:vAlign w:val="center"/>
            <w:shd w:fill="F5F7F4"/>
            <w:tcMar>
              <w:top w:w="80" w:type="dxa"/>
              <w:start w:w="120" w:type="dxa"/>
              <w:bottom w:w="80" w:type="dxa"/>
              <w:end w:w="120" w:type="dxa"/>
            </w:tcMar>
          </w:tcPr>
          <w:p>
            <w:pPr>
              <w:spacing w:after="0"/>
            </w:pPr>
            <w:r>
              <w:rPr>
                <w:rFonts w:ascii="Calibri" w:hAnsi="Calibri"/>
                <w:sz w:val="16"/>
              </w:rPr>
              <w:t>Calculation and publication acceptance</w:t>
            </w:r>
          </w:p>
        </w:tc>
      </w:tr>
      <w:tr>
        <w:tc>
          <w:tcPr>
            <w:tcW w:type="dxa" w:w="1100"/>
            <w:vAlign w:val="center"/>
            <w:tcMar>
              <w:top w:w="80" w:type="dxa"/>
              <w:start w:w="120" w:type="dxa"/>
              <w:bottom w:w="80" w:type="dxa"/>
              <w:end w:w="120" w:type="dxa"/>
            </w:tcMar>
          </w:tcPr>
          <w:p>
            <w:pPr>
              <w:spacing w:after="0"/>
            </w:pPr>
            <w:r>
              <w:rPr>
                <w:rFonts w:ascii="Calibri" w:hAnsi="Calibri"/>
                <w:sz w:val="16"/>
              </w:rPr>
              <w:t>4. Finance</w:t>
            </w:r>
          </w:p>
        </w:tc>
        <w:tc>
          <w:tcPr>
            <w:tcW w:type="dxa" w:w="3180"/>
            <w:vAlign w:val="center"/>
            <w:tcMar>
              <w:top w:w="80" w:type="dxa"/>
              <w:start w:w="120" w:type="dxa"/>
              <w:bottom w:w="80" w:type="dxa"/>
              <w:end w:w="120" w:type="dxa"/>
            </w:tcMar>
          </w:tcPr>
          <w:p>
            <w:pPr>
              <w:spacing w:after="0"/>
            </w:pPr>
            <w:r>
              <w:rPr>
                <w:rFonts w:ascii="Calibri" w:hAnsi="Calibri"/>
                <w:sz w:val="16"/>
              </w:rPr>
              <w:t>Invoices, ledgers, receipts and payment integration</w:t>
            </w:r>
          </w:p>
        </w:tc>
        <w:tc>
          <w:tcPr>
            <w:tcW w:type="dxa" w:w="5080"/>
            <w:vAlign w:val="center"/>
            <w:tcMar>
              <w:top w:w="80" w:type="dxa"/>
              <w:start w:w="120" w:type="dxa"/>
              <w:bottom w:w="80" w:type="dxa"/>
              <w:end w:w="120" w:type="dxa"/>
            </w:tcMar>
          </w:tcPr>
          <w:p>
            <w:pPr>
              <w:spacing w:after="0"/>
            </w:pPr>
            <w:r>
              <w:rPr>
                <w:rFonts w:ascii="Calibri" w:hAnsi="Calibri"/>
                <w:sz w:val="16"/>
              </w:rPr>
              <w:t>Reconciliation, reversal and audit acceptance</w:t>
            </w:r>
          </w:p>
        </w:tc>
      </w:tr>
      <w:tr>
        <w:tc>
          <w:tcPr>
            <w:tcW w:type="dxa" w:w="1100"/>
            <w:vAlign w:val="center"/>
            <w:shd w:fill="F5F7F4"/>
            <w:tcMar>
              <w:top w:w="80" w:type="dxa"/>
              <w:start w:w="120" w:type="dxa"/>
              <w:bottom w:w="80" w:type="dxa"/>
              <w:end w:w="120" w:type="dxa"/>
            </w:tcMar>
          </w:tcPr>
          <w:p>
            <w:pPr>
              <w:spacing w:after="0"/>
            </w:pPr>
            <w:r>
              <w:rPr>
                <w:rFonts w:ascii="Calibri" w:hAnsi="Calibri"/>
                <w:sz w:val="16"/>
              </w:rPr>
              <w:t>5. Operations</w:t>
            </w:r>
          </w:p>
        </w:tc>
        <w:tc>
          <w:tcPr>
            <w:tcW w:type="dxa" w:w="3180"/>
            <w:vAlign w:val="center"/>
            <w:shd w:fill="F5F7F4"/>
            <w:tcMar>
              <w:top w:w="80" w:type="dxa"/>
              <w:start w:w="120" w:type="dxa"/>
              <w:bottom w:w="80" w:type="dxa"/>
              <w:end w:w="120" w:type="dxa"/>
            </w:tcMar>
          </w:tcPr>
          <w:p>
            <w:pPr>
              <w:spacing w:after="0"/>
            </w:pPr>
            <w:r>
              <w:rPr>
                <w:rFonts w:ascii="Calibri" w:hAnsi="Calibri"/>
                <w:sz w:val="16"/>
              </w:rPr>
              <w:t>Library, transport, HR support and analytics</w:t>
            </w:r>
          </w:p>
        </w:tc>
        <w:tc>
          <w:tcPr>
            <w:tcW w:type="dxa" w:w="5080"/>
            <w:vAlign w:val="center"/>
            <w:shd w:fill="F5F7F4"/>
            <w:tcMar>
              <w:top w:w="80" w:type="dxa"/>
              <w:start w:w="120" w:type="dxa"/>
              <w:bottom w:w="80" w:type="dxa"/>
              <w:end w:w="120" w:type="dxa"/>
            </w:tcMar>
          </w:tcPr>
          <w:p>
            <w:pPr>
              <w:spacing w:after="0"/>
            </w:pPr>
            <w:r>
              <w:rPr>
                <w:rFonts w:ascii="Calibri" w:hAnsi="Calibri"/>
                <w:sz w:val="16"/>
              </w:rPr>
              <w:t>Module acceptance and support readiness</w:t>
            </w:r>
          </w:p>
        </w:tc>
      </w:tr>
      <w:tr>
        <w:tc>
          <w:tcPr>
            <w:tcW w:type="dxa" w:w="1100"/>
            <w:vAlign w:val="center"/>
            <w:tcMar>
              <w:top w:w="80" w:type="dxa"/>
              <w:start w:w="120" w:type="dxa"/>
              <w:bottom w:w="80" w:type="dxa"/>
              <w:end w:w="120" w:type="dxa"/>
            </w:tcMar>
          </w:tcPr>
          <w:p>
            <w:pPr>
              <w:spacing w:after="0"/>
            </w:pPr>
            <w:r>
              <w:rPr>
                <w:rFonts w:ascii="Calibri" w:hAnsi="Calibri"/>
                <w:sz w:val="16"/>
              </w:rPr>
              <w:t>6. Scale</w:t>
            </w:r>
          </w:p>
        </w:tc>
        <w:tc>
          <w:tcPr>
            <w:tcW w:type="dxa" w:w="3180"/>
            <w:vAlign w:val="center"/>
            <w:tcMar>
              <w:top w:w="80" w:type="dxa"/>
              <w:start w:w="120" w:type="dxa"/>
              <w:bottom w:w="80" w:type="dxa"/>
              <w:end w:w="120" w:type="dxa"/>
            </w:tcMar>
          </w:tcPr>
          <w:p>
            <w:pPr>
              <w:spacing w:after="0"/>
            </w:pPr>
            <w:r>
              <w:rPr>
                <w:rFonts w:ascii="Calibri" w:hAnsi="Calibri"/>
                <w:sz w:val="16"/>
              </w:rPr>
              <w:t>Automation, performance, integrations and commercial rollout</w:t>
            </w:r>
          </w:p>
        </w:tc>
        <w:tc>
          <w:tcPr>
            <w:tcW w:type="dxa" w:w="5080"/>
            <w:vAlign w:val="center"/>
            <w:tcMar>
              <w:top w:w="80" w:type="dxa"/>
              <w:start w:w="120" w:type="dxa"/>
              <w:bottom w:w="80" w:type="dxa"/>
              <w:end w:w="120" w:type="dxa"/>
            </w:tcMar>
          </w:tcPr>
          <w:p>
            <w:pPr>
              <w:spacing w:after="0"/>
            </w:pPr>
            <w:r>
              <w:rPr>
                <w:rFonts w:ascii="Calibri" w:hAnsi="Calibri"/>
                <w:sz w:val="16"/>
              </w:rPr>
              <w:t>Reliability targets and repeatable onboarding</w:t>
            </w:r>
          </w:p>
        </w:tc>
      </w:tr>
    </w:tbl>
    <w:p/>
    <w:p>
      <w:r>
        <w:br w:type="page"/>
      </w:r>
    </w:p>
    <w:p>
      <w:pPr>
        <w:pStyle w:val="Heading1"/>
      </w:pPr>
      <w:r>
        <w:t>32. Detailed functional requirement standard</w:t>
      </w:r>
    </w:p>
    <w:p>
      <w:r>
        <w:t>Every production feature must be specified and accepted using the same contract. This prevents a screen from being considered complete when its validations, permissions, audit events, notifications or failure handling are missing.</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73C31"/>
            <w:tcMar>
              <w:top w:w="80" w:type="dxa"/>
              <w:start w:w="120" w:type="dxa"/>
              <w:bottom w:w="80" w:type="dxa"/>
              <w:end w:w="120" w:type="dxa"/>
            </w:tcMar>
          </w:tcPr>
          <w:p>
            <w:r>
              <w:rPr>
                <w:b/>
                <w:color w:val="FFFFFF"/>
                <w:sz w:val="17"/>
              </w:rPr>
              <w:t>Requirement field</w:t>
            </w:r>
          </w:p>
        </w:tc>
        <w:tc>
          <w:tcPr>
            <w:tcW w:type="dxa" w:w="7560"/>
            <w:shd w:fill="173C31"/>
            <w:tcMar>
              <w:top w:w="80" w:type="dxa"/>
              <w:start w:w="120" w:type="dxa"/>
              <w:bottom w:w="80" w:type="dxa"/>
              <w:end w:w="120" w:type="dxa"/>
            </w:tcMar>
          </w:tcPr>
          <w:p>
            <w:r>
              <w:rPr>
                <w:b/>
                <w:color w:val="FFFFFF"/>
                <w:sz w:val="17"/>
              </w:rPr>
              <w:t>Mandatory content</w:t>
            </w:r>
          </w:p>
        </w:tc>
      </w:tr>
      <w:tr>
        <w:tc>
          <w:tcPr>
            <w:tcW w:type="dxa" w:w="1800"/>
            <w:vAlign w:val="center"/>
            <w:tcMar>
              <w:top w:w="80" w:type="dxa"/>
              <w:start w:w="120" w:type="dxa"/>
              <w:bottom w:w="80" w:type="dxa"/>
              <w:end w:w="120" w:type="dxa"/>
            </w:tcMar>
          </w:tcPr>
          <w:p>
            <w:pPr>
              <w:spacing w:after="0"/>
            </w:pPr>
            <w:r>
              <w:rPr>
                <w:rFonts w:ascii="Calibri" w:hAnsi="Calibri"/>
                <w:sz w:val="16"/>
              </w:rPr>
              <w:t>Identifier</w:t>
            </w:r>
          </w:p>
        </w:tc>
        <w:tc>
          <w:tcPr>
            <w:tcW w:type="dxa" w:w="7560"/>
            <w:vAlign w:val="center"/>
            <w:tcMar>
              <w:top w:w="80" w:type="dxa"/>
              <w:start w:w="120" w:type="dxa"/>
              <w:bottom w:w="80" w:type="dxa"/>
              <w:end w:w="120" w:type="dxa"/>
            </w:tcMar>
          </w:tcPr>
          <w:p>
            <w:pPr>
              <w:spacing w:after="0"/>
            </w:pPr>
            <w:r>
              <w:rPr>
                <w:rFonts w:ascii="Calibri" w:hAnsi="Calibri"/>
                <w:sz w:val="16"/>
              </w:rPr>
              <w:t>Stable code such as ATT-REG-001</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Purpose</w:t>
            </w:r>
          </w:p>
        </w:tc>
        <w:tc>
          <w:tcPr>
            <w:tcW w:type="dxa" w:w="7560"/>
            <w:vAlign w:val="center"/>
            <w:shd w:fill="F5F7F4"/>
            <w:tcMar>
              <w:top w:w="80" w:type="dxa"/>
              <w:start w:w="120" w:type="dxa"/>
              <w:bottom w:w="80" w:type="dxa"/>
              <w:end w:w="120" w:type="dxa"/>
            </w:tcMar>
          </w:tcPr>
          <w:p>
            <w:pPr>
              <w:spacing w:after="0"/>
            </w:pPr>
            <w:r>
              <w:rPr>
                <w:rFonts w:ascii="Calibri" w:hAnsi="Calibri"/>
                <w:sz w:val="16"/>
              </w:rPr>
              <w:t>User outcome and business reason</w:t>
            </w:r>
          </w:p>
        </w:tc>
      </w:tr>
      <w:tr>
        <w:tc>
          <w:tcPr>
            <w:tcW w:type="dxa" w:w="1800"/>
            <w:vAlign w:val="center"/>
            <w:tcMar>
              <w:top w:w="80" w:type="dxa"/>
              <w:start w:w="120" w:type="dxa"/>
              <w:bottom w:w="80" w:type="dxa"/>
              <w:end w:w="120" w:type="dxa"/>
            </w:tcMar>
          </w:tcPr>
          <w:p>
            <w:pPr>
              <w:spacing w:after="0"/>
            </w:pPr>
            <w:r>
              <w:rPr>
                <w:rFonts w:ascii="Calibri" w:hAnsi="Calibri"/>
                <w:sz w:val="16"/>
              </w:rPr>
              <w:t>Actors</w:t>
            </w:r>
          </w:p>
        </w:tc>
        <w:tc>
          <w:tcPr>
            <w:tcW w:type="dxa" w:w="7560"/>
            <w:vAlign w:val="center"/>
            <w:tcMar>
              <w:top w:w="80" w:type="dxa"/>
              <w:start w:w="120" w:type="dxa"/>
              <w:bottom w:w="80" w:type="dxa"/>
              <w:end w:w="120" w:type="dxa"/>
            </w:tcMar>
          </w:tcPr>
          <w:p>
            <w:pPr>
              <w:spacing w:after="0"/>
            </w:pPr>
            <w:r>
              <w:rPr>
                <w:rFonts w:ascii="Calibri" w:hAnsi="Calibri"/>
                <w:sz w:val="16"/>
              </w:rPr>
              <w:t>Roles allowed to start, review, approve or receive the workflow</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Preconditions</w:t>
            </w:r>
          </w:p>
        </w:tc>
        <w:tc>
          <w:tcPr>
            <w:tcW w:type="dxa" w:w="7560"/>
            <w:vAlign w:val="center"/>
            <w:shd w:fill="F5F7F4"/>
            <w:tcMar>
              <w:top w:w="80" w:type="dxa"/>
              <w:start w:w="120" w:type="dxa"/>
              <w:bottom w:w="80" w:type="dxa"/>
              <w:end w:w="120" w:type="dxa"/>
            </w:tcMar>
          </w:tcPr>
          <w:p>
            <w:pPr>
              <w:spacing w:after="0"/>
            </w:pPr>
            <w:r>
              <w:rPr>
                <w:rFonts w:ascii="Calibri" w:hAnsi="Calibri"/>
                <w:sz w:val="16"/>
              </w:rPr>
              <w:t>Required tenant, period, assignment, permission and record state</w:t>
            </w:r>
          </w:p>
        </w:tc>
      </w:tr>
      <w:tr>
        <w:tc>
          <w:tcPr>
            <w:tcW w:type="dxa" w:w="1800"/>
            <w:vAlign w:val="center"/>
            <w:tcMar>
              <w:top w:w="80" w:type="dxa"/>
              <w:start w:w="120" w:type="dxa"/>
              <w:bottom w:w="80" w:type="dxa"/>
              <w:end w:w="120" w:type="dxa"/>
            </w:tcMar>
          </w:tcPr>
          <w:p>
            <w:pPr>
              <w:spacing w:after="0"/>
            </w:pPr>
            <w:r>
              <w:rPr>
                <w:rFonts w:ascii="Calibri" w:hAnsi="Calibri"/>
                <w:sz w:val="16"/>
              </w:rPr>
              <w:t>Inputs</w:t>
            </w:r>
          </w:p>
        </w:tc>
        <w:tc>
          <w:tcPr>
            <w:tcW w:type="dxa" w:w="7560"/>
            <w:vAlign w:val="center"/>
            <w:tcMar>
              <w:top w:w="80" w:type="dxa"/>
              <w:start w:w="120" w:type="dxa"/>
              <w:bottom w:w="80" w:type="dxa"/>
              <w:end w:w="120" w:type="dxa"/>
            </w:tcMar>
          </w:tcPr>
          <w:p>
            <w:pPr>
              <w:spacing w:after="0"/>
            </w:pPr>
            <w:r>
              <w:rPr>
                <w:rFonts w:ascii="Calibri" w:hAnsi="Calibri"/>
                <w:sz w:val="16"/>
              </w:rPr>
              <w:t>Fields, formats, required status and data classification</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Validations</w:t>
            </w:r>
          </w:p>
        </w:tc>
        <w:tc>
          <w:tcPr>
            <w:tcW w:type="dxa" w:w="7560"/>
            <w:vAlign w:val="center"/>
            <w:shd w:fill="F5F7F4"/>
            <w:tcMar>
              <w:top w:w="80" w:type="dxa"/>
              <w:start w:w="120" w:type="dxa"/>
              <w:bottom w:w="80" w:type="dxa"/>
              <w:end w:w="120" w:type="dxa"/>
            </w:tcMar>
          </w:tcPr>
          <w:p>
            <w:pPr>
              <w:spacing w:after="0"/>
            </w:pPr>
            <w:r>
              <w:rPr>
                <w:rFonts w:ascii="Calibri" w:hAnsi="Calibri"/>
                <w:sz w:val="16"/>
              </w:rPr>
              <w:t>Server-side rules, duplicates, ranges, dates and cross-record checks</w:t>
            </w:r>
          </w:p>
        </w:tc>
      </w:tr>
      <w:tr>
        <w:tc>
          <w:tcPr>
            <w:tcW w:type="dxa" w:w="1800"/>
            <w:vAlign w:val="center"/>
            <w:tcMar>
              <w:top w:w="80" w:type="dxa"/>
              <w:start w:w="120" w:type="dxa"/>
              <w:bottom w:w="80" w:type="dxa"/>
              <w:end w:w="120" w:type="dxa"/>
            </w:tcMar>
          </w:tcPr>
          <w:p>
            <w:pPr>
              <w:spacing w:after="0"/>
            </w:pPr>
            <w:r>
              <w:rPr>
                <w:rFonts w:ascii="Calibri" w:hAnsi="Calibri"/>
                <w:sz w:val="16"/>
              </w:rPr>
              <w:t>Happy path</w:t>
            </w:r>
          </w:p>
        </w:tc>
        <w:tc>
          <w:tcPr>
            <w:tcW w:type="dxa" w:w="7560"/>
            <w:vAlign w:val="center"/>
            <w:tcMar>
              <w:top w:w="80" w:type="dxa"/>
              <w:start w:w="120" w:type="dxa"/>
              <w:bottom w:w="80" w:type="dxa"/>
              <w:end w:w="120" w:type="dxa"/>
            </w:tcMar>
          </w:tcPr>
          <w:p>
            <w:pPr>
              <w:spacing w:after="0"/>
            </w:pPr>
            <w:r>
              <w:rPr>
                <w:rFonts w:ascii="Calibri" w:hAnsi="Calibri"/>
                <w:sz w:val="16"/>
              </w:rPr>
              <w:t>Ordered steps from start to confirmed completion</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Alternative paths</w:t>
            </w:r>
          </w:p>
        </w:tc>
        <w:tc>
          <w:tcPr>
            <w:tcW w:type="dxa" w:w="7560"/>
            <w:vAlign w:val="center"/>
            <w:shd w:fill="F5F7F4"/>
            <w:tcMar>
              <w:top w:w="80" w:type="dxa"/>
              <w:start w:w="120" w:type="dxa"/>
              <w:bottom w:w="80" w:type="dxa"/>
              <w:end w:w="120" w:type="dxa"/>
            </w:tcMar>
          </w:tcPr>
          <w:p>
            <w:pPr>
              <w:spacing w:after="0"/>
            </w:pPr>
            <w:r>
              <w:rPr>
                <w:rFonts w:ascii="Calibri" w:hAnsi="Calibri"/>
                <w:sz w:val="16"/>
              </w:rPr>
              <w:t>Draft, cancellation, correction, rejection, retry and escalation</w:t>
            </w:r>
          </w:p>
        </w:tc>
      </w:tr>
      <w:tr>
        <w:tc>
          <w:tcPr>
            <w:tcW w:type="dxa" w:w="1800"/>
            <w:vAlign w:val="center"/>
            <w:tcMar>
              <w:top w:w="80" w:type="dxa"/>
              <w:start w:w="120" w:type="dxa"/>
              <w:bottom w:w="80" w:type="dxa"/>
              <w:end w:w="120" w:type="dxa"/>
            </w:tcMar>
          </w:tcPr>
          <w:p>
            <w:pPr>
              <w:spacing w:after="0"/>
            </w:pPr>
            <w:r>
              <w:rPr>
                <w:rFonts w:ascii="Calibri" w:hAnsi="Calibri"/>
                <w:sz w:val="16"/>
              </w:rPr>
              <w:t>Outputs</w:t>
            </w:r>
          </w:p>
        </w:tc>
        <w:tc>
          <w:tcPr>
            <w:tcW w:type="dxa" w:w="7560"/>
            <w:vAlign w:val="center"/>
            <w:tcMar>
              <w:top w:w="80" w:type="dxa"/>
              <w:start w:w="120" w:type="dxa"/>
              <w:bottom w:w="80" w:type="dxa"/>
              <w:end w:w="120" w:type="dxa"/>
            </w:tcMar>
          </w:tcPr>
          <w:p>
            <w:pPr>
              <w:spacing w:after="0"/>
            </w:pPr>
            <w:r>
              <w:rPr>
                <w:rFonts w:ascii="Calibri" w:hAnsi="Calibri"/>
                <w:sz w:val="16"/>
              </w:rPr>
              <w:t>Records, files, ledger events, audit entries and notifications</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Permissions</w:t>
            </w:r>
          </w:p>
        </w:tc>
        <w:tc>
          <w:tcPr>
            <w:tcW w:type="dxa" w:w="7560"/>
            <w:vAlign w:val="center"/>
            <w:shd w:fill="F5F7F4"/>
            <w:tcMar>
              <w:top w:w="80" w:type="dxa"/>
              <w:start w:w="120" w:type="dxa"/>
              <w:bottom w:w="80" w:type="dxa"/>
              <w:end w:w="120" w:type="dxa"/>
            </w:tcMar>
          </w:tcPr>
          <w:p>
            <w:pPr>
              <w:spacing w:after="0"/>
            </w:pPr>
            <w:r>
              <w:rPr>
                <w:rFonts w:ascii="Calibri" w:hAnsi="Calibri"/>
                <w:sz w:val="16"/>
              </w:rPr>
              <w:t>Action and record scope checked at every step</w:t>
            </w:r>
          </w:p>
        </w:tc>
      </w:tr>
      <w:tr>
        <w:tc>
          <w:tcPr>
            <w:tcW w:type="dxa" w:w="1800"/>
            <w:vAlign w:val="center"/>
            <w:tcMar>
              <w:top w:w="80" w:type="dxa"/>
              <w:start w:w="120" w:type="dxa"/>
              <w:bottom w:w="80" w:type="dxa"/>
              <w:end w:w="120" w:type="dxa"/>
            </w:tcMar>
          </w:tcPr>
          <w:p>
            <w:pPr>
              <w:spacing w:after="0"/>
            </w:pPr>
            <w:r>
              <w:rPr>
                <w:rFonts w:ascii="Calibri" w:hAnsi="Calibri"/>
                <w:sz w:val="16"/>
              </w:rPr>
              <w:t>Acceptance</w:t>
            </w:r>
          </w:p>
        </w:tc>
        <w:tc>
          <w:tcPr>
            <w:tcW w:type="dxa" w:w="7560"/>
            <w:vAlign w:val="center"/>
            <w:tcMar>
              <w:top w:w="80" w:type="dxa"/>
              <w:start w:w="120" w:type="dxa"/>
              <w:bottom w:w="80" w:type="dxa"/>
              <w:end w:w="120" w:type="dxa"/>
            </w:tcMar>
          </w:tcPr>
          <w:p>
            <w:pPr>
              <w:spacing w:after="0"/>
            </w:pPr>
            <w:r>
              <w:rPr>
                <w:rFonts w:ascii="Calibri" w:hAnsi="Calibri"/>
                <w:sz w:val="16"/>
              </w:rPr>
              <w:t>Observable positive and negative pass/fail criteria</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Telemetry</w:t>
            </w:r>
          </w:p>
        </w:tc>
        <w:tc>
          <w:tcPr>
            <w:tcW w:type="dxa" w:w="7560"/>
            <w:vAlign w:val="center"/>
            <w:shd w:fill="F5F7F4"/>
            <w:tcMar>
              <w:top w:w="80" w:type="dxa"/>
              <w:start w:w="120" w:type="dxa"/>
              <w:bottom w:w="80" w:type="dxa"/>
              <w:end w:w="120" w:type="dxa"/>
            </w:tcMar>
          </w:tcPr>
          <w:p>
            <w:pPr>
              <w:spacing w:after="0"/>
            </w:pPr>
            <w:r>
              <w:rPr>
                <w:rFonts w:ascii="Calibri" w:hAnsi="Calibri"/>
                <w:sz w:val="16"/>
              </w:rPr>
              <w:t>Operational metric, failure event and alert</w:t>
            </w:r>
          </w:p>
        </w:tc>
      </w:tr>
    </w:tbl>
    <w:p/>
    <w:p>
      <w:pPr>
        <w:pStyle w:val="Heading2"/>
      </w:pPr>
      <w:r>
        <w:t>32.1 Definition of ready</w:t>
      </w:r>
    </w:p>
    <w:p>
      <w:pPr>
        <w:pStyle w:val="ListBullet"/>
      </w:pPr>
      <w:r>
        <w:t>Named owner and affected roles confirmed.</w:t>
      </w:r>
    </w:p>
    <w:p>
      <w:pPr>
        <w:pStyle w:val="ListBullet"/>
      </w:pPr>
      <w:r>
        <w:t>Uganda-specific assumptions validated with pilot schools.</w:t>
      </w:r>
    </w:p>
    <w:p>
      <w:pPr>
        <w:pStyle w:val="ListBullet"/>
      </w:pPr>
      <w:r>
        <w:t>Data, consent, retention and permission classifications known.</w:t>
      </w:r>
    </w:p>
    <w:p>
      <w:pPr>
        <w:pStyle w:val="ListBullet"/>
      </w:pPr>
      <w:r>
        <w:t>UI flow, error states, integrations and acceptance criteria documented.</w:t>
      </w:r>
    </w:p>
    <w:p>
      <w:pPr>
        <w:pStyle w:val="ListBullet"/>
      </w:pPr>
      <w:r>
        <w:t>Dependencies, migration impact and rollout strategy identified.</w:t>
      </w:r>
    </w:p>
    <w:p>
      <w:pPr>
        <w:pStyle w:val="Heading2"/>
      </w:pPr>
      <w:r>
        <w:t>32.2 Definition of done</w:t>
      </w:r>
    </w:p>
    <w:p>
      <w:pPr>
        <w:pStyle w:val="ListBullet"/>
      </w:pPr>
      <w:r>
        <w:t>Code, migration and configuration reviewed.</w:t>
      </w:r>
    </w:p>
    <w:p>
      <w:pPr>
        <w:pStyle w:val="ListBullet"/>
      </w:pPr>
      <w:r>
        <w:t>Authorisation, tenant isolation, validation, accessibility and audit tests pass.</w:t>
      </w:r>
    </w:p>
    <w:p>
      <w:pPr>
        <w:pStyle w:val="ListBullet"/>
      </w:pPr>
      <w:r>
        <w:t>Help and administrator documentation updated.</w:t>
      </w:r>
    </w:p>
    <w:p>
      <w:pPr>
        <w:pStyle w:val="ListBullet"/>
      </w:pPr>
      <w:r>
        <w:t>Monitoring, backup and rollback active.</w:t>
      </w:r>
    </w:p>
    <w:p>
      <w:pPr>
        <w:pStyle w:val="ListBullet"/>
      </w:pPr>
      <w:r>
        <w:t>School representative accepts the workflow in staging.</w:t>
      </w:r>
    </w:p>
    <w:p>
      <w:pPr>
        <w:pStyle w:val="Heading1"/>
      </w:pPr>
      <w:r>
        <w:t>33. Field-level data dictionary and validation</w:t>
      </w:r>
    </w:p>
    <w:p>
      <w:r>
        <w:t>The engineering schema must have a maintained data dictionary defining every stored field. It drives forms, imports, APIs, reports, permissions, retention and privacy notices.</w:t>
      </w:r>
    </w:p>
    <w:tbl>
      <w:tblPr>
        <w:tblStyle w:val="TableGrid"/>
        <w:tblW w:type="dxa" w:w="9360"/>
        <w:jc w:val="left"/>
        <w:tblLayout w:type="fixed"/>
        <w:tblLook w:firstColumn="1" w:firstRow="1" w:lastColumn="0" w:lastRow="0" w:noHBand="0" w:noVBand="1" w:val="04A0"/>
        <w:tblInd w:w="120" w:type="dxa"/>
      </w:tblPr>
      <w:tblGrid>
        <w:gridCol w:w="1550"/>
        <w:gridCol w:w="3800"/>
        <w:gridCol w:w="4010"/>
      </w:tblGrid>
      <w:tr>
        <w:tc>
          <w:tcPr>
            <w:tcW w:type="dxa" w:w="1550"/>
            <w:shd w:fill="173C31"/>
            <w:tcMar>
              <w:top w:w="80" w:type="dxa"/>
              <w:start w:w="120" w:type="dxa"/>
              <w:bottom w:w="80" w:type="dxa"/>
              <w:end w:w="120" w:type="dxa"/>
            </w:tcMar>
          </w:tcPr>
          <w:p>
            <w:r>
              <w:rPr>
                <w:b/>
                <w:color w:val="FFFFFF"/>
                <w:sz w:val="17"/>
              </w:rPr>
              <w:t>Data group</w:t>
            </w:r>
          </w:p>
        </w:tc>
        <w:tc>
          <w:tcPr>
            <w:tcW w:type="dxa" w:w="3800"/>
            <w:shd w:fill="173C31"/>
            <w:tcMar>
              <w:top w:w="80" w:type="dxa"/>
              <w:start w:w="120" w:type="dxa"/>
              <w:bottom w:w="80" w:type="dxa"/>
              <w:end w:w="120" w:type="dxa"/>
            </w:tcMar>
          </w:tcPr>
          <w:p>
            <w:r>
              <w:rPr>
                <w:b/>
                <w:color w:val="FFFFFF"/>
                <w:sz w:val="17"/>
              </w:rPr>
              <w:t>Key fields</w:t>
            </w:r>
          </w:p>
        </w:tc>
        <w:tc>
          <w:tcPr>
            <w:tcW w:type="dxa" w:w="4010"/>
            <w:shd w:fill="173C31"/>
            <w:tcMar>
              <w:top w:w="80" w:type="dxa"/>
              <w:start w:w="120" w:type="dxa"/>
              <w:bottom w:w="80" w:type="dxa"/>
              <w:end w:w="120" w:type="dxa"/>
            </w:tcMar>
          </w:tcPr>
          <w:p>
            <w:r>
              <w:rPr>
                <w:b/>
                <w:color w:val="FFFFFF"/>
                <w:sz w:val="17"/>
              </w:rPr>
              <w:t>Important rules</w:t>
            </w:r>
          </w:p>
        </w:tc>
      </w:tr>
      <w:tr>
        <w:tc>
          <w:tcPr>
            <w:tcW w:type="dxa" w:w="1550"/>
            <w:vAlign w:val="center"/>
            <w:tcMar>
              <w:top w:w="80" w:type="dxa"/>
              <w:start w:w="120" w:type="dxa"/>
              <w:bottom w:w="80" w:type="dxa"/>
              <w:end w:w="120" w:type="dxa"/>
            </w:tcMar>
          </w:tcPr>
          <w:p>
            <w:pPr>
              <w:spacing w:after="0"/>
            </w:pPr>
            <w:r>
              <w:rPr>
                <w:rFonts w:ascii="Calibri" w:hAnsi="Calibri"/>
                <w:sz w:val="16"/>
              </w:rPr>
              <w:t>Identity</w:t>
            </w:r>
          </w:p>
        </w:tc>
        <w:tc>
          <w:tcPr>
            <w:tcW w:type="dxa" w:w="3800"/>
            <w:vAlign w:val="center"/>
            <w:tcMar>
              <w:top w:w="80" w:type="dxa"/>
              <w:start w:w="120" w:type="dxa"/>
              <w:bottom w:w="80" w:type="dxa"/>
              <w:end w:w="120" w:type="dxa"/>
            </w:tcMar>
          </w:tcPr>
          <w:p>
            <w:pPr>
              <w:spacing w:after="0"/>
            </w:pPr>
            <w:r>
              <w:rPr>
                <w:rFonts w:ascii="Calibri" w:hAnsi="Calibri"/>
                <w:sz w:val="16"/>
              </w:rPr>
              <w:t>person ID, names, birth date, contacts</w:t>
            </w:r>
          </w:p>
        </w:tc>
        <w:tc>
          <w:tcPr>
            <w:tcW w:type="dxa" w:w="4010"/>
            <w:vAlign w:val="center"/>
            <w:tcMar>
              <w:top w:w="80" w:type="dxa"/>
              <w:start w:w="120" w:type="dxa"/>
              <w:bottom w:w="80" w:type="dxa"/>
              <w:end w:w="120" w:type="dxa"/>
            </w:tcMar>
          </w:tcPr>
          <w:p>
            <w:pPr>
              <w:spacing w:after="0"/>
            </w:pPr>
            <w:r>
              <w:rPr>
                <w:rFonts w:ascii="Calibri" w:hAnsi="Calibri"/>
                <w:sz w:val="16"/>
              </w:rPr>
              <w:t>Stable ID; name history; verified contacts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Student</w:t>
            </w:r>
          </w:p>
        </w:tc>
        <w:tc>
          <w:tcPr>
            <w:tcW w:type="dxa" w:w="3800"/>
            <w:vAlign w:val="center"/>
            <w:shd w:fill="F5F7F4"/>
            <w:tcMar>
              <w:top w:w="80" w:type="dxa"/>
              <w:start w:w="120" w:type="dxa"/>
              <w:bottom w:w="80" w:type="dxa"/>
              <w:end w:w="120" w:type="dxa"/>
            </w:tcMar>
          </w:tcPr>
          <w:p>
            <w:pPr>
              <w:spacing w:after="0"/>
            </w:pPr>
            <w:r>
              <w:rPr>
                <w:rFonts w:ascii="Calibri" w:hAnsi="Calibri"/>
                <w:sz w:val="16"/>
              </w:rPr>
              <w:t>admission no., campus, class/programme, status</w:t>
            </w:r>
          </w:p>
        </w:tc>
        <w:tc>
          <w:tcPr>
            <w:tcW w:type="dxa" w:w="4010"/>
            <w:vAlign w:val="center"/>
            <w:shd w:fill="F5F7F4"/>
            <w:tcMar>
              <w:top w:w="80" w:type="dxa"/>
              <w:start w:w="120" w:type="dxa"/>
              <w:bottom w:w="80" w:type="dxa"/>
              <w:end w:w="120" w:type="dxa"/>
            </w:tcMar>
          </w:tcPr>
          <w:p>
            <w:pPr>
              <w:spacing w:after="0"/>
            </w:pPr>
            <w:r>
              <w:rPr>
                <w:rFonts w:ascii="Calibri" w:hAnsi="Calibri"/>
                <w:sz w:val="16"/>
              </w:rPr>
              <w:t>Unique within tenant; effective-dated status</w:t>
            </w:r>
          </w:p>
        </w:tc>
      </w:tr>
      <w:tr>
        <w:tc>
          <w:tcPr>
            <w:tcW w:type="dxa" w:w="1550"/>
            <w:vAlign w:val="center"/>
            <w:tcMar>
              <w:top w:w="80" w:type="dxa"/>
              <w:start w:w="120" w:type="dxa"/>
              <w:bottom w:w="80" w:type="dxa"/>
              <w:end w:w="120" w:type="dxa"/>
            </w:tcMar>
          </w:tcPr>
          <w:p>
            <w:pPr>
              <w:spacing w:after="0"/>
            </w:pPr>
            <w:r>
              <w:rPr>
                <w:rFonts w:ascii="Calibri" w:hAnsi="Calibri"/>
                <w:sz w:val="16"/>
              </w:rPr>
              <w:t>Guardian link</w:t>
            </w:r>
          </w:p>
        </w:tc>
        <w:tc>
          <w:tcPr>
            <w:tcW w:type="dxa" w:w="3800"/>
            <w:vAlign w:val="center"/>
            <w:tcMar>
              <w:top w:w="80" w:type="dxa"/>
              <w:start w:w="120" w:type="dxa"/>
              <w:bottom w:w="80" w:type="dxa"/>
              <w:end w:w="120" w:type="dxa"/>
            </w:tcMar>
          </w:tcPr>
          <w:p>
            <w:pPr>
              <w:spacing w:after="0"/>
            </w:pPr>
            <w:r>
              <w:rPr>
                <w:rFonts w:ascii="Calibri" w:hAnsi="Calibri"/>
                <w:sz w:val="16"/>
              </w:rPr>
              <w:t>student, guardian, relationship, authority, verification</w:t>
            </w:r>
          </w:p>
        </w:tc>
        <w:tc>
          <w:tcPr>
            <w:tcW w:type="dxa" w:w="4010"/>
            <w:vAlign w:val="center"/>
            <w:tcMar>
              <w:top w:w="80" w:type="dxa"/>
              <w:start w:w="120" w:type="dxa"/>
              <w:bottom w:w="80" w:type="dxa"/>
              <w:end w:w="120" w:type="dxa"/>
            </w:tcMar>
          </w:tcPr>
          <w:p>
            <w:pPr>
              <w:spacing w:after="0"/>
            </w:pPr>
            <w:r>
              <w:rPr>
                <w:rFonts w:ascii="Calibri" w:hAnsi="Calibri"/>
                <w:sz w:val="16"/>
              </w:rPr>
              <w:t>No access before school verification</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Staff</w:t>
            </w:r>
          </w:p>
        </w:tc>
        <w:tc>
          <w:tcPr>
            <w:tcW w:type="dxa" w:w="3800"/>
            <w:vAlign w:val="center"/>
            <w:shd w:fill="F5F7F4"/>
            <w:tcMar>
              <w:top w:w="80" w:type="dxa"/>
              <w:start w:w="120" w:type="dxa"/>
              <w:bottom w:w="80" w:type="dxa"/>
              <w:end w:w="120" w:type="dxa"/>
            </w:tcMar>
          </w:tcPr>
          <w:p>
            <w:pPr>
              <w:spacing w:after="0"/>
            </w:pPr>
            <w:r>
              <w:rPr>
                <w:rFonts w:ascii="Calibri" w:hAnsi="Calibri"/>
                <w:sz w:val="16"/>
              </w:rPr>
              <w:t>staff no., department, employment status, supervisor</w:t>
            </w:r>
          </w:p>
        </w:tc>
        <w:tc>
          <w:tcPr>
            <w:tcW w:type="dxa" w:w="4010"/>
            <w:vAlign w:val="center"/>
            <w:shd w:fill="F5F7F4"/>
            <w:tcMar>
              <w:top w:w="80" w:type="dxa"/>
              <w:start w:w="120" w:type="dxa"/>
              <w:bottom w:w="80" w:type="dxa"/>
              <w:end w:w="120" w:type="dxa"/>
            </w:tcMar>
          </w:tcPr>
          <w:p>
            <w:pPr>
              <w:spacing w:after="0"/>
            </w:pPr>
            <w:r>
              <w:rPr>
                <w:rFonts w:ascii="Calibri" w:hAnsi="Calibri"/>
                <w:sz w:val="16"/>
              </w:rPr>
              <w:t>Access cannot outlive assignment by default</w:t>
            </w:r>
          </w:p>
        </w:tc>
      </w:tr>
      <w:tr>
        <w:tc>
          <w:tcPr>
            <w:tcW w:type="dxa" w:w="1550"/>
            <w:vAlign w:val="center"/>
            <w:tcMar>
              <w:top w:w="80" w:type="dxa"/>
              <w:start w:w="120" w:type="dxa"/>
              <w:bottom w:w="80" w:type="dxa"/>
              <w:end w:w="120" w:type="dxa"/>
            </w:tcMar>
          </w:tcPr>
          <w:p>
            <w:pPr>
              <w:spacing w:after="0"/>
            </w:pPr>
            <w:r>
              <w:rPr>
                <w:rFonts w:ascii="Calibri" w:hAnsi="Calibri"/>
                <w:sz w:val="16"/>
              </w:rPr>
              <w:t>Academic</w:t>
            </w:r>
          </w:p>
        </w:tc>
        <w:tc>
          <w:tcPr>
            <w:tcW w:type="dxa" w:w="3800"/>
            <w:vAlign w:val="center"/>
            <w:tcMar>
              <w:top w:w="80" w:type="dxa"/>
              <w:start w:w="120" w:type="dxa"/>
              <w:bottom w:w="80" w:type="dxa"/>
              <w:end w:w="120" w:type="dxa"/>
            </w:tcMar>
          </w:tcPr>
          <w:p>
            <w:pPr>
              <w:spacing w:after="0"/>
            </w:pPr>
            <w:r>
              <w:rPr>
                <w:rFonts w:ascii="Calibri" w:hAnsi="Calibri"/>
                <w:sz w:val="16"/>
              </w:rPr>
              <w:t>period, course, cohort, teacher allocation, credits</w:t>
            </w:r>
          </w:p>
        </w:tc>
        <w:tc>
          <w:tcPr>
            <w:tcW w:type="dxa" w:w="4010"/>
            <w:vAlign w:val="center"/>
            <w:tcMar>
              <w:top w:w="80" w:type="dxa"/>
              <w:start w:w="120" w:type="dxa"/>
              <w:bottom w:w="80" w:type="dxa"/>
              <w:end w:w="120" w:type="dxa"/>
            </w:tcMar>
          </w:tcPr>
          <w:p>
            <w:pPr>
              <w:spacing w:after="0"/>
            </w:pPr>
            <w:r>
              <w:rPr>
                <w:rFonts w:ascii="Calibri" w:hAnsi="Calibri"/>
                <w:sz w:val="16"/>
              </w:rPr>
              <w:t>Closed periods reject ordinary edits</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Assessment</w:t>
            </w:r>
          </w:p>
        </w:tc>
        <w:tc>
          <w:tcPr>
            <w:tcW w:type="dxa" w:w="3800"/>
            <w:vAlign w:val="center"/>
            <w:shd w:fill="F5F7F4"/>
            <w:tcMar>
              <w:top w:w="80" w:type="dxa"/>
              <w:start w:w="120" w:type="dxa"/>
              <w:bottom w:w="80" w:type="dxa"/>
              <w:end w:w="120" w:type="dxa"/>
            </w:tcMar>
          </w:tcPr>
          <w:p>
            <w:pPr>
              <w:spacing w:after="0"/>
            </w:pPr>
            <w:r>
              <w:rPr>
                <w:rFonts w:ascii="Calibri" w:hAnsi="Calibri"/>
                <w:sz w:val="16"/>
              </w:rPr>
              <w:t>component, maximum, weight, result state</w:t>
            </w:r>
          </w:p>
        </w:tc>
        <w:tc>
          <w:tcPr>
            <w:tcW w:type="dxa" w:w="4010"/>
            <w:vAlign w:val="center"/>
            <w:shd w:fill="F5F7F4"/>
            <w:tcMar>
              <w:top w:w="80" w:type="dxa"/>
              <w:start w:w="120" w:type="dxa"/>
              <w:bottom w:w="80" w:type="dxa"/>
              <w:end w:w="120" w:type="dxa"/>
            </w:tcMar>
          </w:tcPr>
          <w:p>
            <w:pPr>
              <w:spacing w:after="0"/>
            </w:pPr>
            <w:r>
              <w:rPr>
                <w:rFonts w:ascii="Calibri" w:hAnsi="Calibri"/>
                <w:sz w:val="16"/>
              </w:rPr>
              <w:t>Zero distinct from missing; weights validated</w:t>
            </w:r>
          </w:p>
        </w:tc>
      </w:tr>
      <w:tr>
        <w:tc>
          <w:tcPr>
            <w:tcW w:type="dxa" w:w="1550"/>
            <w:vAlign w:val="center"/>
            <w:tcMar>
              <w:top w:w="80" w:type="dxa"/>
              <w:start w:w="120" w:type="dxa"/>
              <w:bottom w:w="80" w:type="dxa"/>
              <w:end w:w="120" w:type="dxa"/>
            </w:tcMar>
          </w:tcPr>
          <w:p>
            <w:pPr>
              <w:spacing w:after="0"/>
            </w:pPr>
            <w:r>
              <w:rPr>
                <w:rFonts w:ascii="Calibri" w:hAnsi="Calibri"/>
                <w:sz w:val="16"/>
              </w:rPr>
              <w:t>Attendance</w:t>
            </w:r>
          </w:p>
        </w:tc>
        <w:tc>
          <w:tcPr>
            <w:tcW w:type="dxa" w:w="3800"/>
            <w:vAlign w:val="center"/>
            <w:tcMar>
              <w:top w:w="80" w:type="dxa"/>
              <w:start w:w="120" w:type="dxa"/>
              <w:bottom w:w="80" w:type="dxa"/>
              <w:end w:w="120" w:type="dxa"/>
            </w:tcMar>
          </w:tcPr>
          <w:p>
            <w:pPr>
              <w:spacing w:after="0"/>
            </w:pPr>
            <w:r>
              <w:rPr>
                <w:rFonts w:ascii="Calibri" w:hAnsi="Calibri"/>
                <w:sz w:val="16"/>
              </w:rPr>
              <w:t>session, learner, status, time, reason, source</w:t>
            </w:r>
          </w:p>
        </w:tc>
        <w:tc>
          <w:tcPr>
            <w:tcW w:type="dxa" w:w="4010"/>
            <w:vAlign w:val="center"/>
            <w:tcMar>
              <w:top w:w="80" w:type="dxa"/>
              <w:start w:w="120" w:type="dxa"/>
              <w:bottom w:w="80" w:type="dxa"/>
              <w:end w:w="120" w:type="dxa"/>
            </w:tcMar>
          </w:tcPr>
          <w:p>
            <w:pPr>
              <w:spacing w:after="0"/>
            </w:pPr>
            <w:r>
              <w:rPr>
                <w:rFonts w:ascii="Calibri" w:hAnsi="Calibri"/>
                <w:sz w:val="16"/>
              </w:rPr>
              <w:t>One current entry per session; correction history</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Finance</w:t>
            </w:r>
          </w:p>
        </w:tc>
        <w:tc>
          <w:tcPr>
            <w:tcW w:type="dxa" w:w="3800"/>
            <w:vAlign w:val="center"/>
            <w:shd w:fill="F5F7F4"/>
            <w:tcMar>
              <w:top w:w="80" w:type="dxa"/>
              <w:start w:w="120" w:type="dxa"/>
              <w:bottom w:w="80" w:type="dxa"/>
              <w:end w:w="120" w:type="dxa"/>
            </w:tcMar>
          </w:tcPr>
          <w:p>
            <w:pPr>
              <w:spacing w:after="0"/>
            </w:pPr>
            <w:r>
              <w:rPr>
                <w:rFonts w:ascii="Calibri" w:hAnsi="Calibri"/>
                <w:sz w:val="16"/>
              </w:rPr>
              <w:t>account, charge, payment, allocation, reversal</w:t>
            </w:r>
          </w:p>
        </w:tc>
        <w:tc>
          <w:tcPr>
            <w:tcW w:type="dxa" w:w="4010"/>
            <w:vAlign w:val="center"/>
            <w:shd w:fill="F5F7F4"/>
            <w:tcMar>
              <w:top w:w="80" w:type="dxa"/>
              <w:start w:w="120" w:type="dxa"/>
              <w:bottom w:w="80" w:type="dxa"/>
              <w:end w:w="120" w:type="dxa"/>
            </w:tcMar>
          </w:tcPr>
          <w:p>
            <w:pPr>
              <w:spacing w:after="0"/>
            </w:pPr>
            <w:r>
              <w:rPr>
                <w:rFonts w:ascii="Calibri" w:hAnsi="Calibri"/>
                <w:sz w:val="16"/>
              </w:rPr>
              <w:t>Whole-unit UGX; immutable, idempotent events</w:t>
            </w:r>
          </w:p>
        </w:tc>
      </w:tr>
      <w:tr>
        <w:tc>
          <w:tcPr>
            <w:tcW w:type="dxa" w:w="1550"/>
            <w:vAlign w:val="center"/>
            <w:tcMar>
              <w:top w:w="80" w:type="dxa"/>
              <w:start w:w="120" w:type="dxa"/>
              <w:bottom w:w="80" w:type="dxa"/>
              <w:end w:w="120" w:type="dxa"/>
            </w:tcMar>
          </w:tcPr>
          <w:p>
            <w:pPr>
              <w:spacing w:after="0"/>
            </w:pPr>
            <w:r>
              <w:rPr>
                <w:rFonts w:ascii="Calibri" w:hAnsi="Calibri"/>
                <w:sz w:val="16"/>
              </w:rPr>
              <w:t>Content</w:t>
            </w:r>
          </w:p>
        </w:tc>
        <w:tc>
          <w:tcPr>
            <w:tcW w:type="dxa" w:w="3800"/>
            <w:vAlign w:val="center"/>
            <w:tcMar>
              <w:top w:w="80" w:type="dxa"/>
              <w:start w:w="120" w:type="dxa"/>
              <w:bottom w:w="80" w:type="dxa"/>
              <w:end w:w="120" w:type="dxa"/>
            </w:tcMar>
          </w:tcPr>
          <w:p>
            <w:pPr>
              <w:spacing w:after="0"/>
            </w:pPr>
            <w:r>
              <w:rPr>
                <w:rFonts w:ascii="Calibri" w:hAnsi="Calibri"/>
                <w:sz w:val="16"/>
              </w:rPr>
              <w:t>owner, audience, object key, type, version</w:t>
            </w:r>
          </w:p>
        </w:tc>
        <w:tc>
          <w:tcPr>
            <w:tcW w:type="dxa" w:w="4010"/>
            <w:vAlign w:val="center"/>
            <w:tcMar>
              <w:top w:w="80" w:type="dxa"/>
              <w:start w:w="120" w:type="dxa"/>
              <w:bottom w:w="80" w:type="dxa"/>
              <w:end w:w="120" w:type="dxa"/>
            </w:tcMar>
          </w:tcPr>
          <w:p>
            <w:pPr>
              <w:spacing w:after="0"/>
            </w:pPr>
            <w:r>
              <w:rPr>
                <w:rFonts w:ascii="Calibri" w:hAnsi="Calibri"/>
                <w:sz w:val="16"/>
              </w:rPr>
              <w:t>Private by default; scan before release</w:t>
            </w:r>
          </w:p>
        </w:tc>
      </w:tr>
      <w:tr>
        <w:tc>
          <w:tcPr>
            <w:tcW w:type="dxa" w:w="1550"/>
            <w:vAlign w:val="center"/>
            <w:shd w:fill="F5F7F4"/>
            <w:tcMar>
              <w:top w:w="80" w:type="dxa"/>
              <w:start w:w="120" w:type="dxa"/>
              <w:bottom w:w="80" w:type="dxa"/>
              <w:end w:w="120" w:type="dxa"/>
            </w:tcMar>
          </w:tcPr>
          <w:p>
            <w:pPr>
              <w:spacing w:after="0"/>
            </w:pPr>
            <w:r>
              <w:rPr>
                <w:rFonts w:ascii="Calibri" w:hAnsi="Calibri"/>
                <w:sz w:val="16"/>
              </w:rPr>
              <w:t>Communication</w:t>
            </w:r>
          </w:p>
        </w:tc>
        <w:tc>
          <w:tcPr>
            <w:tcW w:type="dxa" w:w="3800"/>
            <w:vAlign w:val="center"/>
            <w:shd w:fill="F5F7F4"/>
            <w:tcMar>
              <w:top w:w="80" w:type="dxa"/>
              <w:start w:w="120" w:type="dxa"/>
              <w:bottom w:w="80" w:type="dxa"/>
              <w:end w:w="120" w:type="dxa"/>
            </w:tcMar>
          </w:tcPr>
          <w:p>
            <w:pPr>
              <w:spacing w:after="0"/>
            </w:pPr>
            <w:r>
              <w:rPr>
                <w:rFonts w:ascii="Calibri" w:hAnsi="Calibri"/>
                <w:sz w:val="16"/>
              </w:rPr>
              <w:t>sender, audience, channel, template, delivery</w:t>
            </w:r>
          </w:p>
        </w:tc>
        <w:tc>
          <w:tcPr>
            <w:tcW w:type="dxa" w:w="4010"/>
            <w:vAlign w:val="center"/>
            <w:shd w:fill="F5F7F4"/>
            <w:tcMar>
              <w:top w:w="80" w:type="dxa"/>
              <w:start w:w="120" w:type="dxa"/>
              <w:bottom w:w="80" w:type="dxa"/>
              <w:end w:w="120" w:type="dxa"/>
            </w:tcMar>
          </w:tcPr>
          <w:p>
            <w:pPr>
              <w:spacing w:after="0"/>
            </w:pPr>
            <w:r>
              <w:rPr>
                <w:rFonts w:ascii="Calibri" w:hAnsi="Calibri"/>
                <w:sz w:val="16"/>
              </w:rPr>
              <w:t>Recipient expansion server-side</w:t>
            </w:r>
          </w:p>
        </w:tc>
      </w:tr>
      <w:tr>
        <w:tc>
          <w:tcPr>
            <w:tcW w:type="dxa" w:w="1550"/>
            <w:vAlign w:val="center"/>
            <w:tcMar>
              <w:top w:w="80" w:type="dxa"/>
              <w:start w:w="120" w:type="dxa"/>
              <w:bottom w:w="80" w:type="dxa"/>
              <w:end w:w="120" w:type="dxa"/>
            </w:tcMar>
          </w:tcPr>
          <w:p>
            <w:pPr>
              <w:spacing w:after="0"/>
            </w:pPr>
            <w:r>
              <w:rPr>
                <w:rFonts w:ascii="Calibri" w:hAnsi="Calibri"/>
                <w:sz w:val="16"/>
              </w:rPr>
              <w:t>Audit</w:t>
            </w:r>
          </w:p>
        </w:tc>
        <w:tc>
          <w:tcPr>
            <w:tcW w:type="dxa" w:w="3800"/>
            <w:vAlign w:val="center"/>
            <w:tcMar>
              <w:top w:w="80" w:type="dxa"/>
              <w:start w:w="120" w:type="dxa"/>
              <w:bottom w:w="80" w:type="dxa"/>
              <w:end w:w="120" w:type="dxa"/>
            </w:tcMar>
          </w:tcPr>
          <w:p>
            <w:pPr>
              <w:spacing w:after="0"/>
            </w:pPr>
            <w:r>
              <w:rPr>
                <w:rFonts w:ascii="Calibri" w:hAnsi="Calibri"/>
                <w:sz w:val="16"/>
              </w:rPr>
              <w:t>actor, tenant, action, target, outcome, time, session</w:t>
            </w:r>
          </w:p>
        </w:tc>
        <w:tc>
          <w:tcPr>
            <w:tcW w:type="dxa" w:w="4010"/>
            <w:vAlign w:val="center"/>
            <w:tcMar>
              <w:top w:w="80" w:type="dxa"/>
              <w:start w:w="120" w:type="dxa"/>
              <w:bottom w:w="80" w:type="dxa"/>
              <w:end w:w="120" w:type="dxa"/>
            </w:tcMar>
          </w:tcPr>
          <w:p>
            <w:pPr>
              <w:spacing w:after="0"/>
            </w:pPr>
            <w:r>
              <w:rPr>
                <w:rFonts w:ascii="Calibri" w:hAnsi="Calibri"/>
                <w:sz w:val="16"/>
              </w:rPr>
              <w:t>Append-only and protected</w:t>
            </w:r>
          </w:p>
        </w:tc>
      </w:tr>
    </w:tbl>
    <w:p/>
    <w:p>
      <w:pPr>
        <w:pStyle w:val="Heading2"/>
      </w:pPr>
      <w:r>
        <w:t>33.1 Validation catalogue</w:t>
      </w:r>
    </w:p>
    <w:p>
      <w:pPr>
        <w:pStyle w:val="ListBullet"/>
      </w:pPr>
      <w:r>
        <w:t>Normalise phone numbers to international format.</w:t>
      </w:r>
    </w:p>
    <w:p>
      <w:pPr>
        <w:pStyle w:val="ListBullet"/>
      </w:pPr>
      <w:r>
        <w:t>Display institution timezone; store event timestamps consistently.</w:t>
      </w:r>
    </w:p>
    <w:p>
      <w:pPr>
        <w:pStyle w:val="ListBullet"/>
      </w:pPr>
      <w:r>
        <w:t>Store UGX in whole units unless an integration requires otherwise.</w:t>
      </w:r>
    </w:p>
    <w:p>
      <w:pPr>
        <w:pStyle w:val="ListBullet"/>
      </w:pPr>
      <w:r>
        <w:t>Enforce file type, size and malware scan.</w:t>
      </w:r>
    </w:p>
    <w:p>
      <w:pPr>
        <w:pStyle w:val="ListBullet"/>
      </w:pPr>
      <w:r>
        <w:t>Reject ambiguous dates, duplicates and silent truncation in imports.</w:t>
      </w:r>
    </w:p>
    <w:p>
      <w:pPr>
        <w:pStyle w:val="ListBullet"/>
      </w:pPr>
      <w:r>
        <w:t>Set safe free-text lengths and encoding.</w:t>
      </w:r>
    </w:p>
    <w:p>
      <w:pPr>
        <w:pStyle w:val="ListBullet"/>
      </w:pPr>
      <w:r>
        <w:t>Check every referenced record belongs to the active tenant.</w:t>
      </w:r>
    </w:p>
    <w:p>
      <w:pPr>
        <w:pStyle w:val="Heading1"/>
      </w:pPr>
      <w:r>
        <w:t>34. API, integration and event contracts</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73C31"/>
            <w:tcMar>
              <w:top w:w="80" w:type="dxa"/>
              <w:start w:w="120" w:type="dxa"/>
              <w:bottom w:w="80" w:type="dxa"/>
              <w:end w:w="120" w:type="dxa"/>
            </w:tcMar>
          </w:tcPr>
          <w:p>
            <w:r>
              <w:rPr>
                <w:b/>
                <w:color w:val="FFFFFF"/>
                <w:sz w:val="17"/>
              </w:rPr>
              <w:t>Area</w:t>
            </w:r>
          </w:p>
        </w:tc>
        <w:tc>
          <w:tcPr>
            <w:tcW w:type="dxa" w:w="7560"/>
            <w:shd w:fill="173C31"/>
            <w:tcMar>
              <w:top w:w="80" w:type="dxa"/>
              <w:start w:w="120" w:type="dxa"/>
              <w:bottom w:w="80" w:type="dxa"/>
              <w:end w:w="120" w:type="dxa"/>
            </w:tcMar>
          </w:tcPr>
          <w:p>
            <w:r>
              <w:rPr>
                <w:b/>
                <w:color w:val="FFFFFF"/>
                <w:sz w:val="17"/>
              </w:rPr>
              <w:t>Required behaviour</w:t>
            </w:r>
          </w:p>
        </w:tc>
      </w:tr>
      <w:tr>
        <w:tc>
          <w:tcPr>
            <w:tcW w:type="dxa" w:w="1800"/>
            <w:vAlign w:val="center"/>
            <w:tcMar>
              <w:top w:w="80" w:type="dxa"/>
              <w:start w:w="120" w:type="dxa"/>
              <w:bottom w:w="80" w:type="dxa"/>
              <w:end w:w="120" w:type="dxa"/>
            </w:tcMar>
          </w:tcPr>
          <w:p>
            <w:pPr>
              <w:spacing w:after="0"/>
            </w:pPr>
            <w:r>
              <w:rPr>
                <w:rFonts w:ascii="Calibri" w:hAnsi="Calibri"/>
                <w:sz w:val="16"/>
              </w:rPr>
              <w:t>Versioning</w:t>
            </w:r>
          </w:p>
        </w:tc>
        <w:tc>
          <w:tcPr>
            <w:tcW w:type="dxa" w:w="7560"/>
            <w:vAlign w:val="center"/>
            <w:tcMar>
              <w:top w:w="80" w:type="dxa"/>
              <w:start w:w="120" w:type="dxa"/>
              <w:bottom w:w="80" w:type="dxa"/>
              <w:end w:w="120" w:type="dxa"/>
            </w:tcMar>
          </w:tcPr>
          <w:p>
            <w:pPr>
              <w:spacing w:after="0"/>
            </w:pPr>
            <w:r>
              <w:rPr>
                <w:rFonts w:ascii="Calibri" w:hAnsi="Calibri"/>
                <w:sz w:val="16"/>
              </w:rPr>
              <w:t>Stable version prefix and deprecation period</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Authentication</w:t>
            </w:r>
          </w:p>
        </w:tc>
        <w:tc>
          <w:tcPr>
            <w:tcW w:type="dxa" w:w="7560"/>
            <w:vAlign w:val="center"/>
            <w:shd w:fill="F5F7F4"/>
            <w:tcMar>
              <w:top w:w="80" w:type="dxa"/>
              <w:start w:w="120" w:type="dxa"/>
              <w:bottom w:w="80" w:type="dxa"/>
              <w:end w:w="120" w:type="dxa"/>
            </w:tcMar>
          </w:tcPr>
          <w:p>
            <w:pPr>
              <w:spacing w:after="0"/>
            </w:pPr>
            <w:r>
              <w:rPr>
                <w:rFonts w:ascii="Calibri" w:hAnsi="Calibri"/>
                <w:sz w:val="16"/>
              </w:rPr>
              <w:t>Short-lived sessions or scoped service credentials</w:t>
            </w:r>
          </w:p>
        </w:tc>
      </w:tr>
      <w:tr>
        <w:tc>
          <w:tcPr>
            <w:tcW w:type="dxa" w:w="1800"/>
            <w:vAlign w:val="center"/>
            <w:tcMar>
              <w:top w:w="80" w:type="dxa"/>
              <w:start w:w="120" w:type="dxa"/>
              <w:bottom w:w="80" w:type="dxa"/>
              <w:end w:w="120" w:type="dxa"/>
            </w:tcMar>
          </w:tcPr>
          <w:p>
            <w:pPr>
              <w:spacing w:after="0"/>
            </w:pPr>
            <w:r>
              <w:rPr>
                <w:rFonts w:ascii="Calibri" w:hAnsi="Calibri"/>
                <w:sz w:val="16"/>
              </w:rPr>
              <w:t>Authorisation</w:t>
            </w:r>
          </w:p>
        </w:tc>
        <w:tc>
          <w:tcPr>
            <w:tcW w:type="dxa" w:w="7560"/>
            <w:vAlign w:val="center"/>
            <w:tcMar>
              <w:top w:w="80" w:type="dxa"/>
              <w:start w:w="120" w:type="dxa"/>
              <w:bottom w:w="80" w:type="dxa"/>
              <w:end w:w="120" w:type="dxa"/>
            </w:tcMar>
          </w:tcPr>
          <w:p>
            <w:pPr>
              <w:spacing w:after="0"/>
            </w:pPr>
            <w:r>
              <w:rPr>
                <w:rFonts w:ascii="Calibri" w:hAnsi="Calibri"/>
                <w:sz w:val="16"/>
              </w:rPr>
              <w:t>Permission and tenant scope on every request and download</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Idempotency</w:t>
            </w:r>
          </w:p>
        </w:tc>
        <w:tc>
          <w:tcPr>
            <w:tcW w:type="dxa" w:w="7560"/>
            <w:vAlign w:val="center"/>
            <w:shd w:fill="F5F7F4"/>
            <w:tcMar>
              <w:top w:w="80" w:type="dxa"/>
              <w:start w:w="120" w:type="dxa"/>
              <w:bottom w:w="80" w:type="dxa"/>
              <w:end w:w="120" w:type="dxa"/>
            </w:tcMar>
          </w:tcPr>
          <w:p>
            <w:pPr>
              <w:spacing w:after="0"/>
            </w:pPr>
            <w:r>
              <w:rPr>
                <w:rFonts w:ascii="Calibri" w:hAnsi="Calibri"/>
                <w:sz w:val="16"/>
              </w:rPr>
              <w:t>Safe retries for payments, imports and messaging</w:t>
            </w:r>
          </w:p>
        </w:tc>
      </w:tr>
      <w:tr>
        <w:tc>
          <w:tcPr>
            <w:tcW w:type="dxa" w:w="1800"/>
            <w:vAlign w:val="center"/>
            <w:tcMar>
              <w:top w:w="80" w:type="dxa"/>
              <w:start w:w="120" w:type="dxa"/>
              <w:bottom w:w="80" w:type="dxa"/>
              <w:end w:w="120" w:type="dxa"/>
            </w:tcMar>
          </w:tcPr>
          <w:p>
            <w:pPr>
              <w:spacing w:after="0"/>
            </w:pPr>
            <w:r>
              <w:rPr>
                <w:rFonts w:ascii="Calibri" w:hAnsi="Calibri"/>
                <w:sz w:val="16"/>
              </w:rPr>
              <w:t>Pagination</w:t>
            </w:r>
          </w:p>
        </w:tc>
        <w:tc>
          <w:tcPr>
            <w:tcW w:type="dxa" w:w="7560"/>
            <w:vAlign w:val="center"/>
            <w:tcMar>
              <w:top w:w="80" w:type="dxa"/>
              <w:start w:w="120" w:type="dxa"/>
              <w:bottom w:w="80" w:type="dxa"/>
              <w:end w:w="120" w:type="dxa"/>
            </w:tcMar>
          </w:tcPr>
          <w:p>
            <w:pPr>
              <w:spacing w:after="0"/>
            </w:pPr>
            <w:r>
              <w:rPr>
                <w:rFonts w:ascii="Calibri" w:hAnsi="Calibri"/>
                <w:sz w:val="16"/>
              </w:rPr>
              <w:t>Stable contract for large lists</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Errors</w:t>
            </w:r>
          </w:p>
        </w:tc>
        <w:tc>
          <w:tcPr>
            <w:tcW w:type="dxa" w:w="7560"/>
            <w:vAlign w:val="center"/>
            <w:shd w:fill="F5F7F4"/>
            <w:tcMar>
              <w:top w:w="80" w:type="dxa"/>
              <w:start w:w="120" w:type="dxa"/>
              <w:bottom w:w="80" w:type="dxa"/>
              <w:end w:w="120" w:type="dxa"/>
            </w:tcMar>
          </w:tcPr>
          <w:p>
            <w:pPr>
              <w:spacing w:after="0"/>
            </w:pPr>
            <w:r>
              <w:rPr>
                <w:rFonts w:ascii="Calibri" w:hAnsi="Calibri"/>
                <w:sz w:val="16"/>
              </w:rPr>
              <w:t>Safe code/message and trace reference; no secrets</w:t>
            </w:r>
          </w:p>
        </w:tc>
      </w:tr>
      <w:tr>
        <w:tc>
          <w:tcPr>
            <w:tcW w:type="dxa" w:w="1800"/>
            <w:vAlign w:val="center"/>
            <w:tcMar>
              <w:top w:w="80" w:type="dxa"/>
              <w:start w:w="120" w:type="dxa"/>
              <w:bottom w:w="80" w:type="dxa"/>
              <w:end w:w="120" w:type="dxa"/>
            </w:tcMar>
          </w:tcPr>
          <w:p>
            <w:pPr>
              <w:spacing w:after="0"/>
            </w:pPr>
            <w:r>
              <w:rPr>
                <w:rFonts w:ascii="Calibri" w:hAnsi="Calibri"/>
                <w:sz w:val="16"/>
              </w:rPr>
              <w:t>Rate limits</w:t>
            </w:r>
          </w:p>
        </w:tc>
        <w:tc>
          <w:tcPr>
            <w:tcW w:type="dxa" w:w="7560"/>
            <w:vAlign w:val="center"/>
            <w:tcMar>
              <w:top w:w="80" w:type="dxa"/>
              <w:start w:w="120" w:type="dxa"/>
              <w:bottom w:w="80" w:type="dxa"/>
              <w:end w:w="120" w:type="dxa"/>
            </w:tcMar>
          </w:tcPr>
          <w:p>
            <w:pPr>
              <w:spacing w:after="0"/>
            </w:pPr>
            <w:r>
              <w:rPr>
                <w:rFonts w:ascii="Calibri" w:hAnsi="Calibri"/>
                <w:sz w:val="16"/>
              </w:rPr>
              <w:t>Per user, tenant, IP or service as appropriate</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Webhooks</w:t>
            </w:r>
          </w:p>
        </w:tc>
        <w:tc>
          <w:tcPr>
            <w:tcW w:type="dxa" w:w="7560"/>
            <w:vAlign w:val="center"/>
            <w:shd w:fill="F5F7F4"/>
            <w:tcMar>
              <w:top w:w="80" w:type="dxa"/>
              <w:start w:w="120" w:type="dxa"/>
              <w:bottom w:w="80" w:type="dxa"/>
              <w:end w:w="120" w:type="dxa"/>
            </w:tcMar>
          </w:tcPr>
          <w:p>
            <w:pPr>
              <w:spacing w:after="0"/>
            </w:pPr>
            <w:r>
              <w:rPr>
                <w:rFonts w:ascii="Calibri" w:hAnsi="Calibri"/>
                <w:sz w:val="16"/>
              </w:rPr>
              <w:t>Signature, replay protection, retries and dead-letter review</w:t>
            </w:r>
          </w:p>
        </w:tc>
      </w:tr>
      <w:tr>
        <w:tc>
          <w:tcPr>
            <w:tcW w:type="dxa" w:w="1800"/>
            <w:vAlign w:val="center"/>
            <w:tcMar>
              <w:top w:w="80" w:type="dxa"/>
              <w:start w:w="120" w:type="dxa"/>
              <w:bottom w:w="80" w:type="dxa"/>
              <w:end w:w="120" w:type="dxa"/>
            </w:tcMar>
          </w:tcPr>
          <w:p>
            <w:pPr>
              <w:spacing w:after="0"/>
            </w:pPr>
            <w:r>
              <w:rPr>
                <w:rFonts w:ascii="Calibri" w:hAnsi="Calibri"/>
                <w:sz w:val="16"/>
              </w:rPr>
              <w:t>Events</w:t>
            </w:r>
          </w:p>
        </w:tc>
        <w:tc>
          <w:tcPr>
            <w:tcW w:type="dxa" w:w="7560"/>
            <w:vAlign w:val="center"/>
            <w:tcMar>
              <w:top w:w="80" w:type="dxa"/>
              <w:start w:w="120" w:type="dxa"/>
              <w:bottom w:w="80" w:type="dxa"/>
              <w:end w:w="120" w:type="dxa"/>
            </w:tcMar>
          </w:tcPr>
          <w:p>
            <w:pPr>
              <w:spacing w:after="0"/>
            </w:pPr>
            <w:r>
              <w:rPr>
                <w:rFonts w:ascii="Calibri" w:hAnsi="Calibri"/>
                <w:sz w:val="16"/>
              </w:rPr>
              <w:t>Versioned attendance, result, payment and notification schemas</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Audit</w:t>
            </w:r>
          </w:p>
        </w:tc>
        <w:tc>
          <w:tcPr>
            <w:tcW w:type="dxa" w:w="7560"/>
            <w:vAlign w:val="center"/>
            <w:shd w:fill="F5F7F4"/>
            <w:tcMar>
              <w:top w:w="80" w:type="dxa"/>
              <w:start w:w="120" w:type="dxa"/>
              <w:bottom w:w="80" w:type="dxa"/>
              <w:end w:w="120" w:type="dxa"/>
            </w:tcMar>
          </w:tcPr>
          <w:p>
            <w:pPr>
              <w:spacing w:after="0"/>
            </w:pPr>
            <w:r>
              <w:rPr>
                <w:rFonts w:ascii="Calibri" w:hAnsi="Calibri"/>
                <w:sz w:val="16"/>
              </w:rPr>
              <w:t>Sensitive reads and all writes record outcome</w:t>
            </w:r>
          </w:p>
        </w:tc>
      </w:tr>
    </w:tbl>
    <w:p/>
    <w:p>
      <w:pPr>
        <w:pStyle w:val="Heading2"/>
      </w:pPr>
      <w:r>
        <w:t>34.1 Priority integrations</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c>
          <w:tcPr>
            <w:tcW w:type="dxa" w:w="1900"/>
            <w:shd w:fill="173C31"/>
            <w:tcMar>
              <w:top w:w="80" w:type="dxa"/>
              <w:start w:w="120" w:type="dxa"/>
              <w:bottom w:w="80" w:type="dxa"/>
              <w:end w:w="120" w:type="dxa"/>
            </w:tcMar>
          </w:tcPr>
          <w:p>
            <w:r>
              <w:rPr>
                <w:b/>
                <w:color w:val="FFFFFF"/>
                <w:sz w:val="17"/>
              </w:rPr>
              <w:t>Integration</w:t>
            </w:r>
          </w:p>
        </w:tc>
        <w:tc>
          <w:tcPr>
            <w:tcW w:type="dxa" w:w="3000"/>
            <w:shd w:fill="173C31"/>
            <w:tcMar>
              <w:top w:w="80" w:type="dxa"/>
              <w:start w:w="120" w:type="dxa"/>
              <w:bottom w:w="80" w:type="dxa"/>
              <w:end w:w="120" w:type="dxa"/>
            </w:tcMar>
          </w:tcPr>
          <w:p>
            <w:r>
              <w:rPr>
                <w:b/>
                <w:color w:val="FFFFFF"/>
                <w:sz w:val="17"/>
              </w:rPr>
              <w:t>Purpose</w:t>
            </w:r>
          </w:p>
        </w:tc>
        <w:tc>
          <w:tcPr>
            <w:tcW w:type="dxa" w:w="4460"/>
            <w:shd w:fill="173C31"/>
            <w:tcMar>
              <w:top w:w="80" w:type="dxa"/>
              <w:start w:w="120" w:type="dxa"/>
              <w:bottom w:w="80" w:type="dxa"/>
              <w:end w:w="120" w:type="dxa"/>
            </w:tcMar>
          </w:tcPr>
          <w:p>
            <w:r>
              <w:rPr>
                <w:b/>
                <w:color w:val="FFFFFF"/>
                <w:sz w:val="17"/>
              </w:rPr>
              <w:t>Minimum acceptance</w:t>
            </w:r>
          </w:p>
        </w:tc>
      </w:tr>
      <w:tr>
        <w:tc>
          <w:tcPr>
            <w:tcW w:type="dxa" w:w="1900"/>
            <w:vAlign w:val="center"/>
            <w:tcMar>
              <w:top w:w="80" w:type="dxa"/>
              <w:start w:w="120" w:type="dxa"/>
              <w:bottom w:w="80" w:type="dxa"/>
              <w:end w:w="120" w:type="dxa"/>
            </w:tcMar>
          </w:tcPr>
          <w:p>
            <w:pPr>
              <w:spacing w:after="0"/>
            </w:pPr>
            <w:r>
              <w:rPr>
                <w:rFonts w:ascii="Calibri" w:hAnsi="Calibri"/>
                <w:sz w:val="16"/>
              </w:rPr>
              <w:t>SMS</w:t>
            </w:r>
          </w:p>
        </w:tc>
        <w:tc>
          <w:tcPr>
            <w:tcW w:type="dxa" w:w="3000"/>
            <w:vAlign w:val="center"/>
            <w:tcMar>
              <w:top w:w="80" w:type="dxa"/>
              <w:start w:w="120" w:type="dxa"/>
              <w:bottom w:w="80" w:type="dxa"/>
              <w:end w:w="120" w:type="dxa"/>
            </w:tcMar>
          </w:tcPr>
          <w:p>
            <w:pPr>
              <w:spacing w:after="0"/>
            </w:pPr>
            <w:r>
              <w:rPr>
                <w:rFonts w:ascii="Calibri" w:hAnsi="Calibri"/>
                <w:sz w:val="16"/>
              </w:rPr>
              <w:t>Absence, fee, emergency and account messages</w:t>
            </w:r>
          </w:p>
        </w:tc>
        <w:tc>
          <w:tcPr>
            <w:tcW w:type="dxa" w:w="4460"/>
            <w:vAlign w:val="center"/>
            <w:tcMar>
              <w:top w:w="80" w:type="dxa"/>
              <w:start w:w="120" w:type="dxa"/>
              <w:bottom w:w="80" w:type="dxa"/>
              <w:end w:w="120" w:type="dxa"/>
            </w:tcMar>
          </w:tcPr>
          <w:p>
            <w:pPr>
              <w:spacing w:after="0"/>
            </w:pPr>
            <w:r>
              <w:rPr>
                <w:rFonts w:ascii="Calibri" w:hAnsi="Calibri"/>
                <w:sz w:val="16"/>
              </w:rPr>
              <w:t>Delivery states, sender identity, cost and policy controls</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Email</w:t>
            </w:r>
          </w:p>
        </w:tc>
        <w:tc>
          <w:tcPr>
            <w:tcW w:type="dxa" w:w="3000"/>
            <w:vAlign w:val="center"/>
            <w:shd w:fill="F5F7F4"/>
            <w:tcMar>
              <w:top w:w="80" w:type="dxa"/>
              <w:start w:w="120" w:type="dxa"/>
              <w:bottom w:w="80" w:type="dxa"/>
              <w:end w:w="120" w:type="dxa"/>
            </w:tcMar>
          </w:tcPr>
          <w:p>
            <w:pPr>
              <w:spacing w:after="0"/>
            </w:pPr>
            <w:r>
              <w:rPr>
                <w:rFonts w:ascii="Calibri" w:hAnsi="Calibri"/>
                <w:sz w:val="16"/>
              </w:rPr>
              <w:t>Invitations, reports and notices</w:t>
            </w:r>
          </w:p>
        </w:tc>
        <w:tc>
          <w:tcPr>
            <w:tcW w:type="dxa" w:w="4460"/>
            <w:vAlign w:val="center"/>
            <w:shd w:fill="F5F7F4"/>
            <w:tcMar>
              <w:top w:w="80" w:type="dxa"/>
              <w:start w:w="120" w:type="dxa"/>
              <w:bottom w:w="80" w:type="dxa"/>
              <w:end w:w="120" w:type="dxa"/>
            </w:tcMar>
          </w:tcPr>
          <w:p>
            <w:pPr>
              <w:spacing w:after="0"/>
            </w:pPr>
            <w:r>
              <w:rPr>
                <w:rFonts w:ascii="Calibri" w:hAnsi="Calibri"/>
                <w:sz w:val="16"/>
              </w:rPr>
              <w:t>Verified domain, bounce and abuse handling</w:t>
            </w:r>
          </w:p>
        </w:tc>
      </w:tr>
      <w:tr>
        <w:tc>
          <w:tcPr>
            <w:tcW w:type="dxa" w:w="1900"/>
            <w:vAlign w:val="center"/>
            <w:tcMar>
              <w:top w:w="80" w:type="dxa"/>
              <w:start w:w="120" w:type="dxa"/>
              <w:bottom w:w="80" w:type="dxa"/>
              <w:end w:w="120" w:type="dxa"/>
            </w:tcMar>
          </w:tcPr>
          <w:p>
            <w:pPr>
              <w:spacing w:after="0"/>
            </w:pPr>
            <w:r>
              <w:rPr>
                <w:rFonts w:ascii="Calibri" w:hAnsi="Calibri"/>
                <w:sz w:val="16"/>
              </w:rPr>
              <w:t>Mobile money/payment gateway</w:t>
            </w:r>
          </w:p>
        </w:tc>
        <w:tc>
          <w:tcPr>
            <w:tcW w:type="dxa" w:w="3000"/>
            <w:vAlign w:val="center"/>
            <w:tcMar>
              <w:top w:w="80" w:type="dxa"/>
              <w:start w:w="120" w:type="dxa"/>
              <w:bottom w:w="80" w:type="dxa"/>
              <w:end w:w="120" w:type="dxa"/>
            </w:tcMar>
          </w:tcPr>
          <w:p>
            <w:pPr>
              <w:spacing w:after="0"/>
            </w:pPr>
            <w:r>
              <w:rPr>
                <w:rFonts w:ascii="Calibri" w:hAnsi="Calibri"/>
                <w:sz w:val="16"/>
              </w:rPr>
              <w:t>Collect and reconcile fees</w:t>
            </w:r>
          </w:p>
        </w:tc>
        <w:tc>
          <w:tcPr>
            <w:tcW w:type="dxa" w:w="4460"/>
            <w:vAlign w:val="center"/>
            <w:tcMar>
              <w:top w:w="80" w:type="dxa"/>
              <w:start w:w="120" w:type="dxa"/>
              <w:bottom w:w="80" w:type="dxa"/>
              <w:end w:w="120" w:type="dxa"/>
            </w:tcMar>
          </w:tcPr>
          <w:p>
            <w:pPr>
              <w:spacing w:after="0"/>
            </w:pPr>
            <w:r>
              <w:rPr>
                <w:rFonts w:ascii="Calibri" w:hAnsi="Calibri"/>
                <w:sz w:val="16"/>
              </w:rPr>
              <w:t>Signed callbacks, idempotency, settlement and reversal</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Bank import</w:t>
            </w:r>
          </w:p>
        </w:tc>
        <w:tc>
          <w:tcPr>
            <w:tcW w:type="dxa" w:w="3000"/>
            <w:vAlign w:val="center"/>
            <w:shd w:fill="F5F7F4"/>
            <w:tcMar>
              <w:top w:w="80" w:type="dxa"/>
              <w:start w:w="120" w:type="dxa"/>
              <w:bottom w:w="80" w:type="dxa"/>
              <w:end w:w="120" w:type="dxa"/>
            </w:tcMar>
          </w:tcPr>
          <w:p>
            <w:pPr>
              <w:spacing w:after="0"/>
            </w:pPr>
            <w:r>
              <w:rPr>
                <w:rFonts w:ascii="Calibri" w:hAnsi="Calibri"/>
                <w:sz w:val="16"/>
              </w:rPr>
              <w:t>Match deposits</w:t>
            </w:r>
          </w:p>
        </w:tc>
        <w:tc>
          <w:tcPr>
            <w:tcW w:type="dxa" w:w="4460"/>
            <w:vAlign w:val="center"/>
            <w:shd w:fill="F5F7F4"/>
            <w:tcMar>
              <w:top w:w="80" w:type="dxa"/>
              <w:start w:w="120" w:type="dxa"/>
              <w:bottom w:w="80" w:type="dxa"/>
              <w:end w:w="120" w:type="dxa"/>
            </w:tcMar>
          </w:tcPr>
          <w:p>
            <w:pPr>
              <w:spacing w:after="0"/>
            </w:pPr>
            <w:r>
              <w:rPr>
                <w:rFonts w:ascii="Calibri" w:hAnsi="Calibri"/>
                <w:sz w:val="16"/>
              </w:rPr>
              <w:t>Validation, duplicate prevention and unmatched queue</w:t>
            </w:r>
          </w:p>
        </w:tc>
      </w:tr>
      <w:tr>
        <w:tc>
          <w:tcPr>
            <w:tcW w:type="dxa" w:w="1900"/>
            <w:vAlign w:val="center"/>
            <w:tcMar>
              <w:top w:w="80" w:type="dxa"/>
              <w:start w:w="120" w:type="dxa"/>
              <w:bottom w:w="80" w:type="dxa"/>
              <w:end w:w="120" w:type="dxa"/>
            </w:tcMar>
          </w:tcPr>
          <w:p>
            <w:pPr>
              <w:spacing w:after="0"/>
            </w:pPr>
            <w:r>
              <w:rPr>
                <w:rFonts w:ascii="Calibri" w:hAnsi="Calibri"/>
                <w:sz w:val="16"/>
              </w:rPr>
              <w:t>Object storage</w:t>
            </w:r>
          </w:p>
        </w:tc>
        <w:tc>
          <w:tcPr>
            <w:tcW w:type="dxa" w:w="3000"/>
            <w:vAlign w:val="center"/>
            <w:tcMar>
              <w:top w:w="80" w:type="dxa"/>
              <w:start w:w="120" w:type="dxa"/>
              <w:bottom w:w="80" w:type="dxa"/>
              <w:end w:w="120" w:type="dxa"/>
            </w:tcMar>
          </w:tcPr>
          <w:p>
            <w:pPr>
              <w:spacing w:after="0"/>
            </w:pPr>
            <w:r>
              <w:rPr>
                <w:rFonts w:ascii="Calibri" w:hAnsi="Calibri"/>
                <w:sz w:val="16"/>
              </w:rPr>
              <w:t>Private files and video</w:t>
            </w:r>
          </w:p>
        </w:tc>
        <w:tc>
          <w:tcPr>
            <w:tcW w:type="dxa" w:w="4460"/>
            <w:vAlign w:val="center"/>
            <w:tcMar>
              <w:top w:w="80" w:type="dxa"/>
              <w:start w:w="120" w:type="dxa"/>
              <w:bottom w:w="80" w:type="dxa"/>
              <w:end w:w="120" w:type="dxa"/>
            </w:tcMar>
          </w:tcPr>
          <w:p>
            <w:pPr>
              <w:spacing w:after="0"/>
            </w:pPr>
            <w:r>
              <w:rPr>
                <w:rFonts w:ascii="Calibri" w:hAnsi="Calibri"/>
                <w:sz w:val="16"/>
              </w:rPr>
              <w:t>Signed access, encryption, scanning and lifecycle</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Future UNEB/government</w:t>
            </w:r>
          </w:p>
        </w:tc>
        <w:tc>
          <w:tcPr>
            <w:tcW w:type="dxa" w:w="3000"/>
            <w:vAlign w:val="center"/>
            <w:shd w:fill="F5F7F4"/>
            <w:tcMar>
              <w:top w:w="80" w:type="dxa"/>
              <w:start w:w="120" w:type="dxa"/>
              <w:bottom w:w="80" w:type="dxa"/>
              <w:end w:w="120" w:type="dxa"/>
            </w:tcMar>
          </w:tcPr>
          <w:p>
            <w:pPr>
              <w:spacing w:after="0"/>
            </w:pPr>
            <w:r>
              <w:rPr>
                <w:rFonts w:ascii="Calibri" w:hAnsi="Calibri"/>
                <w:sz w:val="16"/>
              </w:rPr>
              <w:t>Authorised exchange</w:t>
            </w:r>
          </w:p>
        </w:tc>
        <w:tc>
          <w:tcPr>
            <w:tcW w:type="dxa" w:w="4460"/>
            <w:vAlign w:val="center"/>
            <w:shd w:fill="F5F7F4"/>
            <w:tcMar>
              <w:top w:w="80" w:type="dxa"/>
              <w:start w:w="120" w:type="dxa"/>
              <w:bottom w:w="80" w:type="dxa"/>
              <w:end w:w="120" w:type="dxa"/>
            </w:tcMar>
          </w:tcPr>
          <w:p>
            <w:pPr>
              <w:spacing w:after="0"/>
            </w:pPr>
            <w:r>
              <w:rPr>
                <w:rFonts w:ascii="Calibri" w:hAnsi="Calibri"/>
                <w:sz w:val="16"/>
              </w:rPr>
              <w:t>Legal approval, minimum data and reconciliation</w:t>
            </w:r>
          </w:p>
        </w:tc>
      </w:tr>
    </w:tbl>
    <w:p/>
    <w:p>
      <w:pPr>
        <w:pStyle w:val="Heading2"/>
      </w:pPr>
      <w:r>
        <w:t>34.2 Payment reconciliation contract</w:t>
      </w:r>
    </w:p>
    <w:p>
      <w:pPr>
        <w:pStyle w:val="ListNumber"/>
        <w:numPr>
          <w:ilvl w:val="0"/>
          <w:numId w:val="26"/>
        </w:numPr>
      </w:pPr>
      <w:r>
        <w:t>Generate a unique request and ledger intent.</w:t>
      </w:r>
    </w:p>
    <w:p>
      <w:pPr>
        <w:pStyle w:val="ListNumber"/>
        <w:numPr>
          <w:ilvl w:val="0"/>
          <w:numId w:val="26"/>
        </w:numPr>
      </w:pPr>
      <w:r>
        <w:t>Send to the approved provider without logging credentials.</w:t>
      </w:r>
    </w:p>
    <w:p>
      <w:pPr>
        <w:pStyle w:val="ListNumber"/>
        <w:numPr>
          <w:ilvl w:val="0"/>
          <w:numId w:val="26"/>
        </w:numPr>
      </w:pPr>
      <w:r>
        <w:t>Verify callback signature, time, reference, amount and currency.</w:t>
      </w:r>
    </w:p>
    <w:p>
      <w:pPr>
        <w:pStyle w:val="ListNumber"/>
        <w:numPr>
          <w:ilvl w:val="0"/>
          <w:numId w:val="26"/>
        </w:numPr>
      </w:pPr>
      <w:r>
        <w:t>Apply idempotently; duplicate callbacks return the existing result.</w:t>
      </w:r>
    </w:p>
    <w:p>
      <w:pPr>
        <w:pStyle w:val="ListNumber"/>
        <w:numPr>
          <w:ilvl w:val="0"/>
          <w:numId w:val="26"/>
        </w:numPr>
      </w:pPr>
      <w:r>
        <w:t>Post payment only after trusted success.</w:t>
      </w:r>
    </w:p>
    <w:p>
      <w:pPr>
        <w:pStyle w:val="ListNumber"/>
        <w:numPr>
          <w:ilvl w:val="0"/>
          <w:numId w:val="26"/>
        </w:numPr>
      </w:pPr>
      <w:r>
        <w:t>Place inconsistent transactions in review.</w:t>
      </w:r>
    </w:p>
    <w:p>
      <w:pPr>
        <w:pStyle w:val="ListNumber"/>
        <w:numPr>
          <w:ilvl w:val="0"/>
          <w:numId w:val="26"/>
        </w:numPr>
      </w:pPr>
      <w:r>
        <w:t>Reconcile provider settlement to ledger daily.</w:t>
      </w:r>
    </w:p>
    <w:p>
      <w:pPr>
        <w:pStyle w:val="Heading1"/>
      </w:pPr>
      <w:r>
        <w:t>35. User experience, accessibility and low-bandwidth standard</w:t>
      </w:r>
    </w:p>
    <w:p>
      <w:pPr>
        <w:pStyle w:val="ListBullet"/>
      </w:pPr>
      <w:r>
        <w:t>Mobile-first on supported common Android and desktop browsers.</w:t>
      </w:r>
    </w:p>
    <w:p>
      <w:pPr>
        <w:pStyle w:val="ListBullet"/>
      </w:pPr>
      <w:r>
        <w:t>Always show institution, role, period and selected learner when relevant.</w:t>
      </w:r>
    </w:p>
    <w:p>
      <w:pPr>
        <w:pStyle w:val="ListBullet"/>
      </w:pPr>
      <w:r>
        <w:t>Never use colour as the only status signal.</w:t>
      </w:r>
    </w:p>
    <w:p>
      <w:pPr>
        <w:pStyle w:val="ListBullet"/>
      </w:pPr>
      <w:r>
        <w:t>Require keyboard access, focus visibility, semantic headings, labels and useful errors.</w:t>
      </w:r>
    </w:p>
    <w:p>
      <w:pPr>
        <w:pStyle w:val="ListBullet"/>
      </w:pPr>
      <w:r>
        <w:t>Preserve safe drafts and warn before discarding changes.</w:t>
      </w:r>
    </w:p>
    <w:p>
      <w:pPr>
        <w:pStyle w:val="ListBullet"/>
      </w:pPr>
      <w:r>
        <w:t>Provide responsive alternatives for large tables.</w:t>
      </w:r>
    </w:p>
    <w:p>
      <w:pPr>
        <w:pStyle w:val="ListBullet"/>
      </w:pPr>
      <w:r>
        <w:t>Never autoplay video; support quality choice, captions and transcript.</w:t>
      </w:r>
    </w:p>
    <w:p>
      <w:pPr>
        <w:pStyle w:val="ListBullet"/>
      </w:pPr>
      <w:r>
        <w:t>Show loading, empty, offline and retry states.</w:t>
      </w:r>
    </w:p>
    <w:p>
      <w:pPr>
        <w:pStyle w:val="ListBullet"/>
      </w:pPr>
      <w:r>
        <w:t>Device storage is never authoritative for marks, payments or attendance.</w:t>
      </w:r>
    </w:p>
    <w:p>
      <w:pPr>
        <w:pStyle w:val="Heading2"/>
      </w:pPr>
      <w:r>
        <w:t>35.1 Unreliable-network behaviour</w:t>
      </w:r>
    </w:p>
    <w:tbl>
      <w:tblPr>
        <w:tblStyle w:val="TableGrid"/>
        <w:tblW w:type="dxa" w:w="9360"/>
        <w:jc w:val="left"/>
        <w:tblLayout w:type="fixed"/>
        <w:tblLook w:firstColumn="1" w:firstRow="1" w:lastColumn="0" w:lastRow="0" w:noHBand="0" w:noVBand="1" w:val="04A0"/>
        <w:tblInd w:w="120" w:type="dxa"/>
      </w:tblPr>
      <w:tblGrid>
        <w:gridCol w:w="1850"/>
        <w:gridCol w:w="3500"/>
        <w:gridCol w:w="4010"/>
      </w:tblGrid>
      <w:tr>
        <w:tc>
          <w:tcPr>
            <w:tcW w:type="dxa" w:w="1850"/>
            <w:shd w:fill="173C31"/>
            <w:tcMar>
              <w:top w:w="80" w:type="dxa"/>
              <w:start w:w="120" w:type="dxa"/>
              <w:bottom w:w="80" w:type="dxa"/>
              <w:end w:w="120" w:type="dxa"/>
            </w:tcMar>
          </w:tcPr>
          <w:p>
            <w:r>
              <w:rPr>
                <w:b/>
                <w:color w:val="FFFFFF"/>
                <w:sz w:val="17"/>
              </w:rPr>
              <w:t>Workflow</w:t>
            </w:r>
          </w:p>
        </w:tc>
        <w:tc>
          <w:tcPr>
            <w:tcW w:type="dxa" w:w="3500"/>
            <w:shd w:fill="173C31"/>
            <w:tcMar>
              <w:top w:w="80" w:type="dxa"/>
              <w:start w:w="120" w:type="dxa"/>
              <w:bottom w:w="80" w:type="dxa"/>
              <w:end w:w="120" w:type="dxa"/>
            </w:tcMar>
          </w:tcPr>
          <w:p>
            <w:r>
              <w:rPr>
                <w:b/>
                <w:color w:val="FFFFFF"/>
                <w:sz w:val="17"/>
              </w:rPr>
              <w:t>Allowed local behaviour</w:t>
            </w:r>
          </w:p>
        </w:tc>
        <w:tc>
          <w:tcPr>
            <w:tcW w:type="dxa" w:w="4010"/>
            <w:shd w:fill="173C31"/>
            <w:tcMar>
              <w:top w:w="80" w:type="dxa"/>
              <w:start w:w="120" w:type="dxa"/>
              <w:bottom w:w="80" w:type="dxa"/>
              <w:end w:w="120" w:type="dxa"/>
            </w:tcMar>
          </w:tcPr>
          <w:p>
            <w:r>
              <w:rPr>
                <w:b/>
                <w:color w:val="FFFFFF"/>
                <w:sz w:val="17"/>
              </w:rPr>
              <w:t>Conflict rule</w:t>
            </w:r>
          </w:p>
        </w:tc>
      </w:tr>
      <w:tr>
        <w:tc>
          <w:tcPr>
            <w:tcW w:type="dxa" w:w="1850"/>
            <w:vAlign w:val="center"/>
            <w:tcMar>
              <w:top w:w="80" w:type="dxa"/>
              <w:start w:w="120" w:type="dxa"/>
              <w:bottom w:w="80" w:type="dxa"/>
              <w:end w:w="120" w:type="dxa"/>
            </w:tcMar>
          </w:tcPr>
          <w:p>
            <w:pPr>
              <w:spacing w:after="0"/>
            </w:pPr>
            <w:r>
              <w:rPr>
                <w:rFonts w:ascii="Calibri" w:hAnsi="Calibri"/>
                <w:sz w:val="16"/>
              </w:rPr>
              <w:t>Timetable/material</w:t>
            </w:r>
          </w:p>
        </w:tc>
        <w:tc>
          <w:tcPr>
            <w:tcW w:type="dxa" w:w="3500"/>
            <w:vAlign w:val="center"/>
            <w:tcMar>
              <w:top w:w="80" w:type="dxa"/>
              <w:start w:w="120" w:type="dxa"/>
              <w:bottom w:w="80" w:type="dxa"/>
              <w:end w:w="120" w:type="dxa"/>
            </w:tcMar>
          </w:tcPr>
          <w:p>
            <w:pPr>
              <w:spacing w:after="0"/>
            </w:pPr>
            <w:r>
              <w:rPr>
                <w:rFonts w:ascii="Calibri" w:hAnsi="Calibri"/>
                <w:sz w:val="16"/>
              </w:rPr>
              <w:t>Cache previously authorised, low-risk content</w:t>
            </w:r>
          </w:p>
        </w:tc>
        <w:tc>
          <w:tcPr>
            <w:tcW w:type="dxa" w:w="4010"/>
            <w:vAlign w:val="center"/>
            <w:tcMar>
              <w:top w:w="80" w:type="dxa"/>
              <w:start w:w="120" w:type="dxa"/>
              <w:bottom w:w="80" w:type="dxa"/>
              <w:end w:w="120" w:type="dxa"/>
            </w:tcMar>
          </w:tcPr>
          <w:p>
            <w:pPr>
              <w:spacing w:after="0"/>
            </w:pPr>
            <w:r>
              <w:rPr>
                <w:rFonts w:ascii="Calibri" w:hAnsi="Calibri"/>
                <w:sz w:val="16"/>
              </w:rPr>
              <w:t>Expire when access or period changes</w:t>
            </w:r>
          </w:p>
        </w:tc>
      </w:tr>
      <w:tr>
        <w:tc>
          <w:tcPr>
            <w:tcW w:type="dxa" w:w="1850"/>
            <w:vAlign w:val="center"/>
            <w:shd w:fill="F5F7F4"/>
            <w:tcMar>
              <w:top w:w="80" w:type="dxa"/>
              <w:start w:w="120" w:type="dxa"/>
              <w:bottom w:w="80" w:type="dxa"/>
              <w:end w:w="120" w:type="dxa"/>
            </w:tcMar>
          </w:tcPr>
          <w:p>
            <w:pPr>
              <w:spacing w:after="0"/>
            </w:pPr>
            <w:r>
              <w:rPr>
                <w:rFonts w:ascii="Calibri" w:hAnsi="Calibri"/>
                <w:sz w:val="16"/>
              </w:rPr>
              <w:t>Attendance</w:t>
            </w:r>
          </w:p>
        </w:tc>
        <w:tc>
          <w:tcPr>
            <w:tcW w:type="dxa" w:w="3500"/>
            <w:vAlign w:val="center"/>
            <w:shd w:fill="F5F7F4"/>
            <w:tcMar>
              <w:top w:w="80" w:type="dxa"/>
              <w:start w:w="120" w:type="dxa"/>
              <w:bottom w:w="80" w:type="dxa"/>
              <w:end w:w="120" w:type="dxa"/>
            </w:tcMar>
          </w:tcPr>
          <w:p>
            <w:pPr>
              <w:spacing w:after="0"/>
            </w:pPr>
            <w:r>
              <w:rPr>
                <w:rFonts w:ascii="Calibri" w:hAnsi="Calibri"/>
                <w:sz w:val="16"/>
              </w:rPr>
              <w:t>Optional encrypted draft for assigned session</w:t>
            </w:r>
          </w:p>
        </w:tc>
        <w:tc>
          <w:tcPr>
            <w:tcW w:type="dxa" w:w="4010"/>
            <w:vAlign w:val="center"/>
            <w:shd w:fill="F5F7F4"/>
            <w:tcMar>
              <w:top w:w="80" w:type="dxa"/>
              <w:start w:w="120" w:type="dxa"/>
              <w:bottom w:w="80" w:type="dxa"/>
              <w:end w:w="120" w:type="dxa"/>
            </w:tcMar>
          </w:tcPr>
          <w:p>
            <w:pPr>
              <w:spacing w:after="0"/>
            </w:pPr>
            <w:r>
              <w:rPr>
                <w:rFonts w:ascii="Calibri" w:hAnsi="Calibri"/>
                <w:sz w:val="16"/>
              </w:rPr>
              <w:t>Server checks assignment and prior submission</w:t>
            </w:r>
          </w:p>
        </w:tc>
      </w:tr>
      <w:tr>
        <w:tc>
          <w:tcPr>
            <w:tcW w:type="dxa" w:w="1850"/>
            <w:vAlign w:val="center"/>
            <w:tcMar>
              <w:top w:w="80" w:type="dxa"/>
              <w:start w:w="120" w:type="dxa"/>
              <w:bottom w:w="80" w:type="dxa"/>
              <w:end w:w="120" w:type="dxa"/>
            </w:tcMar>
          </w:tcPr>
          <w:p>
            <w:pPr>
              <w:spacing w:after="0"/>
            </w:pPr>
            <w:r>
              <w:rPr>
                <w:rFonts w:ascii="Calibri" w:hAnsi="Calibri"/>
                <w:sz w:val="16"/>
              </w:rPr>
              <w:t>Assignment</w:t>
            </w:r>
          </w:p>
        </w:tc>
        <w:tc>
          <w:tcPr>
            <w:tcW w:type="dxa" w:w="3500"/>
            <w:vAlign w:val="center"/>
            <w:tcMar>
              <w:top w:w="80" w:type="dxa"/>
              <w:start w:w="120" w:type="dxa"/>
              <w:bottom w:w="80" w:type="dxa"/>
              <w:end w:w="120" w:type="dxa"/>
            </w:tcMar>
          </w:tcPr>
          <w:p>
            <w:pPr>
              <w:spacing w:after="0"/>
            </w:pPr>
            <w:r>
              <w:rPr>
                <w:rFonts w:ascii="Calibri" w:hAnsi="Calibri"/>
                <w:sz w:val="16"/>
              </w:rPr>
              <w:t>Temporary local draft</w:t>
            </w:r>
          </w:p>
        </w:tc>
        <w:tc>
          <w:tcPr>
            <w:tcW w:type="dxa" w:w="4010"/>
            <w:vAlign w:val="center"/>
            <w:tcMar>
              <w:top w:w="80" w:type="dxa"/>
              <w:start w:w="120" w:type="dxa"/>
              <w:bottom w:w="80" w:type="dxa"/>
              <w:end w:w="120" w:type="dxa"/>
            </w:tcMar>
          </w:tcPr>
          <w:p>
            <w:pPr>
              <w:spacing w:after="0"/>
            </w:pPr>
            <w:r>
              <w:rPr>
                <w:rFonts w:ascii="Calibri" w:hAnsi="Calibri"/>
                <w:sz w:val="16"/>
              </w:rPr>
              <w:t>Server submission time is authoritative</w:t>
            </w:r>
          </w:p>
        </w:tc>
      </w:tr>
      <w:tr>
        <w:tc>
          <w:tcPr>
            <w:tcW w:type="dxa" w:w="1850"/>
            <w:vAlign w:val="center"/>
            <w:shd w:fill="F5F7F4"/>
            <w:tcMar>
              <w:top w:w="80" w:type="dxa"/>
              <w:start w:w="120" w:type="dxa"/>
              <w:bottom w:w="80" w:type="dxa"/>
              <w:end w:w="120" w:type="dxa"/>
            </w:tcMar>
          </w:tcPr>
          <w:p>
            <w:pPr>
              <w:spacing w:after="0"/>
            </w:pPr>
            <w:r>
              <w:rPr>
                <w:rFonts w:ascii="Calibri" w:hAnsi="Calibri"/>
                <w:sz w:val="16"/>
              </w:rPr>
              <w:t>Payment</w:t>
            </w:r>
          </w:p>
        </w:tc>
        <w:tc>
          <w:tcPr>
            <w:tcW w:type="dxa" w:w="3500"/>
            <w:vAlign w:val="center"/>
            <w:shd w:fill="F5F7F4"/>
            <w:tcMar>
              <w:top w:w="80" w:type="dxa"/>
              <w:start w:w="120" w:type="dxa"/>
              <w:bottom w:w="80" w:type="dxa"/>
              <w:end w:w="120" w:type="dxa"/>
            </w:tcMar>
          </w:tcPr>
          <w:p>
            <w:pPr>
              <w:spacing w:after="0"/>
            </w:pPr>
            <w:r>
              <w:rPr>
                <w:rFonts w:ascii="Calibri" w:hAnsi="Calibri"/>
                <w:sz w:val="16"/>
              </w:rPr>
              <w:t>Never show success without provider/server</w:t>
            </w:r>
          </w:p>
        </w:tc>
        <w:tc>
          <w:tcPr>
            <w:tcW w:type="dxa" w:w="4010"/>
            <w:vAlign w:val="center"/>
            <w:shd w:fill="F5F7F4"/>
            <w:tcMar>
              <w:top w:w="80" w:type="dxa"/>
              <w:start w:w="120" w:type="dxa"/>
              <w:bottom w:w="80" w:type="dxa"/>
              <w:end w:w="120" w:type="dxa"/>
            </w:tcMar>
          </w:tcPr>
          <w:p>
            <w:pPr>
              <w:spacing w:after="0"/>
            </w:pPr>
            <w:r>
              <w:rPr>
                <w:rFonts w:ascii="Calibri" w:hAnsi="Calibri"/>
                <w:sz w:val="16"/>
              </w:rPr>
              <w:t>Pending stays pending until verified</w:t>
            </w:r>
          </w:p>
        </w:tc>
      </w:tr>
      <w:tr>
        <w:tc>
          <w:tcPr>
            <w:tcW w:type="dxa" w:w="1850"/>
            <w:vAlign w:val="center"/>
            <w:tcMar>
              <w:top w:w="80" w:type="dxa"/>
              <w:start w:w="120" w:type="dxa"/>
              <w:bottom w:w="80" w:type="dxa"/>
              <w:end w:w="120" w:type="dxa"/>
            </w:tcMar>
          </w:tcPr>
          <w:p>
            <w:pPr>
              <w:spacing w:after="0"/>
            </w:pPr>
            <w:r>
              <w:rPr>
                <w:rFonts w:ascii="Calibri" w:hAnsi="Calibri"/>
                <w:sz w:val="16"/>
              </w:rPr>
              <w:t>Marks</w:t>
            </w:r>
          </w:p>
        </w:tc>
        <w:tc>
          <w:tcPr>
            <w:tcW w:type="dxa" w:w="3500"/>
            <w:vAlign w:val="center"/>
            <w:tcMar>
              <w:top w:w="80" w:type="dxa"/>
              <w:start w:w="120" w:type="dxa"/>
              <w:bottom w:w="80" w:type="dxa"/>
              <w:end w:w="120" w:type="dxa"/>
            </w:tcMar>
          </w:tcPr>
          <w:p>
            <w:pPr>
              <w:spacing w:after="0"/>
            </w:pPr>
            <w:r>
              <w:rPr>
                <w:rFonts w:ascii="Calibri" w:hAnsi="Calibri"/>
                <w:sz w:val="16"/>
              </w:rPr>
              <w:t>Only if separately engineered and approved</w:t>
            </w:r>
          </w:p>
        </w:tc>
        <w:tc>
          <w:tcPr>
            <w:tcW w:type="dxa" w:w="4010"/>
            <w:vAlign w:val="center"/>
            <w:tcMar>
              <w:top w:w="80" w:type="dxa"/>
              <w:start w:w="120" w:type="dxa"/>
              <w:bottom w:w="80" w:type="dxa"/>
              <w:end w:w="120" w:type="dxa"/>
            </w:tcMar>
          </w:tcPr>
          <w:p>
            <w:pPr>
              <w:spacing w:after="0"/>
            </w:pPr>
            <w:r>
              <w:rPr>
                <w:rFonts w:ascii="Calibri" w:hAnsi="Calibri"/>
                <w:sz w:val="16"/>
              </w:rPr>
              <w:t>Explicit review; never silent last-write-wins</w:t>
            </w:r>
          </w:p>
        </w:tc>
      </w:tr>
    </w:tbl>
    <w:p/>
    <w:p>
      <w:pPr>
        <w:pStyle w:val="Heading1"/>
      </w:pPr>
      <w:r>
        <w:t>36. Notification catalogue and template governance</w:t>
      </w:r>
    </w:p>
    <w:tbl>
      <w:tblPr>
        <w:tblStyle w:val="TableGrid"/>
        <w:tblW w:type="dxa" w:w="9360"/>
        <w:jc w:val="left"/>
        <w:tblLayout w:type="fixed"/>
        <w:tblLook w:firstColumn="1" w:firstRow="1" w:lastColumn="0" w:lastRow="0" w:noHBand="0" w:noVBand="1" w:val="04A0"/>
        <w:tblInd w:w="120" w:type="dxa"/>
      </w:tblPr>
      <w:tblGrid>
        <w:gridCol w:w="1650"/>
        <w:gridCol w:w="2200"/>
        <w:gridCol w:w="1450"/>
        <w:gridCol w:w="4060"/>
      </w:tblGrid>
      <w:tr>
        <w:tc>
          <w:tcPr>
            <w:tcW w:type="dxa" w:w="1650"/>
            <w:shd w:fill="173C31"/>
            <w:tcMar>
              <w:top w:w="80" w:type="dxa"/>
              <w:start w:w="120" w:type="dxa"/>
              <w:bottom w:w="80" w:type="dxa"/>
              <w:end w:w="120" w:type="dxa"/>
            </w:tcMar>
          </w:tcPr>
          <w:p>
            <w:r>
              <w:rPr>
                <w:b/>
                <w:color w:val="FFFFFF"/>
                <w:sz w:val="17"/>
              </w:rPr>
              <w:t>Trigger</w:t>
            </w:r>
          </w:p>
        </w:tc>
        <w:tc>
          <w:tcPr>
            <w:tcW w:type="dxa" w:w="2200"/>
            <w:shd w:fill="173C31"/>
            <w:tcMar>
              <w:top w:w="80" w:type="dxa"/>
              <w:start w:w="120" w:type="dxa"/>
              <w:bottom w:w="80" w:type="dxa"/>
              <w:end w:w="120" w:type="dxa"/>
            </w:tcMar>
          </w:tcPr>
          <w:p>
            <w:r>
              <w:rPr>
                <w:b/>
                <w:color w:val="FFFFFF"/>
                <w:sz w:val="17"/>
              </w:rPr>
              <w:t>Audience</w:t>
            </w:r>
          </w:p>
        </w:tc>
        <w:tc>
          <w:tcPr>
            <w:tcW w:type="dxa" w:w="1450"/>
            <w:shd w:fill="173C31"/>
            <w:tcMar>
              <w:top w:w="80" w:type="dxa"/>
              <w:start w:w="120" w:type="dxa"/>
              <w:bottom w:w="80" w:type="dxa"/>
              <w:end w:w="120" w:type="dxa"/>
            </w:tcMar>
          </w:tcPr>
          <w:p>
            <w:r>
              <w:rPr>
                <w:b/>
                <w:color w:val="FFFFFF"/>
                <w:sz w:val="17"/>
              </w:rPr>
              <w:t>Channels</w:t>
            </w:r>
          </w:p>
        </w:tc>
        <w:tc>
          <w:tcPr>
            <w:tcW w:type="dxa" w:w="4060"/>
            <w:shd w:fill="173C31"/>
            <w:tcMar>
              <w:top w:w="80" w:type="dxa"/>
              <w:start w:w="120" w:type="dxa"/>
              <w:bottom w:w="80" w:type="dxa"/>
              <w:end w:w="120" w:type="dxa"/>
            </w:tcMar>
          </w:tcPr>
          <w:p>
            <w:r>
              <w:rPr>
                <w:b/>
                <w:color w:val="FFFFFF"/>
                <w:sz w:val="17"/>
              </w:rPr>
              <w:t>Controls</w:t>
            </w:r>
          </w:p>
        </w:tc>
      </w:tr>
      <w:tr>
        <w:tc>
          <w:tcPr>
            <w:tcW w:type="dxa" w:w="1650"/>
            <w:vAlign w:val="center"/>
            <w:tcMar>
              <w:top w:w="80" w:type="dxa"/>
              <w:start w:w="120" w:type="dxa"/>
              <w:bottom w:w="80" w:type="dxa"/>
              <w:end w:w="120" w:type="dxa"/>
            </w:tcMar>
          </w:tcPr>
          <w:p>
            <w:pPr>
              <w:spacing w:after="0"/>
            </w:pPr>
            <w:r>
              <w:rPr>
                <w:rFonts w:ascii="Calibri" w:hAnsi="Calibri"/>
                <w:sz w:val="16"/>
              </w:rPr>
              <w:t>Account invitation</w:t>
            </w:r>
          </w:p>
        </w:tc>
        <w:tc>
          <w:tcPr>
            <w:tcW w:type="dxa" w:w="2200"/>
            <w:vAlign w:val="center"/>
            <w:tcMar>
              <w:top w:w="80" w:type="dxa"/>
              <w:start w:w="120" w:type="dxa"/>
              <w:bottom w:w="80" w:type="dxa"/>
              <w:end w:w="120" w:type="dxa"/>
            </w:tcMar>
          </w:tcPr>
          <w:p>
            <w:pPr>
              <w:spacing w:after="0"/>
            </w:pPr>
            <w:r>
              <w:rPr>
                <w:rFonts w:ascii="Calibri" w:hAnsi="Calibri"/>
                <w:sz w:val="16"/>
              </w:rPr>
              <w:t>User</w:t>
            </w:r>
          </w:p>
        </w:tc>
        <w:tc>
          <w:tcPr>
            <w:tcW w:type="dxa" w:w="1450"/>
            <w:vAlign w:val="center"/>
            <w:tcMar>
              <w:top w:w="80" w:type="dxa"/>
              <w:start w:w="120" w:type="dxa"/>
              <w:bottom w:w="80" w:type="dxa"/>
              <w:end w:w="120" w:type="dxa"/>
            </w:tcMar>
          </w:tcPr>
          <w:p>
            <w:pPr>
              <w:spacing w:after="0"/>
            </w:pPr>
            <w:r>
              <w:rPr>
                <w:rFonts w:ascii="Calibri" w:hAnsi="Calibri"/>
                <w:sz w:val="16"/>
              </w:rPr>
              <w:t>SMS/email</w:t>
            </w:r>
          </w:p>
        </w:tc>
        <w:tc>
          <w:tcPr>
            <w:tcW w:type="dxa" w:w="4060"/>
            <w:vAlign w:val="center"/>
            <w:tcMar>
              <w:top w:w="80" w:type="dxa"/>
              <w:start w:w="120" w:type="dxa"/>
              <w:bottom w:w="80" w:type="dxa"/>
              <w:end w:w="120" w:type="dxa"/>
            </w:tcMar>
          </w:tcPr>
          <w:p>
            <w:pPr>
              <w:spacing w:after="0"/>
            </w:pPr>
            <w:r>
              <w:rPr>
                <w:rFonts w:ascii="Calibri" w:hAnsi="Calibri"/>
                <w:sz w:val="16"/>
              </w:rPr>
              <w:t>Expiry, one-time use, resend limit</w:t>
            </w:r>
          </w:p>
        </w:tc>
      </w:tr>
      <w:tr>
        <w:tc>
          <w:tcPr>
            <w:tcW w:type="dxa" w:w="1650"/>
            <w:vAlign w:val="center"/>
            <w:shd w:fill="F5F7F4"/>
            <w:tcMar>
              <w:top w:w="80" w:type="dxa"/>
              <w:start w:w="120" w:type="dxa"/>
              <w:bottom w:w="80" w:type="dxa"/>
              <w:end w:w="120" w:type="dxa"/>
            </w:tcMar>
          </w:tcPr>
          <w:p>
            <w:pPr>
              <w:spacing w:after="0"/>
            </w:pPr>
            <w:r>
              <w:rPr>
                <w:rFonts w:ascii="Calibri" w:hAnsi="Calibri"/>
                <w:sz w:val="16"/>
              </w:rPr>
              <w:t>Security change</w:t>
            </w:r>
          </w:p>
        </w:tc>
        <w:tc>
          <w:tcPr>
            <w:tcW w:type="dxa" w:w="2200"/>
            <w:vAlign w:val="center"/>
            <w:shd w:fill="F5F7F4"/>
            <w:tcMar>
              <w:top w:w="80" w:type="dxa"/>
              <w:start w:w="120" w:type="dxa"/>
              <w:bottom w:w="80" w:type="dxa"/>
              <w:end w:w="120" w:type="dxa"/>
            </w:tcMar>
          </w:tcPr>
          <w:p>
            <w:pPr>
              <w:spacing w:after="0"/>
            </w:pPr>
            <w:r>
              <w:rPr>
                <w:rFonts w:ascii="Calibri" w:hAnsi="Calibri"/>
                <w:sz w:val="16"/>
              </w:rPr>
              <w:t>Account owner</w:t>
            </w:r>
          </w:p>
        </w:tc>
        <w:tc>
          <w:tcPr>
            <w:tcW w:type="dxa" w:w="1450"/>
            <w:vAlign w:val="center"/>
            <w:shd w:fill="F5F7F4"/>
            <w:tcMar>
              <w:top w:w="80" w:type="dxa"/>
              <w:start w:w="120" w:type="dxa"/>
              <w:bottom w:w="80" w:type="dxa"/>
              <w:end w:w="120" w:type="dxa"/>
            </w:tcMar>
          </w:tcPr>
          <w:p>
            <w:pPr>
              <w:spacing w:after="0"/>
            </w:pPr>
            <w:r>
              <w:rPr>
                <w:rFonts w:ascii="Calibri" w:hAnsi="Calibri"/>
                <w:sz w:val="16"/>
              </w:rPr>
              <w:t>Email/SMS/portal</w:t>
            </w:r>
          </w:p>
        </w:tc>
        <w:tc>
          <w:tcPr>
            <w:tcW w:type="dxa" w:w="4060"/>
            <w:vAlign w:val="center"/>
            <w:shd w:fill="F5F7F4"/>
            <w:tcMar>
              <w:top w:w="80" w:type="dxa"/>
              <w:start w:w="120" w:type="dxa"/>
              <w:bottom w:w="80" w:type="dxa"/>
              <w:end w:w="120" w:type="dxa"/>
            </w:tcMar>
          </w:tcPr>
          <w:p>
            <w:pPr>
              <w:spacing w:after="0"/>
            </w:pPr>
            <w:r>
              <w:rPr>
                <w:rFonts w:ascii="Calibri" w:hAnsi="Calibri"/>
                <w:sz w:val="16"/>
              </w:rPr>
              <w:t>Immediate; cannot mute</w:t>
            </w:r>
          </w:p>
        </w:tc>
      </w:tr>
      <w:tr>
        <w:tc>
          <w:tcPr>
            <w:tcW w:type="dxa" w:w="1650"/>
            <w:vAlign w:val="center"/>
            <w:tcMar>
              <w:top w:w="80" w:type="dxa"/>
              <w:start w:w="120" w:type="dxa"/>
              <w:bottom w:w="80" w:type="dxa"/>
              <w:end w:w="120" w:type="dxa"/>
            </w:tcMar>
          </w:tcPr>
          <w:p>
            <w:pPr>
              <w:spacing w:after="0"/>
            </w:pPr>
            <w:r>
              <w:rPr>
                <w:rFonts w:ascii="Calibri" w:hAnsi="Calibri"/>
                <w:sz w:val="16"/>
              </w:rPr>
              <w:t>Unexplained absence</w:t>
            </w:r>
          </w:p>
        </w:tc>
        <w:tc>
          <w:tcPr>
            <w:tcW w:type="dxa" w:w="2200"/>
            <w:vAlign w:val="center"/>
            <w:tcMar>
              <w:top w:w="80" w:type="dxa"/>
              <w:start w:w="120" w:type="dxa"/>
              <w:bottom w:w="80" w:type="dxa"/>
              <w:end w:w="120" w:type="dxa"/>
            </w:tcMar>
          </w:tcPr>
          <w:p>
            <w:pPr>
              <w:spacing w:after="0"/>
            </w:pPr>
            <w:r>
              <w:rPr>
                <w:rFonts w:ascii="Calibri" w:hAnsi="Calibri"/>
                <w:sz w:val="16"/>
              </w:rPr>
              <w:t>Verified guardian</w:t>
            </w:r>
          </w:p>
        </w:tc>
        <w:tc>
          <w:tcPr>
            <w:tcW w:type="dxa" w:w="1450"/>
            <w:vAlign w:val="center"/>
            <w:tcMar>
              <w:top w:w="80" w:type="dxa"/>
              <w:start w:w="120" w:type="dxa"/>
              <w:bottom w:w="80" w:type="dxa"/>
              <w:end w:w="120" w:type="dxa"/>
            </w:tcMar>
          </w:tcPr>
          <w:p>
            <w:pPr>
              <w:spacing w:after="0"/>
            </w:pPr>
            <w:r>
              <w:rPr>
                <w:rFonts w:ascii="Calibri" w:hAnsi="Calibri"/>
                <w:sz w:val="16"/>
              </w:rPr>
              <w:t>SMS/portal</w:t>
            </w:r>
          </w:p>
        </w:tc>
        <w:tc>
          <w:tcPr>
            <w:tcW w:type="dxa" w:w="4060"/>
            <w:vAlign w:val="center"/>
            <w:tcMar>
              <w:top w:w="80" w:type="dxa"/>
              <w:start w:w="120" w:type="dxa"/>
              <w:bottom w:w="80" w:type="dxa"/>
              <w:end w:w="120" w:type="dxa"/>
            </w:tcMar>
          </w:tcPr>
          <w:p>
            <w:pPr>
              <w:spacing w:after="0"/>
            </w:pPr>
            <w:r>
              <w:rPr>
                <w:rFonts w:ascii="Calibri" w:hAnsi="Calibri"/>
                <w:sz w:val="16"/>
              </w:rPr>
              <w:t>School validation; safe wording</w:t>
            </w:r>
          </w:p>
        </w:tc>
      </w:tr>
      <w:tr>
        <w:tc>
          <w:tcPr>
            <w:tcW w:type="dxa" w:w="1650"/>
            <w:vAlign w:val="center"/>
            <w:shd w:fill="F5F7F4"/>
            <w:tcMar>
              <w:top w:w="80" w:type="dxa"/>
              <w:start w:w="120" w:type="dxa"/>
              <w:bottom w:w="80" w:type="dxa"/>
              <w:end w:w="120" w:type="dxa"/>
            </w:tcMar>
          </w:tcPr>
          <w:p>
            <w:pPr>
              <w:spacing w:after="0"/>
            </w:pPr>
            <w:r>
              <w:rPr>
                <w:rFonts w:ascii="Calibri" w:hAnsi="Calibri"/>
                <w:sz w:val="16"/>
              </w:rPr>
              <w:t>Assignment due</w:t>
            </w:r>
          </w:p>
        </w:tc>
        <w:tc>
          <w:tcPr>
            <w:tcW w:type="dxa" w:w="2200"/>
            <w:vAlign w:val="center"/>
            <w:shd w:fill="F5F7F4"/>
            <w:tcMar>
              <w:top w:w="80" w:type="dxa"/>
              <w:start w:w="120" w:type="dxa"/>
              <w:bottom w:w="80" w:type="dxa"/>
              <w:end w:w="120" w:type="dxa"/>
            </w:tcMar>
          </w:tcPr>
          <w:p>
            <w:pPr>
              <w:spacing w:after="0"/>
            </w:pPr>
            <w:r>
              <w:rPr>
                <w:rFonts w:ascii="Calibri" w:hAnsi="Calibri"/>
                <w:sz w:val="16"/>
              </w:rPr>
              <w:t>Enrolled students</w:t>
            </w:r>
          </w:p>
        </w:tc>
        <w:tc>
          <w:tcPr>
            <w:tcW w:type="dxa" w:w="1450"/>
            <w:vAlign w:val="center"/>
            <w:shd w:fill="F5F7F4"/>
            <w:tcMar>
              <w:top w:w="80" w:type="dxa"/>
              <w:start w:w="120" w:type="dxa"/>
              <w:bottom w:w="80" w:type="dxa"/>
              <w:end w:w="120" w:type="dxa"/>
            </w:tcMar>
          </w:tcPr>
          <w:p>
            <w:pPr>
              <w:spacing w:after="0"/>
            </w:pPr>
            <w:r>
              <w:rPr>
                <w:rFonts w:ascii="Calibri" w:hAnsi="Calibri"/>
                <w:sz w:val="16"/>
              </w:rPr>
              <w:t>Portal/email</w:t>
            </w:r>
          </w:p>
        </w:tc>
        <w:tc>
          <w:tcPr>
            <w:tcW w:type="dxa" w:w="4060"/>
            <w:vAlign w:val="center"/>
            <w:shd w:fill="F5F7F4"/>
            <w:tcMar>
              <w:top w:w="80" w:type="dxa"/>
              <w:start w:w="120" w:type="dxa"/>
              <w:bottom w:w="80" w:type="dxa"/>
              <w:end w:w="120" w:type="dxa"/>
            </w:tcMar>
          </w:tcPr>
          <w:p>
            <w:pPr>
              <w:spacing w:after="0"/>
            </w:pPr>
            <w:r>
              <w:rPr>
                <w:rFonts w:ascii="Calibri" w:hAnsi="Calibri"/>
                <w:sz w:val="16"/>
              </w:rPr>
              <w:t>Digest and timezone</w:t>
            </w:r>
          </w:p>
        </w:tc>
      </w:tr>
      <w:tr>
        <w:tc>
          <w:tcPr>
            <w:tcW w:type="dxa" w:w="1650"/>
            <w:vAlign w:val="center"/>
            <w:tcMar>
              <w:top w:w="80" w:type="dxa"/>
              <w:start w:w="120" w:type="dxa"/>
              <w:bottom w:w="80" w:type="dxa"/>
              <w:end w:w="120" w:type="dxa"/>
            </w:tcMar>
          </w:tcPr>
          <w:p>
            <w:pPr>
              <w:spacing w:after="0"/>
            </w:pPr>
            <w:r>
              <w:rPr>
                <w:rFonts w:ascii="Calibri" w:hAnsi="Calibri"/>
                <w:sz w:val="16"/>
              </w:rPr>
              <w:t>Result published</w:t>
            </w:r>
          </w:p>
        </w:tc>
        <w:tc>
          <w:tcPr>
            <w:tcW w:type="dxa" w:w="2200"/>
            <w:vAlign w:val="center"/>
            <w:tcMar>
              <w:top w:w="80" w:type="dxa"/>
              <w:start w:w="120" w:type="dxa"/>
              <w:bottom w:w="80" w:type="dxa"/>
              <w:end w:w="120" w:type="dxa"/>
            </w:tcMar>
          </w:tcPr>
          <w:p>
            <w:pPr>
              <w:spacing w:after="0"/>
            </w:pPr>
            <w:r>
              <w:rPr>
                <w:rFonts w:ascii="Calibri" w:hAnsi="Calibri"/>
                <w:sz w:val="16"/>
              </w:rPr>
              <w:t>Student/linked guardian</w:t>
            </w:r>
          </w:p>
        </w:tc>
        <w:tc>
          <w:tcPr>
            <w:tcW w:type="dxa" w:w="1450"/>
            <w:vAlign w:val="center"/>
            <w:tcMar>
              <w:top w:w="80" w:type="dxa"/>
              <w:start w:w="120" w:type="dxa"/>
              <w:bottom w:w="80" w:type="dxa"/>
              <w:end w:w="120" w:type="dxa"/>
            </w:tcMar>
          </w:tcPr>
          <w:p>
            <w:pPr>
              <w:spacing w:after="0"/>
            </w:pPr>
            <w:r>
              <w:rPr>
                <w:rFonts w:ascii="Calibri" w:hAnsi="Calibri"/>
                <w:sz w:val="16"/>
              </w:rPr>
              <w:t>Portal/email</w:t>
            </w:r>
          </w:p>
        </w:tc>
        <w:tc>
          <w:tcPr>
            <w:tcW w:type="dxa" w:w="4060"/>
            <w:vAlign w:val="center"/>
            <w:tcMar>
              <w:top w:w="80" w:type="dxa"/>
              <w:start w:w="120" w:type="dxa"/>
              <w:bottom w:w="80" w:type="dxa"/>
              <w:end w:w="120" w:type="dxa"/>
            </w:tcMar>
          </w:tcPr>
          <w:p>
            <w:pPr>
              <w:spacing w:after="0"/>
            </w:pPr>
            <w:r>
              <w:rPr>
                <w:rFonts w:ascii="Calibri" w:hAnsi="Calibri"/>
                <w:sz w:val="16"/>
              </w:rPr>
              <w:t>No marks in insecure SMS by default</w:t>
            </w:r>
          </w:p>
        </w:tc>
      </w:tr>
      <w:tr>
        <w:tc>
          <w:tcPr>
            <w:tcW w:type="dxa" w:w="1650"/>
            <w:vAlign w:val="center"/>
            <w:shd w:fill="F5F7F4"/>
            <w:tcMar>
              <w:top w:w="80" w:type="dxa"/>
              <w:start w:w="120" w:type="dxa"/>
              <w:bottom w:w="80" w:type="dxa"/>
              <w:end w:w="120" w:type="dxa"/>
            </w:tcMar>
          </w:tcPr>
          <w:p>
            <w:pPr>
              <w:spacing w:after="0"/>
            </w:pPr>
            <w:r>
              <w:rPr>
                <w:rFonts w:ascii="Calibri" w:hAnsi="Calibri"/>
                <w:sz w:val="16"/>
              </w:rPr>
              <w:t>Fee due</w:t>
            </w:r>
          </w:p>
        </w:tc>
        <w:tc>
          <w:tcPr>
            <w:tcW w:type="dxa" w:w="2200"/>
            <w:vAlign w:val="center"/>
            <w:shd w:fill="F5F7F4"/>
            <w:tcMar>
              <w:top w:w="80" w:type="dxa"/>
              <w:start w:w="120" w:type="dxa"/>
              <w:bottom w:w="80" w:type="dxa"/>
              <w:end w:w="120" w:type="dxa"/>
            </w:tcMar>
          </w:tcPr>
          <w:p>
            <w:pPr>
              <w:spacing w:after="0"/>
            </w:pPr>
            <w:r>
              <w:rPr>
                <w:rFonts w:ascii="Calibri" w:hAnsi="Calibri"/>
                <w:sz w:val="16"/>
              </w:rPr>
              <w:t>Linked guardian/student by policy</w:t>
            </w:r>
          </w:p>
        </w:tc>
        <w:tc>
          <w:tcPr>
            <w:tcW w:type="dxa" w:w="1450"/>
            <w:vAlign w:val="center"/>
            <w:shd w:fill="F5F7F4"/>
            <w:tcMar>
              <w:top w:w="80" w:type="dxa"/>
              <w:start w:w="120" w:type="dxa"/>
              <w:bottom w:w="80" w:type="dxa"/>
              <w:end w:w="120" w:type="dxa"/>
            </w:tcMar>
          </w:tcPr>
          <w:p>
            <w:pPr>
              <w:spacing w:after="0"/>
            </w:pPr>
            <w:r>
              <w:rPr>
                <w:rFonts w:ascii="Calibri" w:hAnsi="Calibri"/>
                <w:sz w:val="16"/>
              </w:rPr>
              <w:t>Portal/SMS/email</w:t>
            </w:r>
          </w:p>
        </w:tc>
        <w:tc>
          <w:tcPr>
            <w:tcW w:type="dxa" w:w="4060"/>
            <w:vAlign w:val="center"/>
            <w:shd w:fill="F5F7F4"/>
            <w:tcMar>
              <w:top w:w="80" w:type="dxa"/>
              <w:start w:w="120" w:type="dxa"/>
              <w:bottom w:w="80" w:type="dxa"/>
              <w:end w:w="120" w:type="dxa"/>
            </w:tcMar>
          </w:tcPr>
          <w:p>
            <w:pPr>
              <w:spacing w:after="0"/>
            </w:pPr>
            <w:r>
              <w:rPr>
                <w:rFonts w:ascii="Calibri" w:hAnsi="Calibri"/>
                <w:sz w:val="16"/>
              </w:rPr>
              <w:t>Approved tone and amount/reference check</w:t>
            </w:r>
          </w:p>
        </w:tc>
      </w:tr>
      <w:tr>
        <w:tc>
          <w:tcPr>
            <w:tcW w:type="dxa" w:w="1650"/>
            <w:vAlign w:val="center"/>
            <w:tcMar>
              <w:top w:w="80" w:type="dxa"/>
              <w:start w:w="120" w:type="dxa"/>
              <w:bottom w:w="80" w:type="dxa"/>
              <w:end w:w="120" w:type="dxa"/>
            </w:tcMar>
          </w:tcPr>
          <w:p>
            <w:pPr>
              <w:spacing w:after="0"/>
            </w:pPr>
            <w:r>
              <w:rPr>
                <w:rFonts w:ascii="Calibri" w:hAnsi="Calibri"/>
                <w:sz w:val="16"/>
              </w:rPr>
              <w:t>Payment confirmed</w:t>
            </w:r>
          </w:p>
        </w:tc>
        <w:tc>
          <w:tcPr>
            <w:tcW w:type="dxa" w:w="2200"/>
            <w:vAlign w:val="center"/>
            <w:tcMar>
              <w:top w:w="80" w:type="dxa"/>
              <w:start w:w="120" w:type="dxa"/>
              <w:bottom w:w="80" w:type="dxa"/>
              <w:end w:w="120" w:type="dxa"/>
            </w:tcMar>
          </w:tcPr>
          <w:p>
            <w:pPr>
              <w:spacing w:after="0"/>
            </w:pPr>
            <w:r>
              <w:rPr>
                <w:rFonts w:ascii="Calibri" w:hAnsi="Calibri"/>
                <w:sz w:val="16"/>
              </w:rPr>
              <w:t>Payer/finance</w:t>
            </w:r>
          </w:p>
        </w:tc>
        <w:tc>
          <w:tcPr>
            <w:tcW w:type="dxa" w:w="1450"/>
            <w:vAlign w:val="center"/>
            <w:tcMar>
              <w:top w:w="80" w:type="dxa"/>
              <w:start w:w="120" w:type="dxa"/>
              <w:bottom w:w="80" w:type="dxa"/>
              <w:end w:w="120" w:type="dxa"/>
            </w:tcMar>
          </w:tcPr>
          <w:p>
            <w:pPr>
              <w:spacing w:after="0"/>
            </w:pPr>
            <w:r>
              <w:rPr>
                <w:rFonts w:ascii="Calibri" w:hAnsi="Calibri"/>
                <w:sz w:val="16"/>
              </w:rPr>
              <w:t>Portal/SMS/email</w:t>
            </w:r>
          </w:p>
        </w:tc>
        <w:tc>
          <w:tcPr>
            <w:tcW w:type="dxa" w:w="4060"/>
            <w:vAlign w:val="center"/>
            <w:tcMar>
              <w:top w:w="80" w:type="dxa"/>
              <w:start w:w="120" w:type="dxa"/>
              <w:bottom w:w="80" w:type="dxa"/>
              <w:end w:w="120" w:type="dxa"/>
            </w:tcMar>
          </w:tcPr>
          <w:p>
            <w:pPr>
              <w:spacing w:after="0"/>
            </w:pPr>
            <w:r>
              <w:rPr>
                <w:rFonts w:ascii="Calibri" w:hAnsi="Calibri"/>
                <w:sz w:val="16"/>
              </w:rPr>
              <w:t>Only after trusted success</w:t>
            </w:r>
          </w:p>
        </w:tc>
      </w:tr>
      <w:tr>
        <w:tc>
          <w:tcPr>
            <w:tcW w:type="dxa" w:w="1650"/>
            <w:vAlign w:val="center"/>
            <w:shd w:fill="F5F7F4"/>
            <w:tcMar>
              <w:top w:w="80" w:type="dxa"/>
              <w:start w:w="120" w:type="dxa"/>
              <w:bottom w:w="80" w:type="dxa"/>
              <w:end w:w="120" w:type="dxa"/>
            </w:tcMar>
          </w:tcPr>
          <w:p>
            <w:pPr>
              <w:spacing w:after="0"/>
            </w:pPr>
            <w:r>
              <w:rPr>
                <w:rFonts w:ascii="Calibri" w:hAnsi="Calibri"/>
                <w:sz w:val="16"/>
              </w:rPr>
              <w:t>Emergency</w:t>
            </w:r>
          </w:p>
        </w:tc>
        <w:tc>
          <w:tcPr>
            <w:tcW w:type="dxa" w:w="2200"/>
            <w:vAlign w:val="center"/>
            <w:shd w:fill="F5F7F4"/>
            <w:tcMar>
              <w:top w:w="80" w:type="dxa"/>
              <w:start w:w="120" w:type="dxa"/>
              <w:bottom w:w="80" w:type="dxa"/>
              <w:end w:w="120" w:type="dxa"/>
            </w:tcMar>
          </w:tcPr>
          <w:p>
            <w:pPr>
              <w:spacing w:after="0"/>
            </w:pPr>
            <w:r>
              <w:rPr>
                <w:rFonts w:ascii="Calibri" w:hAnsi="Calibri"/>
                <w:sz w:val="16"/>
              </w:rPr>
              <w:t>Configured audience</w:t>
            </w:r>
          </w:p>
        </w:tc>
        <w:tc>
          <w:tcPr>
            <w:tcW w:type="dxa" w:w="1450"/>
            <w:vAlign w:val="center"/>
            <w:shd w:fill="F5F7F4"/>
            <w:tcMar>
              <w:top w:w="80" w:type="dxa"/>
              <w:start w:w="120" w:type="dxa"/>
              <w:bottom w:w="80" w:type="dxa"/>
              <w:end w:w="120" w:type="dxa"/>
            </w:tcMar>
          </w:tcPr>
          <w:p>
            <w:pPr>
              <w:spacing w:after="0"/>
            </w:pPr>
            <w:r>
              <w:rPr>
                <w:rFonts w:ascii="Calibri" w:hAnsi="Calibri"/>
                <w:sz w:val="16"/>
              </w:rPr>
              <w:t>All approved</w:t>
            </w:r>
          </w:p>
        </w:tc>
        <w:tc>
          <w:tcPr>
            <w:tcW w:type="dxa" w:w="4060"/>
            <w:vAlign w:val="center"/>
            <w:shd w:fill="F5F7F4"/>
            <w:tcMar>
              <w:top w:w="80" w:type="dxa"/>
              <w:start w:w="120" w:type="dxa"/>
              <w:bottom w:w="80" w:type="dxa"/>
              <w:end w:w="120" w:type="dxa"/>
            </w:tcMar>
          </w:tcPr>
          <w:p>
            <w:pPr>
              <w:spacing w:after="0"/>
            </w:pPr>
            <w:r>
              <w:rPr>
                <w:rFonts w:ascii="Calibri" w:hAnsi="Calibri"/>
                <w:sz w:val="16"/>
              </w:rPr>
              <w:t>Leader permission, acknowledgement, expiry</w:t>
            </w:r>
          </w:p>
        </w:tc>
      </w:tr>
      <w:tr>
        <w:tc>
          <w:tcPr>
            <w:tcW w:type="dxa" w:w="1650"/>
            <w:vAlign w:val="center"/>
            <w:tcMar>
              <w:top w:w="80" w:type="dxa"/>
              <w:start w:w="120" w:type="dxa"/>
              <w:bottom w:w="80" w:type="dxa"/>
              <w:end w:w="120" w:type="dxa"/>
            </w:tcMar>
          </w:tcPr>
          <w:p>
            <w:pPr>
              <w:spacing w:after="0"/>
            </w:pPr>
            <w:r>
              <w:rPr>
                <w:rFonts w:ascii="Calibri" w:hAnsi="Calibri"/>
                <w:sz w:val="16"/>
              </w:rPr>
              <w:t>Transport disruption</w:t>
            </w:r>
          </w:p>
        </w:tc>
        <w:tc>
          <w:tcPr>
            <w:tcW w:type="dxa" w:w="2200"/>
            <w:vAlign w:val="center"/>
            <w:tcMar>
              <w:top w:w="80" w:type="dxa"/>
              <w:start w:w="120" w:type="dxa"/>
              <w:bottom w:w="80" w:type="dxa"/>
              <w:end w:w="120" w:type="dxa"/>
            </w:tcMar>
          </w:tcPr>
          <w:p>
            <w:pPr>
              <w:spacing w:after="0"/>
            </w:pPr>
            <w:r>
              <w:rPr>
                <w:rFonts w:ascii="Calibri" w:hAnsi="Calibri"/>
                <w:sz w:val="16"/>
              </w:rPr>
              <w:t>Affected users</w:t>
            </w:r>
          </w:p>
        </w:tc>
        <w:tc>
          <w:tcPr>
            <w:tcW w:type="dxa" w:w="1450"/>
            <w:vAlign w:val="center"/>
            <w:tcMar>
              <w:top w:w="80" w:type="dxa"/>
              <w:start w:w="120" w:type="dxa"/>
              <w:bottom w:w="80" w:type="dxa"/>
              <w:end w:w="120" w:type="dxa"/>
            </w:tcMar>
          </w:tcPr>
          <w:p>
            <w:pPr>
              <w:spacing w:after="0"/>
            </w:pPr>
            <w:r>
              <w:rPr>
                <w:rFonts w:ascii="Calibri" w:hAnsi="Calibri"/>
                <w:sz w:val="16"/>
              </w:rPr>
              <w:t>SMS/portal</w:t>
            </w:r>
          </w:p>
        </w:tc>
        <w:tc>
          <w:tcPr>
            <w:tcW w:type="dxa" w:w="4060"/>
            <w:vAlign w:val="center"/>
            <w:tcMar>
              <w:top w:w="80" w:type="dxa"/>
              <w:start w:w="120" w:type="dxa"/>
              <w:bottom w:w="80" w:type="dxa"/>
              <w:end w:w="120" w:type="dxa"/>
            </w:tcMar>
          </w:tcPr>
          <w:p>
            <w:pPr>
              <w:spacing w:after="0"/>
            </w:pPr>
            <w:r>
              <w:rPr>
                <w:rFonts w:ascii="Calibri" w:hAnsi="Calibri"/>
                <w:sz w:val="16"/>
              </w:rPr>
              <w:t>Current manifest only</w:t>
            </w:r>
          </w:p>
        </w:tc>
      </w:tr>
      <w:tr>
        <w:tc>
          <w:tcPr>
            <w:tcW w:type="dxa" w:w="1650"/>
            <w:vAlign w:val="center"/>
            <w:shd w:fill="F5F7F4"/>
            <w:tcMar>
              <w:top w:w="80" w:type="dxa"/>
              <w:start w:w="120" w:type="dxa"/>
              <w:bottom w:w="80" w:type="dxa"/>
              <w:end w:w="120" w:type="dxa"/>
            </w:tcMar>
          </w:tcPr>
          <w:p>
            <w:pPr>
              <w:spacing w:after="0"/>
            </w:pPr>
            <w:r>
              <w:rPr>
                <w:rFonts w:ascii="Calibri" w:hAnsi="Calibri"/>
                <w:sz w:val="16"/>
              </w:rPr>
              <w:t>Maintenance</w:t>
            </w:r>
          </w:p>
        </w:tc>
        <w:tc>
          <w:tcPr>
            <w:tcW w:type="dxa" w:w="2200"/>
            <w:vAlign w:val="center"/>
            <w:shd w:fill="F5F7F4"/>
            <w:tcMar>
              <w:top w:w="80" w:type="dxa"/>
              <w:start w:w="120" w:type="dxa"/>
              <w:bottom w:w="80" w:type="dxa"/>
              <w:end w:w="120" w:type="dxa"/>
            </w:tcMar>
          </w:tcPr>
          <w:p>
            <w:pPr>
              <w:spacing w:after="0"/>
            </w:pPr>
            <w:r>
              <w:rPr>
                <w:rFonts w:ascii="Calibri" w:hAnsi="Calibri"/>
                <w:sz w:val="16"/>
              </w:rPr>
              <w:t>Affected users</w:t>
            </w:r>
          </w:p>
        </w:tc>
        <w:tc>
          <w:tcPr>
            <w:tcW w:type="dxa" w:w="1450"/>
            <w:vAlign w:val="center"/>
            <w:shd w:fill="F5F7F4"/>
            <w:tcMar>
              <w:top w:w="80" w:type="dxa"/>
              <w:start w:w="120" w:type="dxa"/>
              <w:bottom w:w="80" w:type="dxa"/>
              <w:end w:w="120" w:type="dxa"/>
            </w:tcMar>
          </w:tcPr>
          <w:p>
            <w:pPr>
              <w:spacing w:after="0"/>
            </w:pPr>
            <w:r>
              <w:rPr>
                <w:rFonts w:ascii="Calibri" w:hAnsi="Calibri"/>
                <w:sz w:val="16"/>
              </w:rPr>
              <w:t>Portal/email</w:t>
            </w:r>
          </w:p>
        </w:tc>
        <w:tc>
          <w:tcPr>
            <w:tcW w:type="dxa" w:w="4060"/>
            <w:vAlign w:val="center"/>
            <w:shd w:fill="F5F7F4"/>
            <w:tcMar>
              <w:top w:w="80" w:type="dxa"/>
              <w:start w:w="120" w:type="dxa"/>
              <w:bottom w:w="80" w:type="dxa"/>
              <w:end w:w="120" w:type="dxa"/>
            </w:tcMar>
          </w:tcPr>
          <w:p>
            <w:pPr>
              <w:spacing w:after="0"/>
            </w:pPr>
            <w:r>
              <w:rPr>
                <w:rFonts w:ascii="Calibri" w:hAnsi="Calibri"/>
                <w:sz w:val="16"/>
              </w:rPr>
              <w:t>Impact, timezone and completion</w:t>
            </w:r>
          </w:p>
        </w:tc>
      </w:tr>
    </w:tbl>
    <w:p/>
    <w:p>
      <w:pPr>
        <w:pStyle w:val="Heading2"/>
      </w:pPr>
      <w:r>
        <w:t>36.1 Template rules</w:t>
      </w:r>
    </w:p>
    <w:p>
      <w:pPr>
        <w:pStyle w:val="ListBullet"/>
      </w:pPr>
      <w:r>
        <w:t>Each template has owner, audience, variables, language, version and review date.</w:t>
      </w:r>
    </w:p>
    <w:p>
      <w:pPr>
        <w:pStyle w:val="ListBullet"/>
      </w:pPr>
      <w:r>
        <w:t>Missing required variables fail safely.</w:t>
      </w:r>
    </w:p>
    <w:p>
      <w:pPr>
        <w:pStyle w:val="ListBullet"/>
      </w:pPr>
      <w:r>
        <w:t>Sensitive academic, medical or account details stay off insecure channels.</w:t>
      </w:r>
    </w:p>
    <w:p>
      <w:pPr>
        <w:pStyle w:val="ListBullet"/>
      </w:pPr>
      <w:r>
        <w:t>Bulk sends show audience count and sample content.</w:t>
      </w:r>
    </w:p>
    <w:p>
      <w:pPr>
        <w:pStyle w:val="ListBullet"/>
      </w:pPr>
      <w:r>
        <w:t>Emergency and finance templates require stronger permission.</w:t>
      </w:r>
    </w:p>
    <w:p>
      <w:pPr>
        <w:pStyle w:val="ListBullet"/>
      </w:pPr>
      <w:r>
        <w:t>Cost and delivery success are reportable by tenant and channel.</w:t>
      </w:r>
    </w:p>
    <w:p>
      <w:pPr>
        <w:pStyle w:val="Heading1"/>
      </w:pPr>
      <w:r>
        <w:t>37. Reporting catalogue and metric definitions</w:t>
      </w:r>
    </w:p>
    <w:tbl>
      <w:tblPr>
        <w:tblStyle w:val="TableGrid"/>
        <w:tblW w:type="dxa" w:w="9360"/>
        <w:jc w:val="left"/>
        <w:tblLayout w:type="fixed"/>
        <w:tblLook w:firstColumn="1" w:firstRow="1" w:lastColumn="0" w:lastRow="0" w:noHBand="0" w:noVBand="1" w:val="04A0"/>
        <w:tblInd w:w="120" w:type="dxa"/>
      </w:tblPr>
      <w:tblGrid>
        <w:gridCol w:w="1900"/>
        <w:gridCol w:w="2200"/>
        <w:gridCol w:w="5260"/>
      </w:tblGrid>
      <w:tr>
        <w:tc>
          <w:tcPr>
            <w:tcW w:type="dxa" w:w="1900"/>
            <w:shd w:fill="173C31"/>
            <w:tcMar>
              <w:top w:w="80" w:type="dxa"/>
              <w:start w:w="120" w:type="dxa"/>
              <w:bottom w:w="80" w:type="dxa"/>
              <w:end w:w="120" w:type="dxa"/>
            </w:tcMar>
          </w:tcPr>
          <w:p>
            <w:r>
              <w:rPr>
                <w:b/>
                <w:color w:val="FFFFFF"/>
                <w:sz w:val="17"/>
              </w:rPr>
              <w:t>Report</w:t>
            </w:r>
          </w:p>
        </w:tc>
        <w:tc>
          <w:tcPr>
            <w:tcW w:type="dxa" w:w="2200"/>
            <w:shd w:fill="173C31"/>
            <w:tcMar>
              <w:top w:w="80" w:type="dxa"/>
              <w:start w:w="120" w:type="dxa"/>
              <w:bottom w:w="80" w:type="dxa"/>
              <w:end w:w="120" w:type="dxa"/>
            </w:tcMar>
          </w:tcPr>
          <w:p>
            <w:r>
              <w:rPr>
                <w:b/>
                <w:color w:val="FFFFFF"/>
                <w:sz w:val="17"/>
              </w:rPr>
              <w:t>Owner</w:t>
            </w:r>
          </w:p>
        </w:tc>
        <w:tc>
          <w:tcPr>
            <w:tcW w:type="dxa" w:w="5260"/>
            <w:shd w:fill="173C31"/>
            <w:tcMar>
              <w:top w:w="80" w:type="dxa"/>
              <w:start w:w="120" w:type="dxa"/>
              <w:bottom w:w="80" w:type="dxa"/>
              <w:end w:w="120" w:type="dxa"/>
            </w:tcMar>
          </w:tcPr>
          <w:p>
            <w:r>
              <w:rPr>
                <w:b/>
                <w:color w:val="FFFFFF"/>
                <w:sz w:val="17"/>
              </w:rPr>
              <w:t>Minimum measures</w:t>
            </w:r>
          </w:p>
        </w:tc>
      </w:tr>
      <w:tr>
        <w:tc>
          <w:tcPr>
            <w:tcW w:type="dxa" w:w="1900"/>
            <w:vAlign w:val="center"/>
            <w:tcMar>
              <w:top w:w="80" w:type="dxa"/>
              <w:start w:w="120" w:type="dxa"/>
              <w:bottom w:w="80" w:type="dxa"/>
              <w:end w:w="120" w:type="dxa"/>
            </w:tcMar>
          </w:tcPr>
          <w:p>
            <w:pPr>
              <w:spacing w:after="0"/>
            </w:pPr>
            <w:r>
              <w:rPr>
                <w:rFonts w:ascii="Calibri" w:hAnsi="Calibri"/>
                <w:sz w:val="16"/>
              </w:rPr>
              <w:t>Enrolment register</w:t>
            </w:r>
          </w:p>
        </w:tc>
        <w:tc>
          <w:tcPr>
            <w:tcW w:type="dxa" w:w="2200"/>
            <w:vAlign w:val="center"/>
            <w:tcMar>
              <w:top w:w="80" w:type="dxa"/>
              <w:start w:w="120" w:type="dxa"/>
              <w:bottom w:w="80" w:type="dxa"/>
              <w:end w:w="120" w:type="dxa"/>
            </w:tcMar>
          </w:tcPr>
          <w:p>
            <w:pPr>
              <w:spacing w:after="0"/>
            </w:pPr>
            <w:r>
              <w:rPr>
                <w:rFonts w:ascii="Calibri" w:hAnsi="Calibri"/>
                <w:sz w:val="16"/>
              </w:rPr>
              <w:t>Registrar</w:t>
            </w:r>
          </w:p>
        </w:tc>
        <w:tc>
          <w:tcPr>
            <w:tcW w:type="dxa" w:w="5260"/>
            <w:vAlign w:val="center"/>
            <w:tcMar>
              <w:top w:w="80" w:type="dxa"/>
              <w:start w:w="120" w:type="dxa"/>
              <w:bottom w:w="80" w:type="dxa"/>
              <w:end w:w="120" w:type="dxa"/>
            </w:tcMar>
          </w:tcPr>
          <w:p>
            <w:pPr>
              <w:spacing w:after="0"/>
            </w:pPr>
            <w:r>
              <w:rPr>
                <w:rFonts w:ascii="Calibri" w:hAnsi="Calibri"/>
                <w:sz w:val="16"/>
              </w:rPr>
              <w:t>Campus, period, programme/class and status</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Daily attendance</w:t>
            </w:r>
          </w:p>
        </w:tc>
        <w:tc>
          <w:tcPr>
            <w:tcW w:type="dxa" w:w="2200"/>
            <w:vAlign w:val="center"/>
            <w:shd w:fill="F5F7F4"/>
            <w:tcMar>
              <w:top w:w="80" w:type="dxa"/>
              <w:start w:w="120" w:type="dxa"/>
              <w:bottom w:w="80" w:type="dxa"/>
              <w:end w:w="120" w:type="dxa"/>
            </w:tcMar>
          </w:tcPr>
          <w:p>
            <w:pPr>
              <w:spacing w:after="0"/>
            </w:pPr>
            <w:r>
              <w:rPr>
                <w:rFonts w:ascii="Calibri" w:hAnsi="Calibri"/>
                <w:sz w:val="16"/>
              </w:rPr>
              <w:t>Attendance lead</w:t>
            </w:r>
          </w:p>
        </w:tc>
        <w:tc>
          <w:tcPr>
            <w:tcW w:type="dxa" w:w="5260"/>
            <w:vAlign w:val="center"/>
            <w:shd w:fill="F5F7F4"/>
            <w:tcMar>
              <w:top w:w="80" w:type="dxa"/>
              <w:start w:w="120" w:type="dxa"/>
              <w:bottom w:w="80" w:type="dxa"/>
              <w:end w:w="120" w:type="dxa"/>
            </w:tcMar>
          </w:tcPr>
          <w:p>
            <w:pPr>
              <w:spacing w:after="0"/>
            </w:pPr>
            <w:r>
              <w:rPr>
                <w:rFonts w:ascii="Calibri" w:hAnsi="Calibri"/>
                <w:sz w:val="16"/>
              </w:rPr>
              <w:t>Session, status, late time and missing register</w:t>
            </w:r>
          </w:p>
        </w:tc>
      </w:tr>
      <w:tr>
        <w:tc>
          <w:tcPr>
            <w:tcW w:type="dxa" w:w="1900"/>
            <w:vAlign w:val="center"/>
            <w:tcMar>
              <w:top w:w="80" w:type="dxa"/>
              <w:start w:w="120" w:type="dxa"/>
              <w:bottom w:w="80" w:type="dxa"/>
              <w:end w:w="120" w:type="dxa"/>
            </w:tcMar>
          </w:tcPr>
          <w:p>
            <w:pPr>
              <w:spacing w:after="0"/>
            </w:pPr>
            <w:r>
              <w:rPr>
                <w:rFonts w:ascii="Calibri" w:hAnsi="Calibri"/>
                <w:sz w:val="16"/>
              </w:rPr>
              <w:t>Academic performance</w:t>
            </w:r>
          </w:p>
        </w:tc>
        <w:tc>
          <w:tcPr>
            <w:tcW w:type="dxa" w:w="2200"/>
            <w:vAlign w:val="center"/>
            <w:tcMar>
              <w:top w:w="80" w:type="dxa"/>
              <w:start w:w="120" w:type="dxa"/>
              <w:bottom w:w="80" w:type="dxa"/>
              <w:end w:w="120" w:type="dxa"/>
            </w:tcMar>
          </w:tcPr>
          <w:p>
            <w:pPr>
              <w:spacing w:after="0"/>
            </w:pPr>
            <w:r>
              <w:rPr>
                <w:rFonts w:ascii="Calibri" w:hAnsi="Calibri"/>
                <w:sz w:val="16"/>
              </w:rPr>
              <w:t>Academic leadership</w:t>
            </w:r>
          </w:p>
        </w:tc>
        <w:tc>
          <w:tcPr>
            <w:tcW w:type="dxa" w:w="5260"/>
            <w:vAlign w:val="center"/>
            <w:tcMar>
              <w:top w:w="80" w:type="dxa"/>
              <w:start w:w="120" w:type="dxa"/>
              <w:bottom w:w="80" w:type="dxa"/>
              <w:end w:w="120" w:type="dxa"/>
            </w:tcMar>
          </w:tcPr>
          <w:p>
            <w:pPr>
              <w:spacing w:after="0"/>
            </w:pPr>
            <w:r>
              <w:rPr>
                <w:rFonts w:ascii="Calibri" w:hAnsi="Calibri"/>
                <w:sz w:val="16"/>
              </w:rPr>
              <w:t>Course, assessment, cohort, distribution and missing states</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Report completion</w:t>
            </w:r>
          </w:p>
        </w:tc>
        <w:tc>
          <w:tcPr>
            <w:tcW w:type="dxa" w:w="2200"/>
            <w:vAlign w:val="center"/>
            <w:shd w:fill="F5F7F4"/>
            <w:tcMar>
              <w:top w:w="80" w:type="dxa"/>
              <w:start w:w="120" w:type="dxa"/>
              <w:bottom w:w="80" w:type="dxa"/>
              <w:end w:w="120" w:type="dxa"/>
            </w:tcMar>
          </w:tcPr>
          <w:p>
            <w:pPr>
              <w:spacing w:after="0"/>
            </w:pPr>
            <w:r>
              <w:rPr>
                <w:rFonts w:ascii="Calibri" w:hAnsi="Calibri"/>
                <w:sz w:val="16"/>
              </w:rPr>
              <w:t>Examinations officer</w:t>
            </w:r>
          </w:p>
        </w:tc>
        <w:tc>
          <w:tcPr>
            <w:tcW w:type="dxa" w:w="5260"/>
            <w:vAlign w:val="center"/>
            <w:shd w:fill="F5F7F4"/>
            <w:tcMar>
              <w:top w:w="80" w:type="dxa"/>
              <w:start w:w="120" w:type="dxa"/>
              <w:bottom w:w="80" w:type="dxa"/>
              <w:end w:w="120" w:type="dxa"/>
            </w:tcMar>
          </w:tcPr>
          <w:p>
            <w:pPr>
              <w:spacing w:after="0"/>
            </w:pPr>
            <w:r>
              <w:rPr>
                <w:rFonts w:ascii="Calibri" w:hAnsi="Calibri"/>
                <w:sz w:val="16"/>
              </w:rPr>
              <w:t>Submission, moderation, approval and publication</w:t>
            </w:r>
          </w:p>
        </w:tc>
      </w:tr>
      <w:tr>
        <w:tc>
          <w:tcPr>
            <w:tcW w:type="dxa" w:w="1900"/>
            <w:vAlign w:val="center"/>
            <w:tcMar>
              <w:top w:w="80" w:type="dxa"/>
              <w:start w:w="120" w:type="dxa"/>
              <w:bottom w:w="80" w:type="dxa"/>
              <w:end w:w="120" w:type="dxa"/>
            </w:tcMar>
          </w:tcPr>
          <w:p>
            <w:pPr>
              <w:spacing w:after="0"/>
            </w:pPr>
            <w:r>
              <w:rPr>
                <w:rFonts w:ascii="Calibri" w:hAnsi="Calibri"/>
                <w:sz w:val="16"/>
              </w:rPr>
              <w:t>Fee collection</w:t>
            </w:r>
          </w:p>
        </w:tc>
        <w:tc>
          <w:tcPr>
            <w:tcW w:type="dxa" w:w="2200"/>
            <w:vAlign w:val="center"/>
            <w:tcMar>
              <w:top w:w="80" w:type="dxa"/>
              <w:start w:w="120" w:type="dxa"/>
              <w:bottom w:w="80" w:type="dxa"/>
              <w:end w:w="120" w:type="dxa"/>
            </w:tcMar>
          </w:tcPr>
          <w:p>
            <w:pPr>
              <w:spacing w:after="0"/>
            </w:pPr>
            <w:r>
              <w:rPr>
                <w:rFonts w:ascii="Calibri" w:hAnsi="Calibri"/>
                <w:sz w:val="16"/>
              </w:rPr>
              <w:t>Bursar</w:t>
            </w:r>
          </w:p>
        </w:tc>
        <w:tc>
          <w:tcPr>
            <w:tcW w:type="dxa" w:w="5260"/>
            <w:vAlign w:val="center"/>
            <w:tcMar>
              <w:top w:w="80" w:type="dxa"/>
              <w:start w:w="120" w:type="dxa"/>
              <w:bottom w:w="80" w:type="dxa"/>
              <w:end w:w="120" w:type="dxa"/>
            </w:tcMar>
          </w:tcPr>
          <w:p>
            <w:pPr>
              <w:spacing w:after="0"/>
            </w:pPr>
            <w:r>
              <w:rPr>
                <w:rFonts w:ascii="Calibri" w:hAnsi="Calibri"/>
                <w:sz w:val="16"/>
              </w:rPr>
              <w:t>Charges, payments, allocations, balance, ageing and channel</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Payment reconciliation</w:t>
            </w:r>
          </w:p>
        </w:tc>
        <w:tc>
          <w:tcPr>
            <w:tcW w:type="dxa" w:w="2200"/>
            <w:vAlign w:val="center"/>
            <w:shd w:fill="F5F7F4"/>
            <w:tcMar>
              <w:top w:w="80" w:type="dxa"/>
              <w:start w:w="120" w:type="dxa"/>
              <w:bottom w:w="80" w:type="dxa"/>
              <w:end w:w="120" w:type="dxa"/>
            </w:tcMar>
          </w:tcPr>
          <w:p>
            <w:pPr>
              <w:spacing w:after="0"/>
            </w:pPr>
            <w:r>
              <w:rPr>
                <w:rFonts w:ascii="Calibri" w:hAnsi="Calibri"/>
                <w:sz w:val="16"/>
              </w:rPr>
              <w:t>Finance supervisor</w:t>
            </w:r>
          </w:p>
        </w:tc>
        <w:tc>
          <w:tcPr>
            <w:tcW w:type="dxa" w:w="5260"/>
            <w:vAlign w:val="center"/>
            <w:shd w:fill="F5F7F4"/>
            <w:tcMar>
              <w:top w:w="80" w:type="dxa"/>
              <w:start w:w="120" w:type="dxa"/>
              <w:bottom w:w="80" w:type="dxa"/>
              <w:end w:w="120" w:type="dxa"/>
            </w:tcMar>
          </w:tcPr>
          <w:p>
            <w:pPr>
              <w:spacing w:after="0"/>
            </w:pPr>
            <w:r>
              <w:rPr>
                <w:rFonts w:ascii="Calibri" w:hAnsi="Calibri"/>
                <w:sz w:val="16"/>
              </w:rPr>
              <w:t>Provider, ledger, unmatched and reversed totals</w:t>
            </w:r>
          </w:p>
        </w:tc>
      </w:tr>
      <w:tr>
        <w:tc>
          <w:tcPr>
            <w:tcW w:type="dxa" w:w="1900"/>
            <w:vAlign w:val="center"/>
            <w:tcMar>
              <w:top w:w="80" w:type="dxa"/>
              <w:start w:w="120" w:type="dxa"/>
              <w:bottom w:w="80" w:type="dxa"/>
              <w:end w:w="120" w:type="dxa"/>
            </w:tcMar>
          </w:tcPr>
          <w:p>
            <w:pPr>
              <w:spacing w:after="0"/>
            </w:pPr>
            <w:r>
              <w:rPr>
                <w:rFonts w:ascii="Calibri" w:hAnsi="Calibri"/>
                <w:sz w:val="16"/>
              </w:rPr>
              <w:t>Communication delivery</w:t>
            </w:r>
          </w:p>
        </w:tc>
        <w:tc>
          <w:tcPr>
            <w:tcW w:type="dxa" w:w="2200"/>
            <w:vAlign w:val="center"/>
            <w:tcMar>
              <w:top w:w="80" w:type="dxa"/>
              <w:start w:w="120" w:type="dxa"/>
              <w:bottom w:w="80" w:type="dxa"/>
              <w:end w:w="120" w:type="dxa"/>
            </w:tcMar>
          </w:tcPr>
          <w:p>
            <w:pPr>
              <w:spacing w:after="0"/>
            </w:pPr>
            <w:r>
              <w:rPr>
                <w:rFonts w:ascii="Calibri" w:hAnsi="Calibri"/>
                <w:sz w:val="16"/>
              </w:rPr>
              <w:t>Administrator</w:t>
            </w:r>
          </w:p>
        </w:tc>
        <w:tc>
          <w:tcPr>
            <w:tcW w:type="dxa" w:w="5260"/>
            <w:vAlign w:val="center"/>
            <w:tcMar>
              <w:top w:w="80" w:type="dxa"/>
              <w:start w:w="120" w:type="dxa"/>
              <w:bottom w:w="80" w:type="dxa"/>
              <w:end w:w="120" w:type="dxa"/>
            </w:tcMar>
          </w:tcPr>
          <w:p>
            <w:pPr>
              <w:spacing w:after="0"/>
            </w:pPr>
            <w:r>
              <w:rPr>
                <w:rFonts w:ascii="Calibri" w:hAnsi="Calibri"/>
                <w:sz w:val="16"/>
              </w:rPr>
              <w:t>Audience, channel, delivery, acknowledgement and cost</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Library circulation</w:t>
            </w:r>
          </w:p>
        </w:tc>
        <w:tc>
          <w:tcPr>
            <w:tcW w:type="dxa" w:w="2200"/>
            <w:vAlign w:val="center"/>
            <w:shd w:fill="F5F7F4"/>
            <w:tcMar>
              <w:top w:w="80" w:type="dxa"/>
              <w:start w:w="120" w:type="dxa"/>
              <w:bottom w:w="80" w:type="dxa"/>
              <w:end w:w="120" w:type="dxa"/>
            </w:tcMar>
          </w:tcPr>
          <w:p>
            <w:pPr>
              <w:spacing w:after="0"/>
            </w:pPr>
            <w:r>
              <w:rPr>
                <w:rFonts w:ascii="Calibri" w:hAnsi="Calibri"/>
                <w:sz w:val="16"/>
              </w:rPr>
              <w:t>Librarian</w:t>
            </w:r>
          </w:p>
        </w:tc>
        <w:tc>
          <w:tcPr>
            <w:tcW w:type="dxa" w:w="5260"/>
            <w:vAlign w:val="center"/>
            <w:shd w:fill="F5F7F4"/>
            <w:tcMar>
              <w:top w:w="80" w:type="dxa"/>
              <w:start w:w="120" w:type="dxa"/>
              <w:bottom w:w="80" w:type="dxa"/>
              <w:end w:w="120" w:type="dxa"/>
            </w:tcMar>
          </w:tcPr>
          <w:p>
            <w:pPr>
              <w:spacing w:after="0"/>
            </w:pPr>
            <w:r>
              <w:rPr>
                <w:rFonts w:ascii="Calibri" w:hAnsi="Calibri"/>
                <w:sz w:val="16"/>
              </w:rPr>
              <w:t>Loans, overdue, loss and category</w:t>
            </w:r>
          </w:p>
        </w:tc>
      </w:tr>
      <w:tr>
        <w:tc>
          <w:tcPr>
            <w:tcW w:type="dxa" w:w="1900"/>
            <w:vAlign w:val="center"/>
            <w:tcMar>
              <w:top w:w="80" w:type="dxa"/>
              <w:start w:w="120" w:type="dxa"/>
              <w:bottom w:w="80" w:type="dxa"/>
              <w:end w:w="120" w:type="dxa"/>
            </w:tcMar>
          </w:tcPr>
          <w:p>
            <w:pPr>
              <w:spacing w:after="0"/>
            </w:pPr>
            <w:r>
              <w:rPr>
                <w:rFonts w:ascii="Calibri" w:hAnsi="Calibri"/>
                <w:sz w:val="16"/>
              </w:rPr>
              <w:t>Transport occupancy</w:t>
            </w:r>
          </w:p>
        </w:tc>
        <w:tc>
          <w:tcPr>
            <w:tcW w:type="dxa" w:w="2200"/>
            <w:vAlign w:val="center"/>
            <w:tcMar>
              <w:top w:w="80" w:type="dxa"/>
              <w:start w:w="120" w:type="dxa"/>
              <w:bottom w:w="80" w:type="dxa"/>
              <w:end w:w="120" w:type="dxa"/>
            </w:tcMar>
          </w:tcPr>
          <w:p>
            <w:pPr>
              <w:spacing w:after="0"/>
            </w:pPr>
            <w:r>
              <w:rPr>
                <w:rFonts w:ascii="Calibri" w:hAnsi="Calibri"/>
                <w:sz w:val="16"/>
              </w:rPr>
              <w:t>Transport lead</w:t>
            </w:r>
          </w:p>
        </w:tc>
        <w:tc>
          <w:tcPr>
            <w:tcW w:type="dxa" w:w="5260"/>
            <w:vAlign w:val="center"/>
            <w:tcMar>
              <w:top w:w="80" w:type="dxa"/>
              <w:start w:w="120" w:type="dxa"/>
              <w:bottom w:w="80" w:type="dxa"/>
              <w:end w:w="120" w:type="dxa"/>
            </w:tcMar>
          </w:tcPr>
          <w:p>
            <w:pPr>
              <w:spacing w:after="0"/>
            </w:pPr>
            <w:r>
              <w:rPr>
                <w:rFonts w:ascii="Calibri" w:hAnsi="Calibri"/>
                <w:sz w:val="16"/>
              </w:rPr>
              <w:t>Route, capacity, assigned and exceptions</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Access review</w:t>
            </w:r>
          </w:p>
        </w:tc>
        <w:tc>
          <w:tcPr>
            <w:tcW w:type="dxa" w:w="2200"/>
            <w:vAlign w:val="center"/>
            <w:shd w:fill="F5F7F4"/>
            <w:tcMar>
              <w:top w:w="80" w:type="dxa"/>
              <w:start w:w="120" w:type="dxa"/>
              <w:bottom w:w="80" w:type="dxa"/>
              <w:end w:w="120" w:type="dxa"/>
            </w:tcMar>
          </w:tcPr>
          <w:p>
            <w:pPr>
              <w:spacing w:after="0"/>
            </w:pPr>
            <w:r>
              <w:rPr>
                <w:rFonts w:ascii="Calibri" w:hAnsi="Calibri"/>
                <w:sz w:val="16"/>
              </w:rPr>
              <w:t>Principal/security</w:t>
            </w:r>
          </w:p>
        </w:tc>
        <w:tc>
          <w:tcPr>
            <w:tcW w:type="dxa" w:w="5260"/>
            <w:vAlign w:val="center"/>
            <w:shd w:fill="F5F7F4"/>
            <w:tcMar>
              <w:top w:w="80" w:type="dxa"/>
              <w:start w:w="120" w:type="dxa"/>
              <w:bottom w:w="80" w:type="dxa"/>
              <w:end w:w="120" w:type="dxa"/>
            </w:tcMar>
          </w:tcPr>
          <w:p>
            <w:pPr>
              <w:spacing w:after="0"/>
            </w:pPr>
            <w:r>
              <w:rPr>
                <w:rFonts w:ascii="Calibri" w:hAnsi="Calibri"/>
                <w:sz w:val="16"/>
              </w:rPr>
              <w:t>Privileged, temporary and dormant users</w:t>
            </w:r>
          </w:p>
        </w:tc>
      </w:tr>
    </w:tbl>
    <w:p/>
    <w:p>
      <w:pPr>
        <w:pStyle w:val="Heading2"/>
      </w:pPr>
      <w:r>
        <w:t>37.1 Metric governance</w:t>
      </w:r>
    </w:p>
    <w:p>
      <w:pPr>
        <w:pStyle w:val="ListBullet"/>
      </w:pPr>
      <w:r>
        <w:t>Every KPI has definition, owner, source, refresh time and exclusions.</w:t>
      </w:r>
    </w:p>
    <w:p>
      <w:pPr>
        <w:pStyle w:val="ListBullet"/>
      </w:pPr>
      <w:r>
        <w:t>Dashboards show “as of” time and filters.</w:t>
      </w:r>
    </w:p>
    <w:p>
      <w:pPr>
        <w:pStyle w:val="ListBullet"/>
      </w:pPr>
      <w:r>
        <w:t>Published academic and financial totals are reproducible.</w:t>
      </w:r>
    </w:p>
    <w:p>
      <w:pPr>
        <w:pStyle w:val="ListBullet"/>
      </w:pPr>
      <w:r>
        <w:t>Definition changes create a version and release note.</w:t>
      </w:r>
    </w:p>
    <w:p>
      <w:pPr>
        <w:pStyle w:val="ListBullet"/>
      </w:pPr>
      <w:r>
        <w:t>Exports inherit permissions and show tenant, period and generation time.</w:t>
      </w:r>
    </w:p>
    <w:p>
      <w:pPr>
        <w:pStyle w:val="Heading1"/>
      </w:pPr>
      <w:r>
        <w:t>38. Audit, monitoring and incident management</w:t>
      </w:r>
    </w:p>
    <w:p>
      <w:pPr>
        <w:pStyle w:val="Heading2"/>
      </w:pPr>
      <w:r>
        <w:t>38.1 Audit requirements</w:t>
      </w:r>
    </w:p>
    <w:p>
      <w:pPr>
        <w:pStyle w:val="ListBullet"/>
      </w:pPr>
      <w:r>
        <w:t>Record actor/effective role, tenant, action, target, outcome, time, session, source and reason.</w:t>
      </w:r>
    </w:p>
    <w:p>
      <w:pPr>
        <w:pStyle w:val="ListBullet"/>
      </w:pPr>
      <w:r>
        <w:t>Capture login, role change, sensitive read/export, support elevation, publication, finance adjustment, correction, import and deletion.</w:t>
      </w:r>
    </w:p>
    <w:p>
      <w:pPr>
        <w:pStyle w:val="ListBullet"/>
      </w:pPr>
      <w:r>
        <w:t>Logs are searchable by authorised roles but not editable.</w:t>
      </w:r>
    </w:p>
    <w:p>
      <w:pPr>
        <w:pStyle w:val="ListBullet"/>
      </w:pPr>
      <w:r>
        <w:t>Support access records ticket, approval and start/end time.</w:t>
      </w:r>
    </w:p>
    <w:p>
      <w:pPr>
        <w:pStyle w:val="Heading2"/>
      </w:pPr>
      <w:r>
        <w:t>38.2 Incident severity</w:t>
      </w:r>
    </w:p>
    <w:tbl>
      <w:tblPr>
        <w:tblStyle w:val="TableGrid"/>
        <w:tblW w:type="dxa" w:w="9360"/>
        <w:jc w:val="left"/>
        <w:tblLayout w:type="fixed"/>
        <w:tblLook w:firstColumn="1" w:firstRow="1" w:lastColumn="0" w:lastRow="0" w:noHBand="0" w:noVBand="1" w:val="04A0"/>
        <w:tblInd w:w="120" w:type="dxa"/>
      </w:tblPr>
      <w:tblGrid>
        <w:gridCol w:w="1300"/>
        <w:gridCol w:w="3400"/>
        <w:gridCol w:w="1800"/>
        <w:gridCol w:w="2860"/>
      </w:tblGrid>
      <w:tr>
        <w:tc>
          <w:tcPr>
            <w:tcW w:type="dxa" w:w="1300"/>
            <w:shd w:fill="173C31"/>
            <w:tcMar>
              <w:top w:w="80" w:type="dxa"/>
              <w:start w:w="120" w:type="dxa"/>
              <w:bottom w:w="80" w:type="dxa"/>
              <w:end w:w="120" w:type="dxa"/>
            </w:tcMar>
          </w:tcPr>
          <w:p>
            <w:r>
              <w:rPr>
                <w:b/>
                <w:color w:val="FFFFFF"/>
                <w:sz w:val="17"/>
              </w:rPr>
              <w:t>Severity</w:t>
            </w:r>
          </w:p>
        </w:tc>
        <w:tc>
          <w:tcPr>
            <w:tcW w:type="dxa" w:w="3400"/>
            <w:shd w:fill="173C31"/>
            <w:tcMar>
              <w:top w:w="80" w:type="dxa"/>
              <w:start w:w="120" w:type="dxa"/>
              <w:bottom w:w="80" w:type="dxa"/>
              <w:end w:w="120" w:type="dxa"/>
            </w:tcMar>
          </w:tcPr>
          <w:p>
            <w:r>
              <w:rPr>
                <w:b/>
                <w:color w:val="FFFFFF"/>
                <w:sz w:val="17"/>
              </w:rPr>
              <w:t>Example</w:t>
            </w:r>
          </w:p>
        </w:tc>
        <w:tc>
          <w:tcPr>
            <w:tcW w:type="dxa" w:w="1800"/>
            <w:shd w:fill="173C31"/>
            <w:tcMar>
              <w:top w:w="80" w:type="dxa"/>
              <w:start w:w="120" w:type="dxa"/>
              <w:bottom w:w="80" w:type="dxa"/>
              <w:end w:w="120" w:type="dxa"/>
            </w:tcMar>
          </w:tcPr>
          <w:p>
            <w:r>
              <w:rPr>
                <w:b/>
                <w:color w:val="FFFFFF"/>
                <w:sz w:val="17"/>
              </w:rPr>
              <w:t>Response</w:t>
            </w:r>
          </w:p>
        </w:tc>
        <w:tc>
          <w:tcPr>
            <w:tcW w:type="dxa" w:w="2860"/>
            <w:shd w:fill="173C31"/>
            <w:tcMar>
              <w:top w:w="80" w:type="dxa"/>
              <w:start w:w="120" w:type="dxa"/>
              <w:bottom w:w="80" w:type="dxa"/>
              <w:end w:w="120" w:type="dxa"/>
            </w:tcMar>
          </w:tcPr>
          <w:p>
            <w:r>
              <w:rPr>
                <w:b/>
                <w:color w:val="FFFFFF"/>
                <w:sz w:val="17"/>
              </w:rPr>
              <w:t>Communication</w:t>
            </w:r>
          </w:p>
        </w:tc>
      </w:tr>
      <w:tr>
        <w:tc>
          <w:tcPr>
            <w:tcW w:type="dxa" w:w="1300"/>
            <w:vAlign w:val="center"/>
            <w:tcMar>
              <w:top w:w="80" w:type="dxa"/>
              <w:start w:w="120" w:type="dxa"/>
              <w:bottom w:w="80" w:type="dxa"/>
              <w:end w:w="120" w:type="dxa"/>
            </w:tcMar>
          </w:tcPr>
          <w:p>
            <w:pPr>
              <w:spacing w:after="0"/>
            </w:pPr>
            <w:r>
              <w:rPr>
                <w:rFonts w:ascii="Calibri" w:hAnsi="Calibri"/>
                <w:sz w:val="16"/>
              </w:rPr>
              <w:t>P1 Critical</w:t>
            </w:r>
          </w:p>
        </w:tc>
        <w:tc>
          <w:tcPr>
            <w:tcW w:type="dxa" w:w="3400"/>
            <w:vAlign w:val="center"/>
            <w:tcMar>
              <w:top w:w="80" w:type="dxa"/>
              <w:start w:w="120" w:type="dxa"/>
              <w:bottom w:w="80" w:type="dxa"/>
              <w:end w:w="120" w:type="dxa"/>
            </w:tcMar>
          </w:tcPr>
          <w:p>
            <w:pPr>
              <w:spacing w:after="0"/>
            </w:pPr>
            <w:r>
              <w:rPr>
                <w:rFonts w:ascii="Calibri" w:hAnsi="Calibri"/>
                <w:sz w:val="16"/>
              </w:rPr>
              <w:t>Cross-tenant exposure, compromise, widespread outage or payment risk</w:t>
            </w:r>
          </w:p>
        </w:tc>
        <w:tc>
          <w:tcPr>
            <w:tcW w:type="dxa" w:w="1800"/>
            <w:vAlign w:val="center"/>
            <w:tcMar>
              <w:top w:w="80" w:type="dxa"/>
              <w:start w:w="120" w:type="dxa"/>
              <w:bottom w:w="80" w:type="dxa"/>
              <w:end w:w="120" w:type="dxa"/>
            </w:tcMar>
          </w:tcPr>
          <w:p>
            <w:pPr>
              <w:spacing w:after="0"/>
            </w:pPr>
            <w:r>
              <w:rPr>
                <w:rFonts w:ascii="Calibri" w:hAnsi="Calibri"/>
                <w:sz w:val="16"/>
              </w:rPr>
              <w:t>Immediate on-call</w:t>
            </w:r>
          </w:p>
        </w:tc>
        <w:tc>
          <w:tcPr>
            <w:tcW w:type="dxa" w:w="2860"/>
            <w:vAlign w:val="center"/>
            <w:tcMar>
              <w:top w:w="80" w:type="dxa"/>
              <w:start w:w="120" w:type="dxa"/>
              <w:bottom w:w="80" w:type="dxa"/>
              <w:end w:w="120" w:type="dxa"/>
            </w:tcMar>
          </w:tcPr>
          <w:p>
            <w:pPr>
              <w:spacing w:after="0"/>
            </w:pPr>
            <w:r>
              <w:rPr>
                <w:rFonts w:ascii="Calibri" w:hAnsi="Calibri"/>
                <w:sz w:val="16"/>
              </w:rPr>
              <w:t>Leadership and affected tenants</w:t>
            </w:r>
          </w:p>
        </w:tc>
      </w:tr>
      <w:tr>
        <w:tc>
          <w:tcPr>
            <w:tcW w:type="dxa" w:w="1300"/>
            <w:vAlign w:val="center"/>
            <w:shd w:fill="F5F7F4"/>
            <w:tcMar>
              <w:top w:w="80" w:type="dxa"/>
              <w:start w:w="120" w:type="dxa"/>
              <w:bottom w:w="80" w:type="dxa"/>
              <w:end w:w="120" w:type="dxa"/>
            </w:tcMar>
          </w:tcPr>
          <w:p>
            <w:pPr>
              <w:spacing w:after="0"/>
            </w:pPr>
            <w:r>
              <w:rPr>
                <w:rFonts w:ascii="Calibri" w:hAnsi="Calibri"/>
                <w:sz w:val="16"/>
              </w:rPr>
              <w:t>P2 High</w:t>
            </w:r>
          </w:p>
        </w:tc>
        <w:tc>
          <w:tcPr>
            <w:tcW w:type="dxa" w:w="3400"/>
            <w:vAlign w:val="center"/>
            <w:shd w:fill="F5F7F4"/>
            <w:tcMar>
              <w:top w:w="80" w:type="dxa"/>
              <w:start w:w="120" w:type="dxa"/>
              <w:bottom w:w="80" w:type="dxa"/>
              <w:end w:w="120" w:type="dxa"/>
            </w:tcMar>
          </w:tcPr>
          <w:p>
            <w:pPr>
              <w:spacing w:after="0"/>
            </w:pPr>
            <w:r>
              <w:rPr>
                <w:rFonts w:ascii="Calibri" w:hAnsi="Calibri"/>
                <w:sz w:val="16"/>
              </w:rPr>
              <w:t>Major module unavailable for many users</w:t>
            </w:r>
          </w:p>
        </w:tc>
        <w:tc>
          <w:tcPr>
            <w:tcW w:type="dxa" w:w="1800"/>
            <w:vAlign w:val="center"/>
            <w:shd w:fill="F5F7F4"/>
            <w:tcMar>
              <w:top w:w="80" w:type="dxa"/>
              <w:start w:w="120" w:type="dxa"/>
              <w:bottom w:w="80" w:type="dxa"/>
              <w:end w:w="120" w:type="dxa"/>
            </w:tcMar>
          </w:tcPr>
          <w:p>
            <w:pPr>
              <w:spacing w:after="0"/>
            </w:pPr>
            <w:r>
              <w:rPr>
                <w:rFonts w:ascii="Calibri" w:hAnsi="Calibri"/>
                <w:sz w:val="16"/>
              </w:rPr>
              <w:t>Urgent SLA</w:t>
            </w:r>
          </w:p>
        </w:tc>
        <w:tc>
          <w:tcPr>
            <w:tcW w:type="dxa" w:w="2860"/>
            <w:vAlign w:val="center"/>
            <w:shd w:fill="F5F7F4"/>
            <w:tcMar>
              <w:top w:w="80" w:type="dxa"/>
              <w:start w:w="120" w:type="dxa"/>
              <w:bottom w:w="80" w:type="dxa"/>
              <w:end w:w="120" w:type="dxa"/>
            </w:tcMar>
          </w:tcPr>
          <w:p>
            <w:pPr>
              <w:spacing w:after="0"/>
            </w:pPr>
            <w:r>
              <w:rPr>
                <w:rFonts w:ascii="Calibri" w:hAnsi="Calibri"/>
                <w:sz w:val="16"/>
              </w:rPr>
              <w:t>Affected administrators</w:t>
            </w:r>
          </w:p>
        </w:tc>
      </w:tr>
      <w:tr>
        <w:tc>
          <w:tcPr>
            <w:tcW w:type="dxa" w:w="1300"/>
            <w:vAlign w:val="center"/>
            <w:tcMar>
              <w:top w:w="80" w:type="dxa"/>
              <w:start w:w="120" w:type="dxa"/>
              <w:bottom w:w="80" w:type="dxa"/>
              <w:end w:w="120" w:type="dxa"/>
            </w:tcMar>
          </w:tcPr>
          <w:p>
            <w:pPr>
              <w:spacing w:after="0"/>
            </w:pPr>
            <w:r>
              <w:rPr>
                <w:rFonts w:ascii="Calibri" w:hAnsi="Calibri"/>
                <w:sz w:val="16"/>
              </w:rPr>
              <w:t>P3 Medium</w:t>
            </w:r>
          </w:p>
        </w:tc>
        <w:tc>
          <w:tcPr>
            <w:tcW w:type="dxa" w:w="3400"/>
            <w:vAlign w:val="center"/>
            <w:tcMar>
              <w:top w:w="80" w:type="dxa"/>
              <w:start w:w="120" w:type="dxa"/>
              <w:bottom w:w="80" w:type="dxa"/>
              <w:end w:w="120" w:type="dxa"/>
            </w:tcMar>
          </w:tcPr>
          <w:p>
            <w:pPr>
              <w:spacing w:after="0"/>
            </w:pPr>
            <w:r>
              <w:rPr>
                <w:rFonts w:ascii="Calibri" w:hAnsi="Calibri"/>
                <w:sz w:val="16"/>
              </w:rPr>
              <w:t>Limited defect with workaround</w:t>
            </w:r>
          </w:p>
        </w:tc>
        <w:tc>
          <w:tcPr>
            <w:tcW w:type="dxa" w:w="1800"/>
            <w:vAlign w:val="center"/>
            <w:tcMar>
              <w:top w:w="80" w:type="dxa"/>
              <w:start w:w="120" w:type="dxa"/>
              <w:bottom w:w="80" w:type="dxa"/>
              <w:end w:w="120" w:type="dxa"/>
            </w:tcMar>
          </w:tcPr>
          <w:p>
            <w:pPr>
              <w:spacing w:after="0"/>
            </w:pPr>
            <w:r>
              <w:rPr>
                <w:rFonts w:ascii="Calibri" w:hAnsi="Calibri"/>
                <w:sz w:val="16"/>
              </w:rPr>
              <w:t>Business-hours triage</w:t>
            </w:r>
          </w:p>
        </w:tc>
        <w:tc>
          <w:tcPr>
            <w:tcW w:type="dxa" w:w="2860"/>
            <w:vAlign w:val="center"/>
            <w:tcMar>
              <w:top w:w="80" w:type="dxa"/>
              <w:start w:w="120" w:type="dxa"/>
              <w:bottom w:w="80" w:type="dxa"/>
              <w:end w:w="120" w:type="dxa"/>
            </w:tcMar>
          </w:tcPr>
          <w:p>
            <w:pPr>
              <w:spacing w:after="0"/>
            </w:pPr>
            <w:r>
              <w:rPr>
                <w:rFonts w:ascii="Calibri" w:hAnsi="Calibri"/>
                <w:sz w:val="16"/>
              </w:rPr>
              <w:t>Ticket and release plan</w:t>
            </w:r>
          </w:p>
        </w:tc>
      </w:tr>
      <w:tr>
        <w:tc>
          <w:tcPr>
            <w:tcW w:type="dxa" w:w="1300"/>
            <w:vAlign w:val="center"/>
            <w:shd w:fill="F5F7F4"/>
            <w:tcMar>
              <w:top w:w="80" w:type="dxa"/>
              <w:start w:w="120" w:type="dxa"/>
              <w:bottom w:w="80" w:type="dxa"/>
              <w:end w:w="120" w:type="dxa"/>
            </w:tcMar>
          </w:tcPr>
          <w:p>
            <w:pPr>
              <w:spacing w:after="0"/>
            </w:pPr>
            <w:r>
              <w:rPr>
                <w:rFonts w:ascii="Calibri" w:hAnsi="Calibri"/>
                <w:sz w:val="16"/>
              </w:rPr>
              <w:t>P4 Low</w:t>
            </w:r>
          </w:p>
        </w:tc>
        <w:tc>
          <w:tcPr>
            <w:tcW w:type="dxa" w:w="3400"/>
            <w:vAlign w:val="center"/>
            <w:shd w:fill="F5F7F4"/>
            <w:tcMar>
              <w:top w:w="80" w:type="dxa"/>
              <w:start w:w="120" w:type="dxa"/>
              <w:bottom w:w="80" w:type="dxa"/>
              <w:end w:w="120" w:type="dxa"/>
            </w:tcMar>
          </w:tcPr>
          <w:p>
            <w:pPr>
              <w:spacing w:after="0"/>
            </w:pPr>
            <w:r>
              <w:rPr>
                <w:rFonts w:ascii="Calibri" w:hAnsi="Calibri"/>
                <w:sz w:val="16"/>
              </w:rPr>
              <w:t>Question, minor defect or enhancement</w:t>
            </w:r>
          </w:p>
        </w:tc>
        <w:tc>
          <w:tcPr>
            <w:tcW w:type="dxa" w:w="1800"/>
            <w:vAlign w:val="center"/>
            <w:shd w:fill="F5F7F4"/>
            <w:tcMar>
              <w:top w:w="80" w:type="dxa"/>
              <w:start w:w="120" w:type="dxa"/>
              <w:bottom w:w="80" w:type="dxa"/>
              <w:end w:w="120" w:type="dxa"/>
            </w:tcMar>
          </w:tcPr>
          <w:p>
            <w:pPr>
              <w:spacing w:after="0"/>
            </w:pPr>
            <w:r>
              <w:rPr>
                <w:rFonts w:ascii="Calibri" w:hAnsi="Calibri"/>
                <w:sz w:val="16"/>
              </w:rPr>
              <w:t>Normal queue</w:t>
            </w:r>
          </w:p>
        </w:tc>
        <w:tc>
          <w:tcPr>
            <w:tcW w:type="dxa" w:w="2860"/>
            <w:vAlign w:val="center"/>
            <w:shd w:fill="F5F7F4"/>
            <w:tcMar>
              <w:top w:w="80" w:type="dxa"/>
              <w:start w:w="120" w:type="dxa"/>
              <w:bottom w:w="80" w:type="dxa"/>
              <w:end w:w="120" w:type="dxa"/>
            </w:tcMar>
          </w:tcPr>
          <w:p>
            <w:pPr>
              <w:spacing w:after="0"/>
            </w:pPr>
            <w:r>
              <w:rPr>
                <w:rFonts w:ascii="Calibri" w:hAnsi="Calibri"/>
                <w:sz w:val="16"/>
              </w:rPr>
              <w:t>Ticket response</w:t>
            </w:r>
          </w:p>
        </w:tc>
      </w:tr>
    </w:tbl>
    <w:p/>
    <w:p>
      <w:pPr>
        <w:pStyle w:val="Heading2"/>
      </w:pPr>
      <w:r>
        <w:t>38.3 Incident lifecycle</w:t>
      </w:r>
    </w:p>
    <w:p>
      <w:pPr>
        <w:pStyle w:val="ListNumber"/>
        <w:numPr>
          <w:ilvl w:val="0"/>
          <w:numId w:val="27"/>
        </w:numPr>
      </w:pPr>
      <w:r>
        <w:t>Detect and preserve evidence.</w:t>
      </w:r>
    </w:p>
    <w:p>
      <w:pPr>
        <w:pStyle w:val="ListNumber"/>
        <w:numPr>
          <w:ilvl w:val="0"/>
          <w:numId w:val="27"/>
        </w:numPr>
      </w:pPr>
      <w:r>
        <w:t>Triage affected tenants, data and risk.</w:t>
      </w:r>
    </w:p>
    <w:p>
      <w:pPr>
        <w:pStyle w:val="ListNumber"/>
        <w:numPr>
          <w:ilvl w:val="0"/>
          <w:numId w:val="27"/>
        </w:numPr>
      </w:pPr>
      <w:r>
        <w:t>Contain and revoke compromised access.</w:t>
      </w:r>
    </w:p>
    <w:p>
      <w:pPr>
        <w:pStyle w:val="ListNumber"/>
        <w:numPr>
          <w:ilvl w:val="0"/>
          <w:numId w:val="27"/>
        </w:numPr>
      </w:pPr>
      <w:r>
        <w:t>Communicate verified facts.</w:t>
      </w:r>
    </w:p>
    <w:p>
      <w:pPr>
        <w:pStyle w:val="ListNumber"/>
        <w:numPr>
          <w:ilvl w:val="0"/>
          <w:numId w:val="27"/>
        </w:numPr>
      </w:pPr>
      <w:r>
        <w:t>Recover and reconcile jobs/transactions.</w:t>
      </w:r>
    </w:p>
    <w:p>
      <w:pPr>
        <w:pStyle w:val="ListNumber"/>
        <w:numPr>
          <w:ilvl w:val="0"/>
          <w:numId w:val="27"/>
        </w:numPr>
      </w:pPr>
      <w:r>
        <w:t>Complete root-cause analysis.</w:t>
      </w:r>
    </w:p>
    <w:p>
      <w:pPr>
        <w:pStyle w:val="ListNumber"/>
        <w:numPr>
          <w:ilvl w:val="0"/>
          <w:numId w:val="27"/>
        </w:numPr>
      </w:pPr>
      <w:r>
        <w:t>Update controls, tests and runbooks.</w:t>
      </w:r>
    </w:p>
    <w:p>
      <w:pPr>
        <w:pStyle w:val="Heading1"/>
      </w:pPr>
      <w:r>
        <w:t>39. Data retention, archival and deletion</w:t>
      </w:r>
    </w:p>
    <w:p>
      <w:r>
        <w:t>Final retention periods require qualified Ugandan legal and records review. The platform must therefore support configurable policies rather than hard-coded deletion.</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173C31"/>
            <w:tcMar>
              <w:top w:w="80" w:type="dxa"/>
              <w:start w:w="120" w:type="dxa"/>
              <w:bottom w:w="80" w:type="dxa"/>
              <w:end w:w="120" w:type="dxa"/>
            </w:tcMar>
          </w:tcPr>
          <w:p>
            <w:r>
              <w:rPr>
                <w:b/>
                <w:color w:val="FFFFFF"/>
                <w:sz w:val="17"/>
              </w:rPr>
              <w:t>Record class</w:t>
            </w:r>
          </w:p>
        </w:tc>
        <w:tc>
          <w:tcPr>
            <w:tcW w:type="dxa" w:w="6960"/>
            <w:shd w:fill="173C31"/>
            <w:tcMar>
              <w:top w:w="80" w:type="dxa"/>
              <w:start w:w="120" w:type="dxa"/>
              <w:bottom w:w="80" w:type="dxa"/>
              <w:end w:w="120" w:type="dxa"/>
            </w:tcMar>
          </w:tcPr>
          <w:p>
            <w:r>
              <w:rPr>
                <w:b/>
                <w:color w:val="FFFFFF"/>
                <w:sz w:val="17"/>
              </w:rPr>
              <w:t>Required lifecycle behaviour</w:t>
            </w:r>
          </w:p>
        </w:tc>
      </w:tr>
      <w:tr>
        <w:tc>
          <w:tcPr>
            <w:tcW w:type="dxa" w:w="2400"/>
            <w:vAlign w:val="center"/>
            <w:tcMar>
              <w:top w:w="80" w:type="dxa"/>
              <w:start w:w="120" w:type="dxa"/>
              <w:bottom w:w="80" w:type="dxa"/>
              <w:end w:w="120" w:type="dxa"/>
            </w:tcMar>
          </w:tcPr>
          <w:p>
            <w:pPr>
              <w:spacing w:after="0"/>
            </w:pPr>
            <w:r>
              <w:rPr>
                <w:rFonts w:ascii="Calibri" w:hAnsi="Calibri"/>
                <w:sz w:val="16"/>
              </w:rPr>
              <w:t>Identity/enrolment</w:t>
            </w:r>
          </w:p>
        </w:tc>
        <w:tc>
          <w:tcPr>
            <w:tcW w:type="dxa" w:w="6960"/>
            <w:vAlign w:val="center"/>
            <w:tcMar>
              <w:top w:w="80" w:type="dxa"/>
              <w:start w:w="120" w:type="dxa"/>
              <w:bottom w:w="80" w:type="dxa"/>
              <w:end w:w="120" w:type="dxa"/>
            </w:tcMar>
          </w:tcPr>
          <w:p>
            <w:pPr>
              <w:spacing w:after="0"/>
            </w:pPr>
            <w:r>
              <w:rPr>
                <w:rFonts w:ascii="Calibri" w:hAnsi="Calibri"/>
                <w:sz w:val="16"/>
              </w:rPr>
              <w:t>Archive after departure; retain under institutional/legal duty</w:t>
            </w:r>
          </w:p>
        </w:tc>
      </w:tr>
      <w:tr>
        <w:tc>
          <w:tcPr>
            <w:tcW w:type="dxa" w:w="2400"/>
            <w:vAlign w:val="center"/>
            <w:shd w:fill="F5F7F4"/>
            <w:tcMar>
              <w:top w:w="80" w:type="dxa"/>
              <w:start w:w="120" w:type="dxa"/>
              <w:bottom w:w="80" w:type="dxa"/>
              <w:end w:w="120" w:type="dxa"/>
            </w:tcMar>
          </w:tcPr>
          <w:p>
            <w:pPr>
              <w:spacing w:after="0"/>
            </w:pPr>
            <w:r>
              <w:rPr>
                <w:rFonts w:ascii="Calibri" w:hAnsi="Calibri"/>
                <w:sz w:val="16"/>
              </w:rPr>
              <w:t>Academic results</w:t>
            </w:r>
          </w:p>
        </w:tc>
        <w:tc>
          <w:tcPr>
            <w:tcW w:type="dxa" w:w="6960"/>
            <w:vAlign w:val="center"/>
            <w:shd w:fill="F5F7F4"/>
            <w:tcMar>
              <w:top w:w="80" w:type="dxa"/>
              <w:start w:w="120" w:type="dxa"/>
              <w:bottom w:w="80" w:type="dxa"/>
              <w:end w:w="120" w:type="dxa"/>
            </w:tcMar>
          </w:tcPr>
          <w:p>
            <w:pPr>
              <w:spacing w:after="0"/>
            </w:pPr>
            <w:r>
              <w:rPr>
                <w:rFonts w:ascii="Calibri" w:hAnsi="Calibri"/>
                <w:sz w:val="16"/>
              </w:rPr>
              <w:t>Versioned, reproducible and protected from ordinary deletion</w:t>
            </w:r>
          </w:p>
        </w:tc>
      </w:tr>
      <w:tr>
        <w:tc>
          <w:tcPr>
            <w:tcW w:type="dxa" w:w="2400"/>
            <w:vAlign w:val="center"/>
            <w:tcMar>
              <w:top w:w="80" w:type="dxa"/>
              <w:start w:w="120" w:type="dxa"/>
              <w:bottom w:w="80" w:type="dxa"/>
              <w:end w:w="120" w:type="dxa"/>
            </w:tcMar>
          </w:tcPr>
          <w:p>
            <w:pPr>
              <w:spacing w:after="0"/>
            </w:pPr>
            <w:r>
              <w:rPr>
                <w:rFonts w:ascii="Calibri" w:hAnsi="Calibri"/>
                <w:sz w:val="16"/>
              </w:rPr>
              <w:t>Attendance</w:t>
            </w:r>
          </w:p>
        </w:tc>
        <w:tc>
          <w:tcPr>
            <w:tcW w:type="dxa" w:w="6960"/>
            <w:vAlign w:val="center"/>
            <w:tcMar>
              <w:top w:w="80" w:type="dxa"/>
              <w:start w:w="120" w:type="dxa"/>
              <w:bottom w:w="80" w:type="dxa"/>
              <w:end w:w="120" w:type="dxa"/>
            </w:tcMar>
          </w:tcPr>
          <w:p>
            <w:pPr>
              <w:spacing w:after="0"/>
            </w:pPr>
            <w:r>
              <w:rPr>
                <w:rFonts w:ascii="Calibri" w:hAnsi="Calibri"/>
                <w:sz w:val="16"/>
              </w:rPr>
              <w:t>Retain under operational, safeguarding and school policy</w:t>
            </w:r>
          </w:p>
        </w:tc>
      </w:tr>
      <w:tr>
        <w:tc>
          <w:tcPr>
            <w:tcW w:type="dxa" w:w="2400"/>
            <w:vAlign w:val="center"/>
            <w:shd w:fill="F5F7F4"/>
            <w:tcMar>
              <w:top w:w="80" w:type="dxa"/>
              <w:start w:w="120" w:type="dxa"/>
              <w:bottom w:w="80" w:type="dxa"/>
              <w:end w:w="120" w:type="dxa"/>
            </w:tcMar>
          </w:tcPr>
          <w:p>
            <w:pPr>
              <w:spacing w:after="0"/>
            </w:pPr>
            <w:r>
              <w:rPr>
                <w:rFonts w:ascii="Calibri" w:hAnsi="Calibri"/>
                <w:sz w:val="16"/>
              </w:rPr>
              <w:t>Finance/receipts</w:t>
            </w:r>
          </w:p>
        </w:tc>
        <w:tc>
          <w:tcPr>
            <w:tcW w:type="dxa" w:w="6960"/>
            <w:vAlign w:val="center"/>
            <w:shd w:fill="F5F7F4"/>
            <w:tcMar>
              <w:top w:w="80" w:type="dxa"/>
              <w:start w:w="120" w:type="dxa"/>
              <w:bottom w:w="80" w:type="dxa"/>
              <w:end w:w="120" w:type="dxa"/>
            </w:tcMar>
          </w:tcPr>
          <w:p>
            <w:pPr>
              <w:spacing w:after="0"/>
            </w:pPr>
            <w:r>
              <w:rPr>
                <w:rFonts w:ascii="Calibri" w:hAnsi="Calibri"/>
                <w:sz w:val="16"/>
              </w:rPr>
              <w:t>Retain under accounting, tax, audit and dispute duties</w:t>
            </w:r>
          </w:p>
        </w:tc>
      </w:tr>
      <w:tr>
        <w:tc>
          <w:tcPr>
            <w:tcW w:type="dxa" w:w="2400"/>
            <w:vAlign w:val="center"/>
            <w:tcMar>
              <w:top w:w="80" w:type="dxa"/>
              <w:start w:w="120" w:type="dxa"/>
              <w:bottom w:w="80" w:type="dxa"/>
              <w:end w:w="120" w:type="dxa"/>
            </w:tcMar>
          </w:tcPr>
          <w:p>
            <w:pPr>
              <w:spacing w:after="0"/>
            </w:pPr>
            <w:r>
              <w:rPr>
                <w:rFonts w:ascii="Calibri" w:hAnsi="Calibri"/>
                <w:sz w:val="16"/>
              </w:rPr>
              <w:t>Messages/notices</w:t>
            </w:r>
          </w:p>
        </w:tc>
        <w:tc>
          <w:tcPr>
            <w:tcW w:type="dxa" w:w="6960"/>
            <w:vAlign w:val="center"/>
            <w:tcMar>
              <w:top w:w="80" w:type="dxa"/>
              <w:start w:w="120" w:type="dxa"/>
              <w:bottom w:w="80" w:type="dxa"/>
              <w:end w:w="120" w:type="dxa"/>
            </w:tcMar>
          </w:tcPr>
          <w:p>
            <w:pPr>
              <w:spacing w:after="0"/>
            </w:pPr>
            <w:r>
              <w:rPr>
                <w:rFonts w:ascii="Calibri" w:hAnsi="Calibri"/>
                <w:sz w:val="16"/>
              </w:rPr>
              <w:t>Retain by category, safeguarding and institution policy</w:t>
            </w:r>
          </w:p>
        </w:tc>
      </w:tr>
      <w:tr>
        <w:tc>
          <w:tcPr>
            <w:tcW w:type="dxa" w:w="2400"/>
            <w:vAlign w:val="center"/>
            <w:shd w:fill="F5F7F4"/>
            <w:tcMar>
              <w:top w:w="80" w:type="dxa"/>
              <w:start w:w="120" w:type="dxa"/>
              <w:bottom w:w="80" w:type="dxa"/>
              <w:end w:w="120" w:type="dxa"/>
            </w:tcMar>
          </w:tcPr>
          <w:p>
            <w:pPr>
              <w:spacing w:after="0"/>
            </w:pPr>
            <w:r>
              <w:rPr>
                <w:rFonts w:ascii="Calibri" w:hAnsi="Calibri"/>
                <w:sz w:val="16"/>
              </w:rPr>
              <w:t>Assignments</w:t>
            </w:r>
          </w:p>
        </w:tc>
        <w:tc>
          <w:tcPr>
            <w:tcW w:type="dxa" w:w="6960"/>
            <w:vAlign w:val="center"/>
            <w:shd w:fill="F5F7F4"/>
            <w:tcMar>
              <w:top w:w="80" w:type="dxa"/>
              <w:start w:w="120" w:type="dxa"/>
              <w:bottom w:w="80" w:type="dxa"/>
              <w:end w:w="120" w:type="dxa"/>
            </w:tcMar>
          </w:tcPr>
          <w:p>
            <w:pPr>
              <w:spacing w:after="0"/>
            </w:pPr>
            <w:r>
              <w:rPr>
                <w:rFonts w:ascii="Calibri" w:hAnsi="Calibri"/>
                <w:sz w:val="16"/>
              </w:rPr>
              <w:t>Course retention then archive or controlled deletion</w:t>
            </w:r>
          </w:p>
        </w:tc>
      </w:tr>
      <w:tr>
        <w:tc>
          <w:tcPr>
            <w:tcW w:type="dxa" w:w="2400"/>
            <w:vAlign w:val="center"/>
            <w:tcMar>
              <w:top w:w="80" w:type="dxa"/>
              <w:start w:w="120" w:type="dxa"/>
              <w:bottom w:w="80" w:type="dxa"/>
              <w:end w:w="120" w:type="dxa"/>
            </w:tcMar>
          </w:tcPr>
          <w:p>
            <w:pPr>
              <w:spacing w:after="0"/>
            </w:pPr>
            <w:r>
              <w:rPr>
                <w:rFonts w:ascii="Calibri" w:hAnsi="Calibri"/>
                <w:sz w:val="16"/>
              </w:rPr>
              <w:t>Health/wellbeing/discipline</w:t>
            </w:r>
          </w:p>
        </w:tc>
        <w:tc>
          <w:tcPr>
            <w:tcW w:type="dxa" w:w="6960"/>
            <w:vAlign w:val="center"/>
            <w:tcMar>
              <w:top w:w="80" w:type="dxa"/>
              <w:start w:w="120" w:type="dxa"/>
              <w:bottom w:w="80" w:type="dxa"/>
              <w:end w:w="120" w:type="dxa"/>
            </w:tcMar>
          </w:tcPr>
          <w:p>
            <w:pPr>
              <w:spacing w:after="0"/>
            </w:pPr>
            <w:r>
              <w:rPr>
                <w:rFonts w:ascii="Calibri" w:hAnsi="Calibri"/>
                <w:sz w:val="16"/>
              </w:rPr>
              <w:t>Restricted, purpose-limited and specially governed</w:t>
            </w:r>
          </w:p>
        </w:tc>
      </w:tr>
      <w:tr>
        <w:tc>
          <w:tcPr>
            <w:tcW w:type="dxa" w:w="2400"/>
            <w:vAlign w:val="center"/>
            <w:shd w:fill="F5F7F4"/>
            <w:tcMar>
              <w:top w:w="80" w:type="dxa"/>
              <w:start w:w="120" w:type="dxa"/>
              <w:bottom w:w="80" w:type="dxa"/>
              <w:end w:w="120" w:type="dxa"/>
            </w:tcMar>
          </w:tcPr>
          <w:p>
            <w:pPr>
              <w:spacing w:after="0"/>
            </w:pPr>
            <w:r>
              <w:rPr>
                <w:rFonts w:ascii="Calibri" w:hAnsi="Calibri"/>
                <w:sz w:val="16"/>
              </w:rPr>
              <w:t>Audit/security logs</w:t>
            </w:r>
          </w:p>
        </w:tc>
        <w:tc>
          <w:tcPr>
            <w:tcW w:type="dxa" w:w="6960"/>
            <w:vAlign w:val="center"/>
            <w:shd w:fill="F5F7F4"/>
            <w:tcMar>
              <w:top w:w="80" w:type="dxa"/>
              <w:start w:w="120" w:type="dxa"/>
              <w:bottom w:w="80" w:type="dxa"/>
              <w:end w:w="120" w:type="dxa"/>
            </w:tcMar>
          </w:tcPr>
          <w:p>
            <w:pPr>
              <w:spacing w:after="0"/>
            </w:pPr>
            <w:r>
              <w:rPr>
                <w:rFonts w:ascii="Calibri" w:hAnsi="Calibri"/>
                <w:sz w:val="16"/>
              </w:rPr>
              <w:t>Long enough for investigation and compliance</w:t>
            </w:r>
          </w:p>
        </w:tc>
      </w:tr>
      <w:tr>
        <w:tc>
          <w:tcPr>
            <w:tcW w:type="dxa" w:w="2400"/>
            <w:vAlign w:val="center"/>
            <w:tcMar>
              <w:top w:w="80" w:type="dxa"/>
              <w:start w:w="120" w:type="dxa"/>
              <w:bottom w:w="80" w:type="dxa"/>
              <w:end w:w="120" w:type="dxa"/>
            </w:tcMar>
          </w:tcPr>
          <w:p>
            <w:pPr>
              <w:spacing w:after="0"/>
            </w:pPr>
            <w:r>
              <w:rPr>
                <w:rFonts w:ascii="Calibri" w:hAnsi="Calibri"/>
                <w:sz w:val="16"/>
              </w:rPr>
              <w:t>Backups</w:t>
            </w:r>
          </w:p>
        </w:tc>
        <w:tc>
          <w:tcPr>
            <w:tcW w:type="dxa" w:w="6960"/>
            <w:vAlign w:val="center"/>
            <w:tcMar>
              <w:top w:w="80" w:type="dxa"/>
              <w:start w:w="120" w:type="dxa"/>
              <w:bottom w:w="80" w:type="dxa"/>
              <w:end w:w="120" w:type="dxa"/>
            </w:tcMar>
          </w:tcPr>
          <w:p>
            <w:pPr>
              <w:spacing w:after="0"/>
            </w:pPr>
            <w:r>
              <w:rPr>
                <w:rFonts w:ascii="Calibri" w:hAnsi="Calibri"/>
                <w:sz w:val="16"/>
              </w:rPr>
              <w:t>Automated expiry; deletion follows documented recovery delay</w:t>
            </w:r>
          </w:p>
        </w:tc>
      </w:tr>
    </w:tbl>
    <w:p/>
    <w:p>
      <w:pPr>
        <w:pStyle w:val="Heading2"/>
      </w:pPr>
      <w:r>
        <w:t>39.1 Deletion workflow</w:t>
      </w:r>
    </w:p>
    <w:p>
      <w:pPr>
        <w:pStyle w:val="ListNumber"/>
        <w:numPr>
          <w:ilvl w:val="0"/>
          <w:numId w:val="28"/>
        </w:numPr>
      </w:pPr>
      <w:r>
        <w:t>Verify requester, authority, ownership and legal hold.</w:t>
      </w:r>
    </w:p>
    <w:p>
      <w:pPr>
        <w:pStyle w:val="ListNumber"/>
        <w:numPr>
          <w:ilvl w:val="0"/>
          <w:numId w:val="28"/>
        </w:numPr>
      </w:pPr>
      <w:r>
        <w:t>Identify legal, safeguarding, finance and dispute constraints.</w:t>
      </w:r>
    </w:p>
    <w:p>
      <w:pPr>
        <w:pStyle w:val="ListNumber"/>
        <w:numPr>
          <w:ilvl w:val="0"/>
          <w:numId w:val="28"/>
        </w:numPr>
      </w:pPr>
      <w:r>
        <w:t>Approve deletion, restricted erasure, anonymisation or refusal.</w:t>
      </w:r>
    </w:p>
    <w:p>
      <w:pPr>
        <w:pStyle w:val="ListNumber"/>
        <w:numPr>
          <w:ilvl w:val="0"/>
          <w:numId w:val="28"/>
        </w:numPr>
      </w:pPr>
      <w:r>
        <w:t>Execute across records, files, indexes and downstream jobs.</w:t>
      </w:r>
    </w:p>
    <w:p>
      <w:pPr>
        <w:pStyle w:val="ListNumber"/>
        <w:numPr>
          <w:ilvl w:val="0"/>
          <w:numId w:val="28"/>
        </w:numPr>
      </w:pPr>
      <w:r>
        <w:t>Record proof without recreating deleted content.</w:t>
      </w:r>
    </w:p>
    <w:p>
      <w:pPr>
        <w:pStyle w:val="ListNumber"/>
        <w:numPr>
          <w:ilvl w:val="0"/>
          <w:numId w:val="28"/>
        </w:numPr>
      </w:pPr>
      <w:r>
        <w:t>Allow backup expiry through the recovery window.</w:t>
      </w:r>
    </w:p>
    <w:p>
      <w:pPr>
        <w:pStyle w:val="Heading1"/>
      </w:pPr>
      <w:r>
        <w:t>40. Data migration and import playbook</w:t>
      </w:r>
    </w:p>
    <w:p>
      <w:pPr>
        <w:pStyle w:val="ListNumber"/>
        <w:numPr>
          <w:ilvl w:val="0"/>
          <w:numId w:val="29"/>
        </w:numPr>
      </w:pPr>
      <w:r>
        <w:t>Inventory source spreadsheets, paper records and systems; name owners.</w:t>
      </w:r>
    </w:p>
    <w:p>
      <w:pPr>
        <w:pStyle w:val="ListNumber"/>
        <w:numPr>
          <w:ilvl w:val="0"/>
          <w:numId w:val="29"/>
        </w:numPr>
      </w:pPr>
      <w:r>
        <w:t>Map columns to the Somesa dictionary and classify sensitivity.</w:t>
      </w:r>
    </w:p>
    <w:p>
      <w:pPr>
        <w:pStyle w:val="ListNumber"/>
        <w:numPr>
          <w:ilvl w:val="0"/>
          <w:numId w:val="29"/>
        </w:numPr>
      </w:pPr>
      <w:r>
        <w:t>Clean duplicates, invalid contacts, dates, classes and guardian links.</w:t>
      </w:r>
    </w:p>
    <w:p>
      <w:pPr>
        <w:pStyle w:val="ListNumber"/>
        <w:numPr>
          <w:ilvl w:val="0"/>
          <w:numId w:val="29"/>
        </w:numPr>
      </w:pPr>
      <w:r>
        <w:t>Run validation-only import and return an error report.</w:t>
      </w:r>
    </w:p>
    <w:p>
      <w:pPr>
        <w:pStyle w:val="ListNumber"/>
        <w:numPr>
          <w:ilvl w:val="0"/>
          <w:numId w:val="29"/>
        </w:numPr>
      </w:pPr>
      <w:r>
        <w:t>Pilot and reconcile counts, balances and representative records.</w:t>
      </w:r>
    </w:p>
    <w:p>
      <w:pPr>
        <w:pStyle w:val="ListNumber"/>
        <w:numPr>
          <w:ilvl w:val="0"/>
          <w:numId w:val="29"/>
        </w:numPr>
      </w:pPr>
      <w:r>
        <w:t>Obtain signed production-migration approval.</w:t>
      </w:r>
    </w:p>
    <w:p>
      <w:pPr>
        <w:pStyle w:val="ListNumber"/>
        <w:numPr>
          <w:ilvl w:val="0"/>
          <w:numId w:val="29"/>
        </w:numPr>
      </w:pPr>
      <w:r>
        <w:t>Define cutover/freeze, import and retain source under policy.</w:t>
      </w:r>
    </w:p>
    <w:p>
      <w:pPr>
        <w:pStyle w:val="ListNumber"/>
        <w:numPr>
          <w:ilvl w:val="0"/>
          <w:numId w:val="29"/>
        </w:numPr>
      </w:pPr>
      <w:r>
        <w:t>Run post-import reconciliation and sign-off.</w:t>
      </w:r>
    </w:p>
    <w:p>
      <w:pPr>
        <w:pStyle w:val="Heading2"/>
      </w:pPr>
      <w:r>
        <w:t>40.1 Import controls</w:t>
      </w:r>
    </w:p>
    <w:p>
      <w:pPr>
        <w:pStyle w:val="ListBullet"/>
      </w:pPr>
      <w:r>
        <w:t>Never silently create duplicate people, charges or cross-tenant links.</w:t>
      </w:r>
    </w:p>
    <w:p>
      <w:pPr>
        <w:pStyle w:val="ListBullet"/>
      </w:pPr>
      <w:r>
        <w:t>Each batch records source, uploader, checksum, row counts and outcome.</w:t>
      </w:r>
    </w:p>
    <w:p>
      <w:pPr>
        <w:pStyle w:val="ListBullet"/>
      </w:pPr>
      <w:r>
        <w:t>Partial success is explicit; failed rows are downloadable.</w:t>
      </w:r>
    </w:p>
    <w:p>
      <w:pPr>
        <w:pStyle w:val="ListBullet"/>
      </w:pPr>
      <w:r>
        <w:t>Rollback or compensating procedure exists before production import.</w:t>
      </w:r>
    </w:p>
    <w:p>
      <w:pPr>
        <w:pStyle w:val="ListBullet"/>
      </w:pPr>
      <w:r>
        <w:t>Restrict and expire source files when no longer needed.</w:t>
      </w:r>
    </w:p>
    <w:p>
      <w:pPr>
        <w:pStyle w:val="Heading1"/>
      </w:pPr>
      <w:r>
        <w:t>41. Tenant configuration catalogue</w:t>
      </w:r>
    </w:p>
    <w:tbl>
      <w:tblPr>
        <w:tblStyle w:val="TableGrid"/>
        <w:tblW w:type="dxa" w:w="9360"/>
        <w:jc w:val="left"/>
        <w:tblLayout w:type="fixed"/>
        <w:tblLook w:firstColumn="1" w:firstRow="1" w:lastColumn="0" w:lastRow="0" w:noHBand="0" w:noVBand="1" w:val="04A0"/>
        <w:tblInd w:w="120" w:type="dxa"/>
      </w:tblPr>
      <w:tblGrid>
        <w:gridCol w:w="1900"/>
        <w:gridCol w:w="4100"/>
        <w:gridCol w:w="3360"/>
      </w:tblGrid>
      <w:tr>
        <w:tc>
          <w:tcPr>
            <w:tcW w:type="dxa" w:w="1900"/>
            <w:shd w:fill="173C31"/>
            <w:tcMar>
              <w:top w:w="80" w:type="dxa"/>
              <w:start w:w="120" w:type="dxa"/>
              <w:bottom w:w="80" w:type="dxa"/>
              <w:end w:w="120" w:type="dxa"/>
            </w:tcMar>
          </w:tcPr>
          <w:p>
            <w:r>
              <w:rPr>
                <w:b/>
                <w:color w:val="FFFFFF"/>
                <w:sz w:val="17"/>
              </w:rPr>
              <w:t>Family</w:t>
            </w:r>
          </w:p>
        </w:tc>
        <w:tc>
          <w:tcPr>
            <w:tcW w:type="dxa" w:w="4100"/>
            <w:shd w:fill="173C31"/>
            <w:tcMar>
              <w:top w:w="80" w:type="dxa"/>
              <w:start w:w="120" w:type="dxa"/>
              <w:bottom w:w="80" w:type="dxa"/>
              <w:end w:w="120" w:type="dxa"/>
            </w:tcMar>
          </w:tcPr>
          <w:p>
            <w:r>
              <w:rPr>
                <w:b/>
                <w:color w:val="FFFFFF"/>
                <w:sz w:val="17"/>
              </w:rPr>
              <w:t>Examples</w:t>
            </w:r>
          </w:p>
        </w:tc>
        <w:tc>
          <w:tcPr>
            <w:tcW w:type="dxa" w:w="3360"/>
            <w:shd w:fill="173C31"/>
            <w:tcMar>
              <w:top w:w="80" w:type="dxa"/>
              <w:start w:w="120" w:type="dxa"/>
              <w:bottom w:w="80" w:type="dxa"/>
              <w:end w:w="120" w:type="dxa"/>
            </w:tcMar>
          </w:tcPr>
          <w:p>
            <w:r>
              <w:rPr>
                <w:b/>
                <w:color w:val="FFFFFF"/>
                <w:sz w:val="17"/>
              </w:rPr>
              <w:t>Change control</w:t>
            </w:r>
          </w:p>
        </w:tc>
      </w:tr>
      <w:tr>
        <w:tc>
          <w:tcPr>
            <w:tcW w:type="dxa" w:w="1900"/>
            <w:vAlign w:val="center"/>
            <w:tcMar>
              <w:top w:w="80" w:type="dxa"/>
              <w:start w:w="120" w:type="dxa"/>
              <w:bottom w:w="80" w:type="dxa"/>
              <w:end w:w="120" w:type="dxa"/>
            </w:tcMar>
          </w:tcPr>
          <w:p>
            <w:pPr>
              <w:spacing w:after="0"/>
            </w:pPr>
            <w:r>
              <w:rPr>
                <w:rFonts w:ascii="Calibri" w:hAnsi="Calibri"/>
                <w:sz w:val="16"/>
              </w:rPr>
              <w:t>Institution</w:t>
            </w:r>
          </w:p>
        </w:tc>
        <w:tc>
          <w:tcPr>
            <w:tcW w:type="dxa" w:w="4100"/>
            <w:vAlign w:val="center"/>
            <w:tcMar>
              <w:top w:w="80" w:type="dxa"/>
              <w:start w:w="120" w:type="dxa"/>
              <w:bottom w:w="80" w:type="dxa"/>
              <w:end w:w="120" w:type="dxa"/>
            </w:tcMar>
          </w:tcPr>
          <w:p>
            <w:pPr>
              <w:spacing w:after="0"/>
            </w:pPr>
            <w:r>
              <w:rPr>
                <w:rFonts w:ascii="Calibri" w:hAnsi="Calibri"/>
                <w:sz w:val="16"/>
              </w:rPr>
              <w:t>Name, campus, contacts, crest, domain, timezone, language</w:t>
            </w:r>
          </w:p>
        </w:tc>
        <w:tc>
          <w:tcPr>
            <w:tcW w:type="dxa" w:w="3360"/>
            <w:vAlign w:val="center"/>
            <w:tcMar>
              <w:top w:w="80" w:type="dxa"/>
              <w:start w:w="120" w:type="dxa"/>
              <w:bottom w:w="80" w:type="dxa"/>
              <w:end w:w="120" w:type="dxa"/>
            </w:tcMar>
          </w:tcPr>
          <w:p>
            <w:pPr>
              <w:spacing w:after="0"/>
            </w:pPr>
            <w:r>
              <w:rPr>
                <w:rFonts w:ascii="Calibri" w:hAnsi="Calibri"/>
                <w:sz w:val="16"/>
              </w:rPr>
              <w:t>Administrator; identity changes reviewed</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Calendar</w:t>
            </w:r>
          </w:p>
        </w:tc>
        <w:tc>
          <w:tcPr>
            <w:tcW w:type="dxa" w:w="4100"/>
            <w:vAlign w:val="center"/>
            <w:shd w:fill="F5F7F4"/>
            <w:tcMar>
              <w:top w:w="80" w:type="dxa"/>
              <w:start w:w="120" w:type="dxa"/>
              <w:bottom w:w="80" w:type="dxa"/>
              <w:end w:w="120" w:type="dxa"/>
            </w:tcMar>
          </w:tcPr>
          <w:p>
            <w:pPr>
              <w:spacing w:after="0"/>
            </w:pPr>
            <w:r>
              <w:rPr>
                <w:rFonts w:ascii="Calibri" w:hAnsi="Calibri"/>
                <w:sz w:val="16"/>
              </w:rPr>
              <w:t>Years, terms/semesters, weeks, closures</w:t>
            </w:r>
          </w:p>
        </w:tc>
        <w:tc>
          <w:tcPr>
            <w:tcW w:type="dxa" w:w="3360"/>
            <w:vAlign w:val="center"/>
            <w:shd w:fill="F5F7F4"/>
            <w:tcMar>
              <w:top w:w="80" w:type="dxa"/>
              <w:start w:w="120" w:type="dxa"/>
              <w:bottom w:w="80" w:type="dxa"/>
              <w:end w:w="120" w:type="dxa"/>
            </w:tcMar>
          </w:tcPr>
          <w:p>
            <w:pPr>
              <w:spacing w:after="0"/>
            </w:pPr>
            <w:r>
              <w:rPr>
                <w:rFonts w:ascii="Calibri" w:hAnsi="Calibri"/>
                <w:sz w:val="16"/>
              </w:rPr>
              <w:t>Academic admin; published periods controlled</w:t>
            </w:r>
          </w:p>
        </w:tc>
      </w:tr>
      <w:tr>
        <w:tc>
          <w:tcPr>
            <w:tcW w:type="dxa" w:w="1900"/>
            <w:vAlign w:val="center"/>
            <w:tcMar>
              <w:top w:w="80" w:type="dxa"/>
              <w:start w:w="120" w:type="dxa"/>
              <w:bottom w:w="80" w:type="dxa"/>
              <w:end w:w="120" w:type="dxa"/>
            </w:tcMar>
          </w:tcPr>
          <w:p>
            <w:pPr>
              <w:spacing w:after="0"/>
            </w:pPr>
            <w:r>
              <w:rPr>
                <w:rFonts w:ascii="Calibri" w:hAnsi="Calibri"/>
                <w:sz w:val="16"/>
              </w:rPr>
              <w:t>Structure</w:t>
            </w:r>
          </w:p>
        </w:tc>
        <w:tc>
          <w:tcPr>
            <w:tcW w:type="dxa" w:w="4100"/>
            <w:vAlign w:val="center"/>
            <w:tcMar>
              <w:top w:w="80" w:type="dxa"/>
              <w:start w:w="120" w:type="dxa"/>
              <w:bottom w:w="80" w:type="dxa"/>
              <w:end w:w="120" w:type="dxa"/>
            </w:tcMar>
          </w:tcPr>
          <w:p>
            <w:pPr>
              <w:spacing w:after="0"/>
            </w:pPr>
            <w:r>
              <w:rPr>
                <w:rFonts w:ascii="Calibri" w:hAnsi="Calibri"/>
                <w:sz w:val="16"/>
              </w:rPr>
              <w:t>Classes/programmes, streams/cohorts, courses, rooms</w:t>
            </w:r>
          </w:p>
        </w:tc>
        <w:tc>
          <w:tcPr>
            <w:tcW w:type="dxa" w:w="3360"/>
            <w:vAlign w:val="center"/>
            <w:tcMar>
              <w:top w:w="80" w:type="dxa"/>
              <w:start w:w="120" w:type="dxa"/>
              <w:bottom w:w="80" w:type="dxa"/>
              <w:end w:w="120" w:type="dxa"/>
            </w:tcMar>
          </w:tcPr>
          <w:p>
            <w:pPr>
              <w:spacing w:after="0"/>
            </w:pPr>
            <w:r>
              <w:rPr>
                <w:rFonts w:ascii="Calibri" w:hAnsi="Calibri"/>
                <w:sz w:val="16"/>
              </w:rPr>
              <w:t>Academic admin with conflicts checked</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Assessment</w:t>
            </w:r>
          </w:p>
        </w:tc>
        <w:tc>
          <w:tcPr>
            <w:tcW w:type="dxa" w:w="4100"/>
            <w:vAlign w:val="center"/>
            <w:shd w:fill="F5F7F4"/>
            <w:tcMar>
              <w:top w:w="80" w:type="dxa"/>
              <w:start w:w="120" w:type="dxa"/>
              <w:bottom w:w="80" w:type="dxa"/>
              <w:end w:w="120" w:type="dxa"/>
            </w:tcMar>
          </w:tcPr>
          <w:p>
            <w:pPr>
              <w:spacing w:after="0"/>
            </w:pPr>
            <w:r>
              <w:rPr>
                <w:rFonts w:ascii="Calibri" w:hAnsi="Calibri"/>
                <w:sz w:val="16"/>
              </w:rPr>
              <w:t>Scales, weights, rounding, comments, promotion</w:t>
            </w:r>
          </w:p>
        </w:tc>
        <w:tc>
          <w:tcPr>
            <w:tcW w:type="dxa" w:w="3360"/>
            <w:vAlign w:val="center"/>
            <w:shd w:fill="F5F7F4"/>
            <w:tcMar>
              <w:top w:w="80" w:type="dxa"/>
              <w:start w:w="120" w:type="dxa"/>
              <w:bottom w:w="80" w:type="dxa"/>
              <w:end w:w="120" w:type="dxa"/>
            </w:tcMar>
          </w:tcPr>
          <w:p>
            <w:pPr>
              <w:spacing w:after="0"/>
            </w:pPr>
            <w:r>
              <w:rPr>
                <w:rFonts w:ascii="Calibri" w:hAnsi="Calibri"/>
                <w:sz w:val="16"/>
              </w:rPr>
              <w:t>Academic owner and leadership approval</w:t>
            </w:r>
          </w:p>
        </w:tc>
      </w:tr>
      <w:tr>
        <w:tc>
          <w:tcPr>
            <w:tcW w:type="dxa" w:w="1900"/>
            <w:vAlign w:val="center"/>
            <w:tcMar>
              <w:top w:w="80" w:type="dxa"/>
              <w:start w:w="120" w:type="dxa"/>
              <w:bottom w:w="80" w:type="dxa"/>
              <w:end w:w="120" w:type="dxa"/>
            </w:tcMar>
          </w:tcPr>
          <w:p>
            <w:pPr>
              <w:spacing w:after="0"/>
            </w:pPr>
            <w:r>
              <w:rPr>
                <w:rFonts w:ascii="Calibri" w:hAnsi="Calibri"/>
                <w:sz w:val="16"/>
              </w:rPr>
              <w:t>Finance</w:t>
            </w:r>
          </w:p>
        </w:tc>
        <w:tc>
          <w:tcPr>
            <w:tcW w:type="dxa" w:w="4100"/>
            <w:vAlign w:val="center"/>
            <w:tcMar>
              <w:top w:w="80" w:type="dxa"/>
              <w:start w:w="120" w:type="dxa"/>
              <w:bottom w:w="80" w:type="dxa"/>
              <w:end w:w="120" w:type="dxa"/>
            </w:tcMar>
          </w:tcPr>
          <w:p>
            <w:pPr>
              <w:spacing w:after="0"/>
            </w:pPr>
            <w:r>
              <w:rPr>
                <w:rFonts w:ascii="Calibri" w:hAnsi="Calibri"/>
                <w:sz w:val="16"/>
              </w:rPr>
              <w:t>Fees, dates, discounts, allocation, receipts</w:t>
            </w:r>
          </w:p>
        </w:tc>
        <w:tc>
          <w:tcPr>
            <w:tcW w:type="dxa" w:w="3360"/>
            <w:vAlign w:val="center"/>
            <w:tcMar>
              <w:top w:w="80" w:type="dxa"/>
              <w:start w:w="120" w:type="dxa"/>
              <w:bottom w:w="80" w:type="dxa"/>
              <w:end w:w="120" w:type="dxa"/>
            </w:tcMar>
          </w:tcPr>
          <w:p>
            <w:pPr>
              <w:spacing w:after="0"/>
            </w:pPr>
            <w:r>
              <w:rPr>
                <w:rFonts w:ascii="Calibri" w:hAnsi="Calibri"/>
                <w:sz w:val="16"/>
              </w:rPr>
              <w:t>Finance owner plus approval</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Communication</w:t>
            </w:r>
          </w:p>
        </w:tc>
        <w:tc>
          <w:tcPr>
            <w:tcW w:type="dxa" w:w="4100"/>
            <w:vAlign w:val="center"/>
            <w:shd w:fill="F5F7F4"/>
            <w:tcMar>
              <w:top w:w="80" w:type="dxa"/>
              <w:start w:w="120" w:type="dxa"/>
              <w:bottom w:w="80" w:type="dxa"/>
              <w:end w:w="120" w:type="dxa"/>
            </w:tcMar>
          </w:tcPr>
          <w:p>
            <w:pPr>
              <w:spacing w:after="0"/>
            </w:pPr>
            <w:r>
              <w:rPr>
                <w:rFonts w:ascii="Calibri" w:hAnsi="Calibri"/>
                <w:sz w:val="16"/>
              </w:rPr>
              <w:t>Channels, sender, templates, quiet hours</w:t>
            </w:r>
          </w:p>
        </w:tc>
        <w:tc>
          <w:tcPr>
            <w:tcW w:type="dxa" w:w="3360"/>
            <w:vAlign w:val="center"/>
            <w:shd w:fill="F5F7F4"/>
            <w:tcMar>
              <w:top w:w="80" w:type="dxa"/>
              <w:start w:w="120" w:type="dxa"/>
              <w:bottom w:w="80" w:type="dxa"/>
              <w:end w:w="120" w:type="dxa"/>
            </w:tcMar>
          </w:tcPr>
          <w:p>
            <w:pPr>
              <w:spacing w:after="0"/>
            </w:pPr>
            <w:r>
              <w:rPr>
                <w:rFonts w:ascii="Calibri" w:hAnsi="Calibri"/>
                <w:sz w:val="16"/>
              </w:rPr>
              <w:t>Admin; emergency policy approved</w:t>
            </w:r>
          </w:p>
        </w:tc>
      </w:tr>
      <w:tr>
        <w:tc>
          <w:tcPr>
            <w:tcW w:type="dxa" w:w="1900"/>
            <w:vAlign w:val="center"/>
            <w:tcMar>
              <w:top w:w="80" w:type="dxa"/>
              <w:start w:w="120" w:type="dxa"/>
              <w:bottom w:w="80" w:type="dxa"/>
              <w:end w:w="120" w:type="dxa"/>
            </w:tcMar>
          </w:tcPr>
          <w:p>
            <w:pPr>
              <w:spacing w:after="0"/>
            </w:pPr>
            <w:r>
              <w:rPr>
                <w:rFonts w:ascii="Calibri" w:hAnsi="Calibri"/>
                <w:sz w:val="16"/>
              </w:rPr>
              <w:t>Permissions</w:t>
            </w:r>
          </w:p>
        </w:tc>
        <w:tc>
          <w:tcPr>
            <w:tcW w:type="dxa" w:w="4100"/>
            <w:vAlign w:val="center"/>
            <w:tcMar>
              <w:top w:w="80" w:type="dxa"/>
              <w:start w:w="120" w:type="dxa"/>
              <w:bottom w:w="80" w:type="dxa"/>
              <w:end w:w="120" w:type="dxa"/>
            </w:tcMar>
          </w:tcPr>
          <w:p>
            <w:pPr>
              <w:spacing w:after="0"/>
            </w:pPr>
            <w:r>
              <w:rPr>
                <w:rFonts w:ascii="Calibri" w:hAnsi="Calibri"/>
                <w:sz w:val="16"/>
              </w:rPr>
              <w:t>Roles, scopes, approvals and expiry</w:t>
            </w:r>
          </w:p>
        </w:tc>
        <w:tc>
          <w:tcPr>
            <w:tcW w:type="dxa" w:w="3360"/>
            <w:vAlign w:val="center"/>
            <w:tcMar>
              <w:top w:w="80" w:type="dxa"/>
              <w:start w:w="120" w:type="dxa"/>
              <w:bottom w:w="80" w:type="dxa"/>
              <w:end w:w="120" w:type="dxa"/>
            </w:tcMar>
          </w:tcPr>
          <w:p>
            <w:pPr>
              <w:spacing w:after="0"/>
            </w:pPr>
            <w:r>
              <w:rPr>
                <w:rFonts w:ascii="Calibri" w:hAnsi="Calibri"/>
                <w:sz w:val="16"/>
              </w:rPr>
              <w:t>Principal/owner governance</w:t>
            </w:r>
          </w:p>
        </w:tc>
      </w:tr>
      <w:tr>
        <w:tc>
          <w:tcPr>
            <w:tcW w:type="dxa" w:w="1900"/>
            <w:vAlign w:val="center"/>
            <w:shd w:fill="F5F7F4"/>
            <w:tcMar>
              <w:top w:w="80" w:type="dxa"/>
              <w:start w:w="120" w:type="dxa"/>
              <w:bottom w:w="80" w:type="dxa"/>
              <w:end w:w="120" w:type="dxa"/>
            </w:tcMar>
          </w:tcPr>
          <w:p>
            <w:pPr>
              <w:spacing w:after="0"/>
            </w:pPr>
            <w:r>
              <w:rPr>
                <w:rFonts w:ascii="Calibri" w:hAnsi="Calibri"/>
                <w:sz w:val="16"/>
              </w:rPr>
              <w:t>Retention</w:t>
            </w:r>
          </w:p>
        </w:tc>
        <w:tc>
          <w:tcPr>
            <w:tcW w:type="dxa" w:w="4100"/>
            <w:vAlign w:val="center"/>
            <w:shd w:fill="F5F7F4"/>
            <w:tcMar>
              <w:top w:w="80" w:type="dxa"/>
              <w:start w:w="120" w:type="dxa"/>
              <w:bottom w:w="80" w:type="dxa"/>
              <w:end w:w="120" w:type="dxa"/>
            </w:tcMar>
          </w:tcPr>
          <w:p>
            <w:pPr>
              <w:spacing w:after="0"/>
            </w:pPr>
            <w:r>
              <w:rPr>
                <w:rFonts w:ascii="Calibri" w:hAnsi="Calibri"/>
                <w:sz w:val="16"/>
              </w:rPr>
              <w:t>Record classes, archive, deletion and holds</w:t>
            </w:r>
          </w:p>
        </w:tc>
        <w:tc>
          <w:tcPr>
            <w:tcW w:type="dxa" w:w="3360"/>
            <w:vAlign w:val="center"/>
            <w:shd w:fill="F5F7F4"/>
            <w:tcMar>
              <w:top w:w="80" w:type="dxa"/>
              <w:start w:w="120" w:type="dxa"/>
              <w:bottom w:w="80" w:type="dxa"/>
              <w:end w:w="120" w:type="dxa"/>
            </w:tcMar>
          </w:tcPr>
          <w:p>
            <w:pPr>
              <w:spacing w:after="0"/>
            </w:pPr>
            <w:r>
              <w:rPr>
                <w:rFonts w:ascii="Calibri" w:hAnsi="Calibri"/>
                <w:sz w:val="16"/>
              </w:rPr>
              <w:t>Data owner plus legal review</w:t>
            </w:r>
          </w:p>
        </w:tc>
      </w:tr>
      <w:tr>
        <w:tc>
          <w:tcPr>
            <w:tcW w:type="dxa" w:w="1900"/>
            <w:vAlign w:val="center"/>
            <w:tcMar>
              <w:top w:w="80" w:type="dxa"/>
              <w:start w:w="120" w:type="dxa"/>
              <w:bottom w:w="80" w:type="dxa"/>
              <w:end w:w="120" w:type="dxa"/>
            </w:tcMar>
          </w:tcPr>
          <w:p>
            <w:pPr>
              <w:spacing w:after="0"/>
            </w:pPr>
            <w:r>
              <w:rPr>
                <w:rFonts w:ascii="Calibri" w:hAnsi="Calibri"/>
                <w:sz w:val="16"/>
              </w:rPr>
              <w:t>Branding</w:t>
            </w:r>
          </w:p>
        </w:tc>
        <w:tc>
          <w:tcPr>
            <w:tcW w:type="dxa" w:w="4100"/>
            <w:vAlign w:val="center"/>
            <w:tcMar>
              <w:top w:w="80" w:type="dxa"/>
              <w:start w:w="120" w:type="dxa"/>
              <w:bottom w:w="80" w:type="dxa"/>
              <w:end w:w="120" w:type="dxa"/>
            </w:tcMar>
          </w:tcPr>
          <w:p>
            <w:pPr>
              <w:spacing w:after="0"/>
            </w:pPr>
            <w:r>
              <w:rPr>
                <w:rFonts w:ascii="Calibri" w:hAnsi="Calibri"/>
                <w:sz w:val="16"/>
              </w:rPr>
              <w:t>Colours, logo, document headers and labels</w:t>
            </w:r>
          </w:p>
        </w:tc>
        <w:tc>
          <w:tcPr>
            <w:tcW w:type="dxa" w:w="3360"/>
            <w:vAlign w:val="center"/>
            <w:tcMar>
              <w:top w:w="80" w:type="dxa"/>
              <w:start w:w="120" w:type="dxa"/>
              <w:bottom w:w="80" w:type="dxa"/>
              <w:end w:w="120" w:type="dxa"/>
            </w:tcMar>
          </w:tcPr>
          <w:p>
            <w:pPr>
              <w:spacing w:after="0"/>
            </w:pPr>
            <w:r>
              <w:rPr>
                <w:rFonts w:ascii="Calibri" w:hAnsi="Calibri"/>
                <w:sz w:val="16"/>
              </w:rPr>
              <w:t>Admin within accessibility rules</w:t>
            </w:r>
          </w:p>
        </w:tc>
      </w:tr>
    </w:tbl>
    <w:p/>
    <w:p>
      <w:pPr>
        <w:pStyle w:val="Heading1"/>
      </w:pPr>
      <w:r>
        <w:t>42. Training, certification and adoption</w:t>
      </w:r>
    </w:p>
    <w:tbl>
      <w:tblPr>
        <w:tblStyle w:val="TableGrid"/>
        <w:tblW w:type="dxa" w:w="9360"/>
        <w:jc w:val="left"/>
        <w:tblLayout w:type="fixed"/>
        <w:tblLook w:firstColumn="1" w:firstRow="1" w:lastColumn="0" w:lastRow="0" w:noHBand="0" w:noVBand="1" w:val="04A0"/>
        <w:tblInd w:w="120" w:type="dxa"/>
      </w:tblPr>
      <w:tblGrid>
        <w:gridCol w:w="1800"/>
        <w:gridCol w:w="4460"/>
        <w:gridCol w:w="3100"/>
      </w:tblGrid>
      <w:tr>
        <w:tc>
          <w:tcPr>
            <w:tcW w:type="dxa" w:w="1800"/>
            <w:shd w:fill="173C31"/>
            <w:tcMar>
              <w:top w:w="80" w:type="dxa"/>
              <w:start w:w="120" w:type="dxa"/>
              <w:bottom w:w="80" w:type="dxa"/>
              <w:end w:w="120" w:type="dxa"/>
            </w:tcMar>
          </w:tcPr>
          <w:p>
            <w:r>
              <w:rPr>
                <w:b/>
                <w:color w:val="FFFFFF"/>
                <w:sz w:val="17"/>
              </w:rPr>
              <w:t>Audience</w:t>
            </w:r>
          </w:p>
        </w:tc>
        <w:tc>
          <w:tcPr>
            <w:tcW w:type="dxa" w:w="4460"/>
            <w:shd w:fill="173C31"/>
            <w:tcMar>
              <w:top w:w="80" w:type="dxa"/>
              <w:start w:w="120" w:type="dxa"/>
              <w:bottom w:w="80" w:type="dxa"/>
              <w:end w:w="120" w:type="dxa"/>
            </w:tcMar>
          </w:tcPr>
          <w:p>
            <w:r>
              <w:rPr>
                <w:b/>
                <w:color w:val="FFFFFF"/>
                <w:sz w:val="17"/>
              </w:rPr>
              <w:t>Required learning</w:t>
            </w:r>
          </w:p>
        </w:tc>
        <w:tc>
          <w:tcPr>
            <w:tcW w:type="dxa" w:w="3100"/>
            <w:shd w:fill="173C31"/>
            <w:tcMar>
              <w:top w:w="80" w:type="dxa"/>
              <w:start w:w="120" w:type="dxa"/>
              <w:bottom w:w="80" w:type="dxa"/>
              <w:end w:w="120" w:type="dxa"/>
            </w:tcMar>
          </w:tcPr>
          <w:p>
            <w:r>
              <w:rPr>
                <w:b/>
                <w:color w:val="FFFFFF"/>
                <w:sz w:val="17"/>
              </w:rPr>
              <w:t>Readiness evidence</w:t>
            </w:r>
          </w:p>
        </w:tc>
      </w:tr>
      <w:tr>
        <w:tc>
          <w:tcPr>
            <w:tcW w:type="dxa" w:w="1800"/>
            <w:vAlign w:val="center"/>
            <w:tcMar>
              <w:top w:w="80" w:type="dxa"/>
              <w:start w:w="120" w:type="dxa"/>
              <w:bottom w:w="80" w:type="dxa"/>
              <w:end w:w="120" w:type="dxa"/>
            </w:tcMar>
          </w:tcPr>
          <w:p>
            <w:pPr>
              <w:spacing w:after="0"/>
            </w:pPr>
            <w:r>
              <w:rPr>
                <w:rFonts w:ascii="Calibri" w:hAnsi="Calibri"/>
                <w:sz w:val="16"/>
              </w:rPr>
              <w:t>Principal</w:t>
            </w:r>
          </w:p>
        </w:tc>
        <w:tc>
          <w:tcPr>
            <w:tcW w:type="dxa" w:w="4460"/>
            <w:vAlign w:val="center"/>
            <w:tcMar>
              <w:top w:w="80" w:type="dxa"/>
              <w:start w:w="120" w:type="dxa"/>
              <w:bottom w:w="80" w:type="dxa"/>
              <w:end w:w="120" w:type="dxa"/>
            </w:tcMar>
          </w:tcPr>
          <w:p>
            <w:pPr>
              <w:spacing w:after="0"/>
            </w:pPr>
            <w:r>
              <w:rPr>
                <w:rFonts w:ascii="Calibri" w:hAnsi="Calibri"/>
                <w:sz w:val="16"/>
              </w:rPr>
              <w:t>Governance, approvals, reports, access review, incidents</w:t>
            </w:r>
          </w:p>
        </w:tc>
        <w:tc>
          <w:tcPr>
            <w:tcW w:type="dxa" w:w="3100"/>
            <w:vAlign w:val="center"/>
            <w:tcMar>
              <w:top w:w="80" w:type="dxa"/>
              <w:start w:w="120" w:type="dxa"/>
              <w:bottom w:w="80" w:type="dxa"/>
              <w:end w:w="120" w:type="dxa"/>
            </w:tcMar>
          </w:tcPr>
          <w:p>
            <w:pPr>
              <w:spacing w:after="0"/>
            </w:pPr>
            <w:r>
              <w:rPr>
                <w:rFonts w:ascii="Calibri" w:hAnsi="Calibri"/>
                <w:sz w:val="16"/>
              </w:rPr>
              <w:t>Signs governance/go-live checklist</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Administrator</w:t>
            </w:r>
          </w:p>
        </w:tc>
        <w:tc>
          <w:tcPr>
            <w:tcW w:type="dxa" w:w="4460"/>
            <w:vAlign w:val="center"/>
            <w:shd w:fill="F5F7F4"/>
            <w:tcMar>
              <w:top w:w="80" w:type="dxa"/>
              <w:start w:w="120" w:type="dxa"/>
              <w:bottom w:w="80" w:type="dxa"/>
              <w:end w:w="120" w:type="dxa"/>
            </w:tcMar>
          </w:tcPr>
          <w:p>
            <w:pPr>
              <w:spacing w:after="0"/>
            </w:pPr>
            <w:r>
              <w:rPr>
                <w:rFonts w:ascii="Calibri" w:hAnsi="Calibri"/>
                <w:sz w:val="16"/>
              </w:rPr>
              <w:t>Configuration, users, imports, audit, support, terms</w:t>
            </w:r>
          </w:p>
        </w:tc>
        <w:tc>
          <w:tcPr>
            <w:tcW w:type="dxa" w:w="3100"/>
            <w:vAlign w:val="center"/>
            <w:shd w:fill="F5F7F4"/>
            <w:tcMar>
              <w:top w:w="80" w:type="dxa"/>
              <w:start w:w="120" w:type="dxa"/>
              <w:bottom w:w="80" w:type="dxa"/>
              <w:end w:w="120" w:type="dxa"/>
            </w:tcMar>
          </w:tcPr>
          <w:p>
            <w:pPr>
              <w:spacing w:after="0"/>
            </w:pPr>
            <w:r>
              <w:rPr>
                <w:rFonts w:ascii="Calibri" w:hAnsi="Calibri"/>
                <w:sz w:val="16"/>
              </w:rPr>
              <w:t>Passes sandbox scenarios</w:t>
            </w:r>
          </w:p>
        </w:tc>
      </w:tr>
      <w:tr>
        <w:tc>
          <w:tcPr>
            <w:tcW w:type="dxa" w:w="1800"/>
            <w:vAlign w:val="center"/>
            <w:tcMar>
              <w:top w:w="80" w:type="dxa"/>
              <w:start w:w="120" w:type="dxa"/>
              <w:bottom w:w="80" w:type="dxa"/>
              <w:end w:w="120" w:type="dxa"/>
            </w:tcMar>
          </w:tcPr>
          <w:p>
            <w:pPr>
              <w:spacing w:after="0"/>
            </w:pPr>
            <w:r>
              <w:rPr>
                <w:rFonts w:ascii="Calibri" w:hAnsi="Calibri"/>
                <w:sz w:val="16"/>
              </w:rPr>
              <w:t>Teacher</w:t>
            </w:r>
          </w:p>
        </w:tc>
        <w:tc>
          <w:tcPr>
            <w:tcW w:type="dxa" w:w="4460"/>
            <w:vAlign w:val="center"/>
            <w:tcMar>
              <w:top w:w="80" w:type="dxa"/>
              <w:start w:w="120" w:type="dxa"/>
              <w:bottom w:w="80" w:type="dxa"/>
              <w:end w:w="120" w:type="dxa"/>
            </w:tcMar>
          </w:tcPr>
          <w:p>
            <w:pPr>
              <w:spacing w:after="0"/>
            </w:pPr>
            <w:r>
              <w:rPr>
                <w:rFonts w:ascii="Calibri" w:hAnsi="Calibri"/>
                <w:sz w:val="16"/>
              </w:rPr>
              <w:t>Security, attendance, materials, marks and messages</w:t>
            </w:r>
          </w:p>
        </w:tc>
        <w:tc>
          <w:tcPr>
            <w:tcW w:type="dxa" w:w="3100"/>
            <w:vAlign w:val="center"/>
            <w:tcMar>
              <w:top w:w="80" w:type="dxa"/>
              <w:start w:w="120" w:type="dxa"/>
              <w:bottom w:w="80" w:type="dxa"/>
              <w:end w:w="120" w:type="dxa"/>
            </w:tcMar>
          </w:tcPr>
          <w:p>
            <w:pPr>
              <w:spacing w:after="0"/>
            </w:pPr>
            <w:r>
              <w:rPr>
                <w:rFonts w:ascii="Calibri" w:hAnsi="Calibri"/>
                <w:sz w:val="16"/>
              </w:rPr>
              <w:t>Completes class workflow</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Bursar</w:t>
            </w:r>
          </w:p>
        </w:tc>
        <w:tc>
          <w:tcPr>
            <w:tcW w:type="dxa" w:w="4460"/>
            <w:vAlign w:val="center"/>
            <w:shd w:fill="F5F7F4"/>
            <w:tcMar>
              <w:top w:w="80" w:type="dxa"/>
              <w:start w:w="120" w:type="dxa"/>
              <w:bottom w:w="80" w:type="dxa"/>
              <w:end w:w="120" w:type="dxa"/>
            </w:tcMar>
          </w:tcPr>
          <w:p>
            <w:pPr>
              <w:spacing w:after="0"/>
            </w:pPr>
            <w:r>
              <w:rPr>
                <w:rFonts w:ascii="Calibri" w:hAnsi="Calibri"/>
                <w:sz w:val="16"/>
              </w:rPr>
              <w:t>Ledger, receipts, reconciliation, reversal, privacy</w:t>
            </w:r>
          </w:p>
        </w:tc>
        <w:tc>
          <w:tcPr>
            <w:tcW w:type="dxa" w:w="3100"/>
            <w:vAlign w:val="center"/>
            <w:shd w:fill="F5F7F4"/>
            <w:tcMar>
              <w:top w:w="80" w:type="dxa"/>
              <w:start w:w="120" w:type="dxa"/>
              <w:bottom w:w="80" w:type="dxa"/>
              <w:end w:w="120" w:type="dxa"/>
            </w:tcMar>
          </w:tcPr>
          <w:p>
            <w:pPr>
              <w:spacing w:after="0"/>
            </w:pPr>
            <w:r>
              <w:rPr>
                <w:rFonts w:ascii="Calibri" w:hAnsi="Calibri"/>
                <w:sz w:val="16"/>
              </w:rPr>
              <w:t>Passes reconciliation exercise</w:t>
            </w:r>
          </w:p>
        </w:tc>
      </w:tr>
      <w:tr>
        <w:tc>
          <w:tcPr>
            <w:tcW w:type="dxa" w:w="1800"/>
            <w:vAlign w:val="center"/>
            <w:tcMar>
              <w:top w:w="80" w:type="dxa"/>
              <w:start w:w="120" w:type="dxa"/>
              <w:bottom w:w="80" w:type="dxa"/>
              <w:end w:w="120" w:type="dxa"/>
            </w:tcMar>
          </w:tcPr>
          <w:p>
            <w:pPr>
              <w:spacing w:after="0"/>
            </w:pPr>
            <w:r>
              <w:rPr>
                <w:rFonts w:ascii="Calibri" w:hAnsi="Calibri"/>
                <w:sz w:val="16"/>
              </w:rPr>
              <w:t>Student</w:t>
            </w:r>
          </w:p>
        </w:tc>
        <w:tc>
          <w:tcPr>
            <w:tcW w:type="dxa" w:w="4460"/>
            <w:vAlign w:val="center"/>
            <w:tcMar>
              <w:top w:w="80" w:type="dxa"/>
              <w:start w:w="120" w:type="dxa"/>
              <w:bottom w:w="80" w:type="dxa"/>
              <w:end w:w="120" w:type="dxa"/>
            </w:tcMar>
          </w:tcPr>
          <w:p>
            <w:pPr>
              <w:spacing w:after="0"/>
            </w:pPr>
            <w:r>
              <w:rPr>
                <w:rFonts w:ascii="Calibri" w:hAnsi="Calibri"/>
                <w:sz w:val="16"/>
              </w:rPr>
              <w:t>Login, timetable, materials, submissions, results, help</w:t>
            </w:r>
          </w:p>
        </w:tc>
        <w:tc>
          <w:tcPr>
            <w:tcW w:type="dxa" w:w="3100"/>
            <w:vAlign w:val="center"/>
            <w:tcMar>
              <w:top w:w="80" w:type="dxa"/>
              <w:start w:w="120" w:type="dxa"/>
              <w:bottom w:w="80" w:type="dxa"/>
              <w:end w:w="120" w:type="dxa"/>
            </w:tcMar>
          </w:tcPr>
          <w:p>
            <w:pPr>
              <w:spacing w:after="0"/>
            </w:pPr>
            <w:r>
              <w:rPr>
                <w:rFonts w:ascii="Calibri" w:hAnsi="Calibri"/>
                <w:sz w:val="16"/>
              </w:rPr>
              <w:t>Completes guided onboarding</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Guardian</w:t>
            </w:r>
          </w:p>
        </w:tc>
        <w:tc>
          <w:tcPr>
            <w:tcW w:type="dxa" w:w="4460"/>
            <w:vAlign w:val="center"/>
            <w:shd w:fill="F5F7F4"/>
            <w:tcMar>
              <w:top w:w="80" w:type="dxa"/>
              <w:start w:w="120" w:type="dxa"/>
              <w:bottom w:w="80" w:type="dxa"/>
              <w:end w:w="120" w:type="dxa"/>
            </w:tcMar>
          </w:tcPr>
          <w:p>
            <w:pPr>
              <w:spacing w:after="0"/>
            </w:pPr>
            <w:r>
              <w:rPr>
                <w:rFonts w:ascii="Calibri" w:hAnsi="Calibri"/>
                <w:sz w:val="16"/>
              </w:rPr>
              <w:t>Child switcher, notices, fees, payments and requests</w:t>
            </w:r>
          </w:p>
        </w:tc>
        <w:tc>
          <w:tcPr>
            <w:tcW w:type="dxa" w:w="3100"/>
            <w:vAlign w:val="center"/>
            <w:shd w:fill="F5F7F4"/>
            <w:tcMar>
              <w:top w:w="80" w:type="dxa"/>
              <w:start w:w="120" w:type="dxa"/>
              <w:bottom w:w="80" w:type="dxa"/>
              <w:end w:w="120" w:type="dxa"/>
            </w:tcMar>
          </w:tcPr>
          <w:p>
            <w:pPr>
              <w:spacing w:after="0"/>
            </w:pPr>
            <w:r>
              <w:rPr>
                <w:rFonts w:ascii="Calibri" w:hAnsi="Calibri"/>
                <w:sz w:val="16"/>
              </w:rPr>
              <w:t>Verifies link and guided review</w:t>
            </w:r>
          </w:p>
        </w:tc>
      </w:tr>
      <w:tr>
        <w:tc>
          <w:tcPr>
            <w:tcW w:type="dxa" w:w="1800"/>
            <w:vAlign w:val="center"/>
            <w:tcMar>
              <w:top w:w="80" w:type="dxa"/>
              <w:start w:w="120" w:type="dxa"/>
              <w:bottom w:w="80" w:type="dxa"/>
              <w:end w:w="120" w:type="dxa"/>
            </w:tcMar>
          </w:tcPr>
          <w:p>
            <w:pPr>
              <w:spacing w:after="0"/>
            </w:pPr>
            <w:r>
              <w:rPr>
                <w:rFonts w:ascii="Calibri" w:hAnsi="Calibri"/>
                <w:sz w:val="16"/>
              </w:rPr>
              <w:t>Avatar support</w:t>
            </w:r>
          </w:p>
        </w:tc>
        <w:tc>
          <w:tcPr>
            <w:tcW w:type="dxa" w:w="4460"/>
            <w:vAlign w:val="center"/>
            <w:tcMar>
              <w:top w:w="80" w:type="dxa"/>
              <w:start w:w="120" w:type="dxa"/>
              <w:bottom w:w="80" w:type="dxa"/>
              <w:end w:w="120" w:type="dxa"/>
            </w:tcMar>
          </w:tcPr>
          <w:p>
            <w:pPr>
              <w:spacing w:after="0"/>
            </w:pPr>
            <w:r>
              <w:rPr>
                <w:rFonts w:ascii="Calibri" w:hAnsi="Calibri"/>
                <w:sz w:val="16"/>
              </w:rPr>
              <w:t>Safe diagnostics, access and escalation</w:t>
            </w:r>
          </w:p>
        </w:tc>
        <w:tc>
          <w:tcPr>
            <w:tcW w:type="dxa" w:w="3100"/>
            <w:vAlign w:val="center"/>
            <w:tcMar>
              <w:top w:w="80" w:type="dxa"/>
              <w:start w:w="120" w:type="dxa"/>
              <w:bottom w:w="80" w:type="dxa"/>
              <w:end w:w="120" w:type="dxa"/>
            </w:tcMar>
          </w:tcPr>
          <w:p>
            <w:pPr>
              <w:spacing w:after="0"/>
            </w:pPr>
            <w:r>
              <w:rPr>
                <w:rFonts w:ascii="Calibri" w:hAnsi="Calibri"/>
                <w:sz w:val="16"/>
              </w:rPr>
              <w:t>Role certification and refresher</w:t>
            </w:r>
          </w:p>
        </w:tc>
      </w:tr>
    </w:tbl>
    <w:p/>
    <w:p>
      <w:pPr>
        <w:pStyle w:val="Heading2"/>
      </w:pPr>
      <w:r>
        <w:t>42.1 Adoption measures</w:t>
      </w:r>
    </w:p>
    <w:p>
      <w:pPr>
        <w:pStyle w:val="ListBullet"/>
      </w:pPr>
      <w:r>
        <w:t>Activation by role.</w:t>
      </w:r>
    </w:p>
    <w:p>
      <w:pPr>
        <w:pStyle w:val="ListBullet"/>
      </w:pPr>
      <w:r>
        <w:t>On-time attendance registers.</w:t>
      </w:r>
    </w:p>
    <w:p>
      <w:pPr>
        <w:pStyle w:val="ListBullet"/>
      </w:pPr>
      <w:r>
        <w:t>Assessment publication cycle time.</w:t>
      </w:r>
    </w:p>
    <w:p>
      <w:pPr>
        <w:pStyle w:val="ListBullet"/>
      </w:pPr>
      <w:r>
        <w:t>Guardian reach and delivery success.</w:t>
      </w:r>
    </w:p>
    <w:p>
      <w:pPr>
        <w:pStyle w:val="ListBullet"/>
      </w:pPr>
      <w:r>
        <w:t>Payment match rate and exceptions.</w:t>
      </w:r>
    </w:p>
    <w:p>
      <w:pPr>
        <w:pStyle w:val="ListBullet"/>
      </w:pPr>
      <w:r>
        <w:t>Ticket categories and training completion.</w:t>
      </w:r>
    </w:p>
    <w:p>
      <w:pPr>
        <w:pStyle w:val="ListBullet"/>
      </w:pPr>
      <w:r>
        <w:t>Dormant privileged accounts and access-review completion.</w:t>
      </w:r>
    </w:p>
    <w:p>
      <w:pPr>
        <w:pStyle w:val="Heading1"/>
      </w:pPr>
      <w:r>
        <w:t>43. Service levels, capacity and cost controls</w:t>
      </w:r>
    </w:p>
    <w:tbl>
      <w:tblPr>
        <w:tblStyle w:val="TableGrid"/>
        <w:tblW w:type="dxa" w:w="9360"/>
        <w:jc w:val="left"/>
        <w:tblLayout w:type="fixed"/>
        <w:tblLook w:firstColumn="1" w:firstRow="1" w:lastColumn="0" w:lastRow="0" w:noHBand="0" w:noVBand="1" w:val="04A0"/>
        <w:tblInd w:w="120" w:type="dxa"/>
      </w:tblPr>
      <w:tblGrid>
        <w:gridCol w:w="2800"/>
        <w:gridCol w:w="6560"/>
      </w:tblGrid>
      <w:tr>
        <w:tc>
          <w:tcPr>
            <w:tcW w:type="dxa" w:w="2800"/>
            <w:shd w:fill="173C31"/>
            <w:tcMar>
              <w:top w:w="80" w:type="dxa"/>
              <w:start w:w="120" w:type="dxa"/>
              <w:bottom w:w="80" w:type="dxa"/>
              <w:end w:w="120" w:type="dxa"/>
            </w:tcMar>
          </w:tcPr>
          <w:p>
            <w:r>
              <w:rPr>
                <w:b/>
                <w:color w:val="FFFFFF"/>
                <w:sz w:val="17"/>
              </w:rPr>
              <w:t>Measure</w:t>
            </w:r>
          </w:p>
        </w:tc>
        <w:tc>
          <w:tcPr>
            <w:tcW w:type="dxa" w:w="6560"/>
            <w:shd w:fill="173C31"/>
            <w:tcMar>
              <w:top w:w="80" w:type="dxa"/>
              <w:start w:w="120" w:type="dxa"/>
              <w:bottom w:w="80" w:type="dxa"/>
              <w:end w:w="120" w:type="dxa"/>
            </w:tcMar>
          </w:tcPr>
          <w:p>
            <w:r>
              <w:rPr>
                <w:b/>
                <w:color w:val="FFFFFF"/>
                <w:sz w:val="17"/>
              </w:rPr>
              <w:t>Initial target for pilot validation</w:t>
            </w:r>
          </w:p>
        </w:tc>
      </w:tr>
      <w:tr>
        <w:tc>
          <w:tcPr>
            <w:tcW w:type="dxa" w:w="2800"/>
            <w:vAlign w:val="center"/>
            <w:tcMar>
              <w:top w:w="80" w:type="dxa"/>
              <w:start w:w="120" w:type="dxa"/>
              <w:bottom w:w="80" w:type="dxa"/>
              <w:end w:w="120" w:type="dxa"/>
            </w:tcMar>
          </w:tcPr>
          <w:p>
            <w:pPr>
              <w:spacing w:after="0"/>
            </w:pPr>
            <w:r>
              <w:rPr>
                <w:rFonts w:ascii="Calibri" w:hAnsi="Calibri"/>
                <w:sz w:val="16"/>
              </w:rPr>
              <w:t>Availability</w:t>
            </w:r>
          </w:p>
        </w:tc>
        <w:tc>
          <w:tcPr>
            <w:tcW w:type="dxa" w:w="6560"/>
            <w:vAlign w:val="center"/>
            <w:tcMar>
              <w:top w:w="80" w:type="dxa"/>
              <w:start w:w="120" w:type="dxa"/>
              <w:bottom w:w="80" w:type="dxa"/>
              <w:end w:w="120" w:type="dxa"/>
            </w:tcMar>
          </w:tcPr>
          <w:p>
            <w:pPr>
              <w:spacing w:after="0"/>
            </w:pPr>
            <w:r>
              <w:rPr>
                <w:rFonts w:ascii="Calibri" w:hAnsi="Calibri"/>
                <w:sz w:val="16"/>
              </w:rPr>
              <w:t>Proposed 99.5% monthly excluding announced maintenance</w:t>
            </w:r>
          </w:p>
        </w:tc>
      </w:tr>
      <w:tr>
        <w:tc>
          <w:tcPr>
            <w:tcW w:type="dxa" w:w="2800"/>
            <w:vAlign w:val="center"/>
            <w:shd w:fill="F5F7F4"/>
            <w:tcMar>
              <w:top w:w="80" w:type="dxa"/>
              <w:start w:w="120" w:type="dxa"/>
              <w:bottom w:w="80" w:type="dxa"/>
              <w:end w:w="120" w:type="dxa"/>
            </w:tcMar>
          </w:tcPr>
          <w:p>
            <w:pPr>
              <w:spacing w:after="0"/>
            </w:pPr>
            <w:r>
              <w:rPr>
                <w:rFonts w:ascii="Calibri" w:hAnsi="Calibri"/>
                <w:sz w:val="16"/>
              </w:rPr>
              <w:t>Page response</w:t>
            </w:r>
          </w:p>
        </w:tc>
        <w:tc>
          <w:tcPr>
            <w:tcW w:type="dxa" w:w="6560"/>
            <w:vAlign w:val="center"/>
            <w:shd w:fill="F5F7F4"/>
            <w:tcMar>
              <w:top w:w="80" w:type="dxa"/>
              <w:start w:w="120" w:type="dxa"/>
              <w:bottom w:w="80" w:type="dxa"/>
              <w:end w:w="120" w:type="dxa"/>
            </w:tcMar>
          </w:tcPr>
          <w:p>
            <w:pPr>
              <w:spacing w:after="0"/>
            </w:pPr>
            <w:r>
              <w:rPr>
                <w:rFonts w:ascii="Calibri" w:hAnsi="Calibri"/>
                <w:sz w:val="16"/>
              </w:rPr>
              <w:t>Common pages targeted under 3 seconds on representative mobile connection</w:t>
            </w:r>
          </w:p>
        </w:tc>
      </w:tr>
      <w:tr>
        <w:tc>
          <w:tcPr>
            <w:tcW w:type="dxa" w:w="2800"/>
            <w:vAlign w:val="center"/>
            <w:tcMar>
              <w:top w:w="80" w:type="dxa"/>
              <w:start w:w="120" w:type="dxa"/>
              <w:bottom w:w="80" w:type="dxa"/>
              <w:end w:w="120" w:type="dxa"/>
            </w:tcMar>
          </w:tcPr>
          <w:p>
            <w:pPr>
              <w:spacing w:after="0"/>
            </w:pPr>
            <w:r>
              <w:rPr>
                <w:rFonts w:ascii="Calibri" w:hAnsi="Calibri"/>
                <w:sz w:val="16"/>
              </w:rPr>
              <w:t>Critical alerts</w:t>
            </w:r>
          </w:p>
        </w:tc>
        <w:tc>
          <w:tcPr>
            <w:tcW w:type="dxa" w:w="6560"/>
            <w:vAlign w:val="center"/>
            <w:tcMar>
              <w:top w:w="80" w:type="dxa"/>
              <w:start w:w="120" w:type="dxa"/>
              <w:bottom w:w="80" w:type="dxa"/>
              <w:end w:w="120" w:type="dxa"/>
            </w:tcMar>
          </w:tcPr>
          <w:p>
            <w:pPr>
              <w:spacing w:after="0"/>
            </w:pPr>
            <w:r>
              <w:rPr>
                <w:rFonts w:ascii="Calibri" w:hAnsi="Calibri"/>
                <w:sz w:val="16"/>
              </w:rPr>
              <w:t>Queued promptly; provider dependency disclosed</w:t>
            </w:r>
          </w:p>
        </w:tc>
      </w:tr>
      <w:tr>
        <w:tc>
          <w:tcPr>
            <w:tcW w:type="dxa" w:w="2800"/>
            <w:vAlign w:val="center"/>
            <w:shd w:fill="F5F7F4"/>
            <w:tcMar>
              <w:top w:w="80" w:type="dxa"/>
              <w:start w:w="120" w:type="dxa"/>
              <w:bottom w:w="80" w:type="dxa"/>
              <w:end w:w="120" w:type="dxa"/>
            </w:tcMar>
          </w:tcPr>
          <w:p>
            <w:pPr>
              <w:spacing w:after="0"/>
            </w:pPr>
            <w:r>
              <w:rPr>
                <w:rFonts w:ascii="Calibri" w:hAnsi="Calibri"/>
                <w:sz w:val="16"/>
              </w:rPr>
              <w:t>P1 support</w:t>
            </w:r>
          </w:p>
        </w:tc>
        <w:tc>
          <w:tcPr>
            <w:tcW w:type="dxa" w:w="6560"/>
            <w:vAlign w:val="center"/>
            <w:shd w:fill="F5F7F4"/>
            <w:tcMar>
              <w:top w:w="80" w:type="dxa"/>
              <w:start w:w="120" w:type="dxa"/>
              <w:bottom w:w="80" w:type="dxa"/>
              <w:end w:w="120" w:type="dxa"/>
            </w:tcMar>
          </w:tcPr>
          <w:p>
            <w:pPr>
              <w:spacing w:after="0"/>
            </w:pPr>
            <w:r>
              <w:rPr>
                <w:rFonts w:ascii="Calibri" w:hAnsi="Calibri"/>
                <w:sz w:val="16"/>
              </w:rPr>
              <w:t>Immediate on-call acknowledgement and continuous triage</w:t>
            </w:r>
          </w:p>
        </w:tc>
      </w:tr>
      <w:tr>
        <w:tc>
          <w:tcPr>
            <w:tcW w:type="dxa" w:w="2800"/>
            <w:vAlign w:val="center"/>
            <w:tcMar>
              <w:top w:w="80" w:type="dxa"/>
              <w:start w:w="120" w:type="dxa"/>
              <w:bottom w:w="80" w:type="dxa"/>
              <w:end w:w="120" w:type="dxa"/>
            </w:tcMar>
          </w:tcPr>
          <w:p>
            <w:pPr>
              <w:spacing w:after="0"/>
            </w:pPr>
            <w:r>
              <w:rPr>
                <w:rFonts w:ascii="Calibri" w:hAnsi="Calibri"/>
                <w:sz w:val="16"/>
              </w:rPr>
              <w:t>Backup point</w:t>
            </w:r>
          </w:p>
        </w:tc>
        <w:tc>
          <w:tcPr>
            <w:tcW w:type="dxa" w:w="6560"/>
            <w:vAlign w:val="center"/>
            <w:tcMar>
              <w:top w:w="80" w:type="dxa"/>
              <w:start w:w="120" w:type="dxa"/>
              <w:bottom w:w="80" w:type="dxa"/>
              <w:end w:w="120" w:type="dxa"/>
            </w:tcMar>
          </w:tcPr>
          <w:p>
            <w:pPr>
              <w:spacing w:after="0"/>
            </w:pPr>
            <w:r>
              <w:rPr>
                <w:rFonts w:ascii="Calibri" w:hAnsi="Calibri"/>
                <w:sz w:val="16"/>
              </w:rPr>
              <w:t>Set by tier; frequent database protection plus full backups</w:t>
            </w:r>
          </w:p>
        </w:tc>
      </w:tr>
      <w:tr>
        <w:tc>
          <w:tcPr>
            <w:tcW w:type="dxa" w:w="2800"/>
            <w:vAlign w:val="center"/>
            <w:shd w:fill="F5F7F4"/>
            <w:tcMar>
              <w:top w:w="80" w:type="dxa"/>
              <w:start w:w="120" w:type="dxa"/>
              <w:bottom w:w="80" w:type="dxa"/>
              <w:end w:w="120" w:type="dxa"/>
            </w:tcMar>
          </w:tcPr>
          <w:p>
            <w:pPr>
              <w:spacing w:after="0"/>
            </w:pPr>
            <w:r>
              <w:rPr>
                <w:rFonts w:ascii="Calibri" w:hAnsi="Calibri"/>
                <w:sz w:val="16"/>
              </w:rPr>
              <w:t>Recovery time</w:t>
            </w:r>
          </w:p>
        </w:tc>
        <w:tc>
          <w:tcPr>
            <w:tcW w:type="dxa" w:w="6560"/>
            <w:vAlign w:val="center"/>
            <w:shd w:fill="F5F7F4"/>
            <w:tcMar>
              <w:top w:w="80" w:type="dxa"/>
              <w:start w:w="120" w:type="dxa"/>
              <w:bottom w:w="80" w:type="dxa"/>
              <w:end w:w="120" w:type="dxa"/>
            </w:tcMar>
          </w:tcPr>
          <w:p>
            <w:pPr>
              <w:spacing w:after="0"/>
            </w:pPr>
            <w:r>
              <w:rPr>
                <w:rFonts w:ascii="Calibri" w:hAnsi="Calibri"/>
                <w:sz w:val="16"/>
              </w:rPr>
              <w:t>Documented by tier and tested through restore</w:t>
            </w:r>
          </w:p>
        </w:tc>
      </w:tr>
      <w:tr>
        <w:tc>
          <w:tcPr>
            <w:tcW w:type="dxa" w:w="2800"/>
            <w:vAlign w:val="center"/>
            <w:tcMar>
              <w:top w:w="80" w:type="dxa"/>
              <w:start w:w="120" w:type="dxa"/>
              <w:bottom w:w="80" w:type="dxa"/>
              <w:end w:w="120" w:type="dxa"/>
            </w:tcMar>
          </w:tcPr>
          <w:p>
            <w:pPr>
              <w:spacing w:after="0"/>
            </w:pPr>
            <w:r>
              <w:rPr>
                <w:rFonts w:ascii="Calibri" w:hAnsi="Calibri"/>
                <w:sz w:val="16"/>
              </w:rPr>
              <w:t>Capacity</w:t>
            </w:r>
          </w:p>
        </w:tc>
        <w:tc>
          <w:tcPr>
            <w:tcW w:type="dxa" w:w="6560"/>
            <w:vAlign w:val="center"/>
            <w:tcMar>
              <w:top w:w="80" w:type="dxa"/>
              <w:start w:w="120" w:type="dxa"/>
              <w:bottom w:w="80" w:type="dxa"/>
              <w:end w:w="120" w:type="dxa"/>
            </w:tcMar>
          </w:tcPr>
          <w:p>
            <w:pPr>
              <w:spacing w:after="0"/>
            </w:pPr>
            <w:r>
              <w:rPr>
                <w:rFonts w:ascii="Calibri" w:hAnsi="Calibri"/>
                <w:sz w:val="16"/>
              </w:rPr>
              <w:t>Plan limits for users, storage, video, SMS, exports and jobs</w:t>
            </w:r>
          </w:p>
        </w:tc>
      </w:tr>
      <w:tr>
        <w:tc>
          <w:tcPr>
            <w:tcW w:type="dxa" w:w="2800"/>
            <w:vAlign w:val="center"/>
            <w:shd w:fill="F5F7F4"/>
            <w:tcMar>
              <w:top w:w="80" w:type="dxa"/>
              <w:start w:w="120" w:type="dxa"/>
              <w:bottom w:w="80" w:type="dxa"/>
              <w:end w:w="120" w:type="dxa"/>
            </w:tcMar>
          </w:tcPr>
          <w:p>
            <w:pPr>
              <w:spacing w:after="0"/>
            </w:pPr>
            <w:r>
              <w:rPr>
                <w:rFonts w:ascii="Calibri" w:hAnsi="Calibri"/>
                <w:sz w:val="16"/>
              </w:rPr>
              <w:t>Exports</w:t>
            </w:r>
          </w:p>
        </w:tc>
        <w:tc>
          <w:tcPr>
            <w:tcW w:type="dxa" w:w="6560"/>
            <w:vAlign w:val="center"/>
            <w:shd w:fill="F5F7F4"/>
            <w:tcMar>
              <w:top w:w="80" w:type="dxa"/>
              <w:start w:w="120" w:type="dxa"/>
              <w:bottom w:w="80" w:type="dxa"/>
              <w:end w:w="120" w:type="dxa"/>
            </w:tcMar>
          </w:tcPr>
          <w:p>
            <w:pPr>
              <w:spacing w:after="0"/>
            </w:pPr>
            <w:r>
              <w:rPr>
                <w:rFonts w:ascii="Calibri" w:hAnsi="Calibri"/>
                <w:sz w:val="16"/>
              </w:rPr>
              <w:t>Large exports queued, access-controlled and expired</w:t>
            </w:r>
          </w:p>
        </w:tc>
      </w:tr>
    </w:tbl>
    <w:p/>
    <w:p>
      <w:pPr>
        <w:pStyle w:val="Heading2"/>
      </w:pPr>
      <w:r>
        <w:t>43.1 Cost governance</w:t>
      </w:r>
    </w:p>
    <w:p>
      <w:pPr>
        <w:pStyle w:val="ListBullet"/>
      </w:pPr>
      <w:r>
        <w:t>Track infrastructure, storage, video, SMS, email and payment costs by tenant where possible.</w:t>
      </w:r>
    </w:p>
    <w:p>
      <w:pPr>
        <w:pStyle w:val="ListBullet"/>
      </w:pPr>
      <w:r>
        <w:t>Plans define fair-use limits and transparent add-ons.</w:t>
      </w:r>
    </w:p>
    <w:p>
      <w:pPr>
        <w:pStyle w:val="ListBullet"/>
      </w:pPr>
      <w:r>
        <w:t>Warn administrators before storage or message limits.</w:t>
      </w:r>
    </w:p>
    <w:p>
      <w:pPr>
        <w:pStyle w:val="ListBullet"/>
      </w:pPr>
      <w:r>
        <w:t>Emergency communication has a documented escalation if limits apply.</w:t>
      </w:r>
    </w:p>
    <w:p>
      <w:pPr>
        <w:pStyle w:val="ListBullet"/>
      </w:pPr>
      <w:r>
        <w:t>Pricing covers onboarding, migration, support, maintenance, security and providers.</w:t>
      </w:r>
    </w:p>
    <w:p>
      <w:pPr>
        <w:pStyle w:val="Heading1"/>
      </w:pPr>
      <w:r>
        <w:t>44. Product governance, RACI and change control</w:t>
      </w:r>
    </w:p>
    <w:tbl>
      <w:tblPr>
        <w:tblStyle w:val="TableGrid"/>
        <w:tblW w:type="dxa" w:w="9360"/>
        <w:jc w:val="left"/>
        <w:tblLayout w:type="fixed"/>
        <w:tblLook w:firstColumn="1" w:firstRow="1" w:lastColumn="0" w:lastRow="0" w:noHBand="0" w:noVBand="1" w:val="04A0"/>
        <w:tblInd w:w="120" w:type="dxa"/>
      </w:tblPr>
      <w:tblGrid>
        <w:gridCol w:w="1850"/>
        <w:gridCol w:w="1400"/>
        <w:gridCol w:w="1600"/>
        <w:gridCol w:w="1450"/>
        <w:gridCol w:w="1500"/>
        <w:gridCol w:w="1560"/>
      </w:tblGrid>
      <w:tr>
        <w:tc>
          <w:tcPr>
            <w:tcW w:type="dxa" w:w="1850"/>
            <w:shd w:fill="173C31"/>
            <w:tcMar>
              <w:top w:w="80" w:type="dxa"/>
              <w:start w:w="120" w:type="dxa"/>
              <w:bottom w:w="80" w:type="dxa"/>
              <w:end w:w="120" w:type="dxa"/>
            </w:tcMar>
          </w:tcPr>
          <w:p>
            <w:r>
              <w:rPr>
                <w:b/>
                <w:color w:val="FFFFFF"/>
                <w:sz w:val="17"/>
              </w:rPr>
              <w:t>Activity</w:t>
            </w:r>
          </w:p>
        </w:tc>
        <w:tc>
          <w:tcPr>
            <w:tcW w:type="dxa" w:w="1400"/>
            <w:shd w:fill="173C31"/>
            <w:tcMar>
              <w:top w:w="80" w:type="dxa"/>
              <w:start w:w="120" w:type="dxa"/>
              <w:bottom w:w="80" w:type="dxa"/>
              <w:end w:w="120" w:type="dxa"/>
            </w:tcMar>
          </w:tcPr>
          <w:p>
            <w:r>
              <w:rPr>
                <w:b/>
                <w:color w:val="FFFFFF"/>
                <w:sz w:val="17"/>
              </w:rPr>
              <w:t>Avatar product</w:t>
            </w:r>
          </w:p>
        </w:tc>
        <w:tc>
          <w:tcPr>
            <w:tcW w:type="dxa" w:w="1600"/>
            <w:shd w:fill="173C31"/>
            <w:tcMar>
              <w:top w:w="80" w:type="dxa"/>
              <w:start w:w="120" w:type="dxa"/>
              <w:bottom w:w="80" w:type="dxa"/>
              <w:end w:w="120" w:type="dxa"/>
            </w:tcMar>
          </w:tcPr>
          <w:p>
            <w:r>
              <w:rPr>
                <w:b/>
                <w:color w:val="FFFFFF"/>
                <w:sz w:val="17"/>
              </w:rPr>
              <w:t>Engineering</w:t>
            </w:r>
          </w:p>
        </w:tc>
        <w:tc>
          <w:tcPr>
            <w:tcW w:type="dxa" w:w="1450"/>
            <w:shd w:fill="173C31"/>
            <w:tcMar>
              <w:top w:w="80" w:type="dxa"/>
              <w:start w:w="120" w:type="dxa"/>
              <w:bottom w:w="80" w:type="dxa"/>
              <w:end w:w="120" w:type="dxa"/>
            </w:tcMar>
          </w:tcPr>
          <w:p>
            <w:r>
              <w:rPr>
                <w:b/>
                <w:color w:val="FFFFFF"/>
                <w:sz w:val="17"/>
              </w:rPr>
              <w:t>Principal</w:t>
            </w:r>
          </w:p>
        </w:tc>
        <w:tc>
          <w:tcPr>
            <w:tcW w:type="dxa" w:w="1500"/>
            <w:shd w:fill="173C31"/>
            <w:tcMar>
              <w:top w:w="80" w:type="dxa"/>
              <w:start w:w="120" w:type="dxa"/>
              <w:bottom w:w="80" w:type="dxa"/>
              <w:end w:w="120" w:type="dxa"/>
            </w:tcMar>
          </w:tcPr>
          <w:p>
            <w:r>
              <w:rPr>
                <w:b/>
                <w:color w:val="FFFFFF"/>
                <w:sz w:val="17"/>
              </w:rPr>
              <w:t>School admin</w:t>
            </w:r>
          </w:p>
        </w:tc>
        <w:tc>
          <w:tcPr>
            <w:tcW w:type="dxa" w:w="1560"/>
            <w:shd w:fill="173C31"/>
            <w:tcMar>
              <w:top w:w="80" w:type="dxa"/>
              <w:start w:w="120" w:type="dxa"/>
              <w:bottom w:w="80" w:type="dxa"/>
              <w:end w:w="120" w:type="dxa"/>
            </w:tcMar>
          </w:tcPr>
          <w:p>
            <w:r>
              <w:rPr>
                <w:b/>
                <w:color w:val="FFFFFF"/>
                <w:sz w:val="17"/>
              </w:rPr>
              <w:t>Module owner</w:t>
            </w:r>
          </w:p>
        </w:tc>
      </w:tr>
      <w:tr>
        <w:tc>
          <w:tcPr>
            <w:tcW w:type="dxa" w:w="1850"/>
            <w:vAlign w:val="center"/>
            <w:tcMar>
              <w:top w:w="80" w:type="dxa"/>
              <w:start w:w="120" w:type="dxa"/>
              <w:bottom w:w="80" w:type="dxa"/>
              <w:end w:w="120" w:type="dxa"/>
            </w:tcMar>
          </w:tcPr>
          <w:p>
            <w:pPr>
              <w:spacing w:after="0"/>
            </w:pPr>
            <w:r>
              <w:rPr>
                <w:rFonts w:ascii="Calibri" w:hAnsi="Calibri"/>
                <w:sz w:val="16"/>
              </w:rPr>
              <w:t>Roadmap</w:t>
            </w:r>
          </w:p>
        </w:tc>
        <w:tc>
          <w:tcPr>
            <w:tcW w:type="dxa" w:w="1400"/>
            <w:vAlign w:val="center"/>
            <w:tcMar>
              <w:top w:w="80" w:type="dxa"/>
              <w:start w:w="120" w:type="dxa"/>
              <w:bottom w:w="80" w:type="dxa"/>
              <w:end w:w="120" w:type="dxa"/>
            </w:tcMar>
          </w:tcPr>
          <w:p>
            <w:pPr>
              <w:spacing w:after="0"/>
            </w:pPr>
            <w:r>
              <w:rPr>
                <w:rFonts w:ascii="Calibri" w:hAnsi="Calibri"/>
                <w:sz w:val="16"/>
              </w:rPr>
              <w:t>A/R</w:t>
            </w:r>
          </w:p>
        </w:tc>
        <w:tc>
          <w:tcPr>
            <w:tcW w:type="dxa" w:w="1600"/>
            <w:vAlign w:val="center"/>
            <w:tcMar>
              <w:top w:w="80" w:type="dxa"/>
              <w:start w:w="120" w:type="dxa"/>
              <w:bottom w:w="80" w:type="dxa"/>
              <w:end w:w="120" w:type="dxa"/>
            </w:tcMar>
          </w:tcPr>
          <w:p>
            <w:pPr>
              <w:spacing w:after="0"/>
            </w:pPr>
            <w:r>
              <w:rPr>
                <w:rFonts w:ascii="Calibri" w:hAnsi="Calibri"/>
                <w:sz w:val="16"/>
              </w:rPr>
              <w:t>C</w:t>
            </w:r>
          </w:p>
        </w:tc>
        <w:tc>
          <w:tcPr>
            <w:tcW w:type="dxa" w:w="1450"/>
            <w:vAlign w:val="center"/>
            <w:tcMar>
              <w:top w:w="80" w:type="dxa"/>
              <w:start w:w="120" w:type="dxa"/>
              <w:bottom w:w="80" w:type="dxa"/>
              <w:end w:w="120" w:type="dxa"/>
            </w:tcMar>
          </w:tcPr>
          <w:p>
            <w:pPr>
              <w:spacing w:after="0"/>
            </w:pPr>
            <w:r>
              <w:rPr>
                <w:rFonts w:ascii="Calibri" w:hAnsi="Calibri"/>
                <w:sz w:val="16"/>
              </w:rPr>
              <w:t>C</w:t>
            </w:r>
          </w:p>
        </w:tc>
        <w:tc>
          <w:tcPr>
            <w:tcW w:type="dxa" w:w="1500"/>
            <w:vAlign w:val="center"/>
            <w:tcMar>
              <w:top w:w="80" w:type="dxa"/>
              <w:start w:w="120" w:type="dxa"/>
              <w:bottom w:w="80" w:type="dxa"/>
              <w:end w:w="120" w:type="dxa"/>
            </w:tcMar>
          </w:tcPr>
          <w:p>
            <w:pPr>
              <w:spacing w:after="0"/>
            </w:pPr>
            <w:r>
              <w:rPr>
                <w:rFonts w:ascii="Calibri" w:hAnsi="Calibri"/>
                <w:sz w:val="16"/>
              </w:rPr>
              <w:t>C</w:t>
            </w:r>
          </w:p>
        </w:tc>
        <w:tc>
          <w:tcPr>
            <w:tcW w:type="dxa" w:w="1560"/>
            <w:vAlign w:val="center"/>
            <w:tcMar>
              <w:top w:w="80" w:type="dxa"/>
              <w:start w:w="120" w:type="dxa"/>
              <w:bottom w:w="80" w:type="dxa"/>
              <w:end w:w="120" w:type="dxa"/>
            </w:tcMar>
          </w:tcPr>
          <w:p>
            <w:pPr>
              <w:spacing w:after="0"/>
            </w:pPr>
            <w:r>
              <w:rPr>
                <w:rFonts w:ascii="Calibri" w:hAnsi="Calibri"/>
                <w:sz w:val="16"/>
              </w:rPr>
              <w:t>C</w:t>
            </w:r>
          </w:p>
        </w:tc>
      </w:tr>
      <w:tr>
        <w:tc>
          <w:tcPr>
            <w:tcW w:type="dxa" w:w="1850"/>
            <w:vAlign w:val="center"/>
            <w:shd w:fill="F5F7F4"/>
            <w:tcMar>
              <w:top w:w="80" w:type="dxa"/>
              <w:start w:w="120" w:type="dxa"/>
              <w:bottom w:w="80" w:type="dxa"/>
              <w:end w:w="120" w:type="dxa"/>
            </w:tcMar>
          </w:tcPr>
          <w:p>
            <w:pPr>
              <w:spacing w:after="0"/>
            </w:pPr>
            <w:r>
              <w:rPr>
                <w:rFonts w:ascii="Calibri" w:hAnsi="Calibri"/>
                <w:sz w:val="16"/>
              </w:rPr>
              <w:t>Architecture</w:t>
            </w:r>
          </w:p>
        </w:tc>
        <w:tc>
          <w:tcPr>
            <w:tcW w:type="dxa" w:w="1400"/>
            <w:vAlign w:val="center"/>
            <w:shd w:fill="F5F7F4"/>
            <w:tcMar>
              <w:top w:w="80" w:type="dxa"/>
              <w:start w:w="120" w:type="dxa"/>
              <w:bottom w:w="80" w:type="dxa"/>
              <w:end w:w="120" w:type="dxa"/>
            </w:tcMar>
          </w:tcPr>
          <w:p>
            <w:pPr>
              <w:spacing w:after="0"/>
            </w:pPr>
            <w:r>
              <w:rPr>
                <w:rFonts w:ascii="Calibri" w:hAnsi="Calibri"/>
                <w:sz w:val="16"/>
              </w:rPr>
              <w:t>C</w:t>
            </w:r>
          </w:p>
        </w:tc>
        <w:tc>
          <w:tcPr>
            <w:tcW w:type="dxa" w:w="1600"/>
            <w:vAlign w:val="center"/>
            <w:shd w:fill="F5F7F4"/>
            <w:tcMar>
              <w:top w:w="80" w:type="dxa"/>
              <w:start w:w="120" w:type="dxa"/>
              <w:bottom w:w="80" w:type="dxa"/>
              <w:end w:w="120" w:type="dxa"/>
            </w:tcMar>
          </w:tcPr>
          <w:p>
            <w:pPr>
              <w:spacing w:after="0"/>
            </w:pPr>
            <w:r>
              <w:rPr>
                <w:rFonts w:ascii="Calibri" w:hAnsi="Calibri"/>
                <w:sz w:val="16"/>
              </w:rPr>
              <w:t>A/R</w:t>
            </w:r>
          </w:p>
        </w:tc>
        <w:tc>
          <w:tcPr>
            <w:tcW w:type="dxa" w:w="1450"/>
            <w:vAlign w:val="center"/>
            <w:shd w:fill="F5F7F4"/>
            <w:tcMar>
              <w:top w:w="80" w:type="dxa"/>
              <w:start w:w="120" w:type="dxa"/>
              <w:bottom w:w="80" w:type="dxa"/>
              <w:end w:w="120" w:type="dxa"/>
            </w:tcMar>
          </w:tcPr>
          <w:p>
            <w:pPr>
              <w:spacing w:after="0"/>
            </w:pPr>
            <w:r>
              <w:rPr>
                <w:rFonts w:ascii="Calibri" w:hAnsi="Calibri"/>
                <w:sz w:val="16"/>
              </w:rPr>
              <w:t>I</w:t>
            </w:r>
          </w:p>
        </w:tc>
        <w:tc>
          <w:tcPr>
            <w:tcW w:type="dxa" w:w="1500"/>
            <w:vAlign w:val="center"/>
            <w:shd w:fill="F5F7F4"/>
            <w:tcMar>
              <w:top w:w="80" w:type="dxa"/>
              <w:start w:w="120" w:type="dxa"/>
              <w:bottom w:w="80" w:type="dxa"/>
              <w:end w:w="120" w:type="dxa"/>
            </w:tcMar>
          </w:tcPr>
          <w:p>
            <w:pPr>
              <w:spacing w:after="0"/>
            </w:pPr>
            <w:r>
              <w:rPr>
                <w:rFonts w:ascii="Calibri" w:hAnsi="Calibri"/>
                <w:sz w:val="16"/>
              </w:rPr>
              <w:t>I</w:t>
            </w:r>
          </w:p>
        </w:tc>
        <w:tc>
          <w:tcPr>
            <w:tcW w:type="dxa" w:w="1560"/>
            <w:vAlign w:val="center"/>
            <w:shd w:fill="F5F7F4"/>
            <w:tcMar>
              <w:top w:w="80" w:type="dxa"/>
              <w:start w:w="120" w:type="dxa"/>
              <w:bottom w:w="80" w:type="dxa"/>
              <w:end w:w="120" w:type="dxa"/>
            </w:tcMar>
          </w:tcPr>
          <w:p>
            <w:pPr>
              <w:spacing w:after="0"/>
            </w:pPr>
            <w:r>
              <w:rPr>
                <w:rFonts w:ascii="Calibri" w:hAnsi="Calibri"/>
                <w:sz w:val="16"/>
              </w:rPr>
              <w:t>I</w:t>
            </w:r>
          </w:p>
        </w:tc>
      </w:tr>
      <w:tr>
        <w:tc>
          <w:tcPr>
            <w:tcW w:type="dxa" w:w="1850"/>
            <w:vAlign w:val="center"/>
            <w:tcMar>
              <w:top w:w="80" w:type="dxa"/>
              <w:start w:w="120" w:type="dxa"/>
              <w:bottom w:w="80" w:type="dxa"/>
              <w:end w:w="120" w:type="dxa"/>
            </w:tcMar>
          </w:tcPr>
          <w:p>
            <w:pPr>
              <w:spacing w:after="0"/>
            </w:pPr>
            <w:r>
              <w:rPr>
                <w:rFonts w:ascii="Calibri" w:hAnsi="Calibri"/>
                <w:sz w:val="16"/>
              </w:rPr>
              <w:t>Tenant configuration</w:t>
            </w:r>
          </w:p>
        </w:tc>
        <w:tc>
          <w:tcPr>
            <w:tcW w:type="dxa" w:w="1400"/>
            <w:vAlign w:val="center"/>
            <w:tcMar>
              <w:top w:w="80" w:type="dxa"/>
              <w:start w:w="120" w:type="dxa"/>
              <w:bottom w:w="80" w:type="dxa"/>
              <w:end w:w="120" w:type="dxa"/>
            </w:tcMar>
          </w:tcPr>
          <w:p>
            <w:pPr>
              <w:spacing w:after="0"/>
            </w:pPr>
            <w:r>
              <w:rPr>
                <w:rFonts w:ascii="Calibri" w:hAnsi="Calibri"/>
                <w:sz w:val="16"/>
              </w:rPr>
              <w:t>C</w:t>
            </w:r>
          </w:p>
        </w:tc>
        <w:tc>
          <w:tcPr>
            <w:tcW w:type="dxa" w:w="1600"/>
            <w:vAlign w:val="center"/>
            <w:tcMar>
              <w:top w:w="80" w:type="dxa"/>
              <w:start w:w="120" w:type="dxa"/>
              <w:bottom w:w="80" w:type="dxa"/>
              <w:end w:w="120" w:type="dxa"/>
            </w:tcMar>
          </w:tcPr>
          <w:p>
            <w:pPr>
              <w:spacing w:after="0"/>
            </w:pPr>
            <w:r>
              <w:rPr>
                <w:rFonts w:ascii="Calibri" w:hAnsi="Calibri"/>
                <w:sz w:val="16"/>
              </w:rPr>
              <w:t>I</w:t>
            </w:r>
          </w:p>
        </w:tc>
        <w:tc>
          <w:tcPr>
            <w:tcW w:type="dxa" w:w="1450"/>
            <w:vAlign w:val="center"/>
            <w:tcMar>
              <w:top w:w="80" w:type="dxa"/>
              <w:start w:w="120" w:type="dxa"/>
              <w:bottom w:w="80" w:type="dxa"/>
              <w:end w:w="120" w:type="dxa"/>
            </w:tcMar>
          </w:tcPr>
          <w:p>
            <w:pPr>
              <w:spacing w:after="0"/>
            </w:pPr>
            <w:r>
              <w:rPr>
                <w:rFonts w:ascii="Calibri" w:hAnsi="Calibri"/>
                <w:sz w:val="16"/>
              </w:rPr>
              <w:t>A</w:t>
            </w:r>
          </w:p>
        </w:tc>
        <w:tc>
          <w:tcPr>
            <w:tcW w:type="dxa" w:w="1500"/>
            <w:vAlign w:val="center"/>
            <w:tcMar>
              <w:top w:w="80" w:type="dxa"/>
              <w:start w:w="120" w:type="dxa"/>
              <w:bottom w:w="80" w:type="dxa"/>
              <w:end w:w="120" w:type="dxa"/>
            </w:tcMar>
          </w:tcPr>
          <w:p>
            <w:pPr>
              <w:spacing w:after="0"/>
            </w:pPr>
            <w:r>
              <w:rPr>
                <w:rFonts w:ascii="Calibri" w:hAnsi="Calibri"/>
                <w:sz w:val="16"/>
              </w:rPr>
              <w:t>R</w:t>
            </w:r>
          </w:p>
        </w:tc>
        <w:tc>
          <w:tcPr>
            <w:tcW w:type="dxa" w:w="1560"/>
            <w:vAlign w:val="center"/>
            <w:tcMar>
              <w:top w:w="80" w:type="dxa"/>
              <w:start w:w="120" w:type="dxa"/>
              <w:bottom w:w="80" w:type="dxa"/>
              <w:end w:w="120" w:type="dxa"/>
            </w:tcMar>
          </w:tcPr>
          <w:p>
            <w:pPr>
              <w:spacing w:after="0"/>
            </w:pPr>
            <w:r>
              <w:rPr>
                <w:rFonts w:ascii="Calibri" w:hAnsi="Calibri"/>
                <w:sz w:val="16"/>
              </w:rPr>
              <w:t>C</w:t>
            </w:r>
          </w:p>
        </w:tc>
      </w:tr>
      <w:tr>
        <w:tc>
          <w:tcPr>
            <w:tcW w:type="dxa" w:w="1850"/>
            <w:vAlign w:val="center"/>
            <w:shd w:fill="F5F7F4"/>
            <w:tcMar>
              <w:top w:w="80" w:type="dxa"/>
              <w:start w:w="120" w:type="dxa"/>
              <w:bottom w:w="80" w:type="dxa"/>
              <w:end w:w="120" w:type="dxa"/>
            </w:tcMar>
          </w:tcPr>
          <w:p>
            <w:pPr>
              <w:spacing w:after="0"/>
            </w:pPr>
            <w:r>
              <w:rPr>
                <w:rFonts w:ascii="Calibri" w:hAnsi="Calibri"/>
                <w:sz w:val="16"/>
              </w:rPr>
              <w:t>High-risk roles</w:t>
            </w:r>
          </w:p>
        </w:tc>
        <w:tc>
          <w:tcPr>
            <w:tcW w:type="dxa" w:w="1400"/>
            <w:vAlign w:val="center"/>
            <w:shd w:fill="F5F7F4"/>
            <w:tcMar>
              <w:top w:w="80" w:type="dxa"/>
              <w:start w:w="120" w:type="dxa"/>
              <w:bottom w:w="80" w:type="dxa"/>
              <w:end w:w="120" w:type="dxa"/>
            </w:tcMar>
          </w:tcPr>
          <w:p>
            <w:pPr>
              <w:spacing w:after="0"/>
            </w:pPr>
            <w:r>
              <w:rPr>
                <w:rFonts w:ascii="Calibri" w:hAnsi="Calibri"/>
                <w:sz w:val="16"/>
              </w:rPr>
              <w:t>I</w:t>
            </w:r>
          </w:p>
        </w:tc>
        <w:tc>
          <w:tcPr>
            <w:tcW w:type="dxa" w:w="1600"/>
            <w:vAlign w:val="center"/>
            <w:shd w:fill="F5F7F4"/>
            <w:tcMar>
              <w:top w:w="80" w:type="dxa"/>
              <w:start w:w="120" w:type="dxa"/>
              <w:bottom w:w="80" w:type="dxa"/>
              <w:end w:w="120" w:type="dxa"/>
            </w:tcMar>
          </w:tcPr>
          <w:p>
            <w:pPr>
              <w:spacing w:after="0"/>
            </w:pPr>
            <w:r>
              <w:rPr>
                <w:rFonts w:ascii="Calibri" w:hAnsi="Calibri"/>
                <w:sz w:val="16"/>
              </w:rPr>
              <w:t>I</w:t>
            </w:r>
          </w:p>
        </w:tc>
        <w:tc>
          <w:tcPr>
            <w:tcW w:type="dxa" w:w="1450"/>
            <w:vAlign w:val="center"/>
            <w:shd w:fill="F5F7F4"/>
            <w:tcMar>
              <w:top w:w="80" w:type="dxa"/>
              <w:start w:w="120" w:type="dxa"/>
              <w:bottom w:w="80" w:type="dxa"/>
              <w:end w:w="120" w:type="dxa"/>
            </w:tcMar>
          </w:tcPr>
          <w:p>
            <w:pPr>
              <w:spacing w:after="0"/>
            </w:pPr>
            <w:r>
              <w:rPr>
                <w:rFonts w:ascii="Calibri" w:hAnsi="Calibri"/>
                <w:sz w:val="16"/>
              </w:rPr>
              <w:t>A/R</w:t>
            </w:r>
          </w:p>
        </w:tc>
        <w:tc>
          <w:tcPr>
            <w:tcW w:type="dxa" w:w="1500"/>
            <w:vAlign w:val="center"/>
            <w:shd w:fill="F5F7F4"/>
            <w:tcMar>
              <w:top w:w="80" w:type="dxa"/>
              <w:start w:w="120" w:type="dxa"/>
              <w:bottom w:w="80" w:type="dxa"/>
              <w:end w:w="120" w:type="dxa"/>
            </w:tcMar>
          </w:tcPr>
          <w:p>
            <w:pPr>
              <w:spacing w:after="0"/>
            </w:pPr>
            <w:r>
              <w:rPr>
                <w:rFonts w:ascii="Calibri" w:hAnsi="Calibri"/>
                <w:sz w:val="16"/>
              </w:rPr>
              <w:t>C</w:t>
            </w:r>
          </w:p>
        </w:tc>
        <w:tc>
          <w:tcPr>
            <w:tcW w:type="dxa" w:w="1560"/>
            <w:vAlign w:val="center"/>
            <w:shd w:fill="F5F7F4"/>
            <w:tcMar>
              <w:top w:w="80" w:type="dxa"/>
              <w:start w:w="120" w:type="dxa"/>
              <w:bottom w:w="80" w:type="dxa"/>
              <w:end w:w="120" w:type="dxa"/>
            </w:tcMar>
          </w:tcPr>
          <w:p>
            <w:pPr>
              <w:spacing w:after="0"/>
            </w:pPr>
            <w:r>
              <w:rPr>
                <w:rFonts w:ascii="Calibri" w:hAnsi="Calibri"/>
                <w:sz w:val="16"/>
              </w:rPr>
              <w:t>I</w:t>
            </w:r>
          </w:p>
        </w:tc>
      </w:tr>
      <w:tr>
        <w:tc>
          <w:tcPr>
            <w:tcW w:type="dxa" w:w="1850"/>
            <w:vAlign w:val="center"/>
            <w:tcMar>
              <w:top w:w="80" w:type="dxa"/>
              <w:start w:w="120" w:type="dxa"/>
              <w:bottom w:w="80" w:type="dxa"/>
              <w:end w:w="120" w:type="dxa"/>
            </w:tcMar>
          </w:tcPr>
          <w:p>
            <w:pPr>
              <w:spacing w:after="0"/>
            </w:pPr>
            <w:r>
              <w:rPr>
                <w:rFonts w:ascii="Calibri" w:hAnsi="Calibri"/>
                <w:sz w:val="16"/>
              </w:rPr>
              <w:t>Academic publication</w:t>
            </w:r>
          </w:p>
        </w:tc>
        <w:tc>
          <w:tcPr>
            <w:tcW w:type="dxa" w:w="1400"/>
            <w:vAlign w:val="center"/>
            <w:tcMar>
              <w:top w:w="80" w:type="dxa"/>
              <w:start w:w="120" w:type="dxa"/>
              <w:bottom w:w="80" w:type="dxa"/>
              <w:end w:w="120" w:type="dxa"/>
            </w:tcMar>
          </w:tcPr>
          <w:p>
            <w:pPr>
              <w:spacing w:after="0"/>
            </w:pPr>
            <w:r>
              <w:rPr>
                <w:rFonts w:ascii="Calibri" w:hAnsi="Calibri"/>
                <w:sz w:val="16"/>
              </w:rPr>
              <w:t>I</w:t>
            </w:r>
          </w:p>
        </w:tc>
        <w:tc>
          <w:tcPr>
            <w:tcW w:type="dxa" w:w="1600"/>
            <w:vAlign w:val="center"/>
            <w:tcMar>
              <w:top w:w="80" w:type="dxa"/>
              <w:start w:w="120" w:type="dxa"/>
              <w:bottom w:w="80" w:type="dxa"/>
              <w:end w:w="120" w:type="dxa"/>
            </w:tcMar>
          </w:tcPr>
          <w:p>
            <w:pPr>
              <w:spacing w:after="0"/>
            </w:pPr>
            <w:r>
              <w:rPr>
                <w:rFonts w:ascii="Calibri" w:hAnsi="Calibri"/>
                <w:sz w:val="16"/>
              </w:rPr>
              <w:t>C</w:t>
            </w:r>
          </w:p>
        </w:tc>
        <w:tc>
          <w:tcPr>
            <w:tcW w:type="dxa" w:w="1450"/>
            <w:vAlign w:val="center"/>
            <w:tcMar>
              <w:top w:w="80" w:type="dxa"/>
              <w:start w:w="120" w:type="dxa"/>
              <w:bottom w:w="80" w:type="dxa"/>
              <w:end w:w="120" w:type="dxa"/>
            </w:tcMar>
          </w:tcPr>
          <w:p>
            <w:pPr>
              <w:spacing w:after="0"/>
            </w:pPr>
            <w:r>
              <w:rPr>
                <w:rFonts w:ascii="Calibri" w:hAnsi="Calibri"/>
                <w:sz w:val="16"/>
              </w:rPr>
              <w:t>A</w:t>
            </w:r>
          </w:p>
        </w:tc>
        <w:tc>
          <w:tcPr>
            <w:tcW w:type="dxa" w:w="1500"/>
            <w:vAlign w:val="center"/>
            <w:tcMar>
              <w:top w:w="80" w:type="dxa"/>
              <w:start w:w="120" w:type="dxa"/>
              <w:bottom w:w="80" w:type="dxa"/>
              <w:end w:w="120" w:type="dxa"/>
            </w:tcMar>
          </w:tcPr>
          <w:p>
            <w:pPr>
              <w:spacing w:after="0"/>
            </w:pPr>
            <w:r>
              <w:rPr>
                <w:rFonts w:ascii="Calibri" w:hAnsi="Calibri"/>
                <w:sz w:val="16"/>
              </w:rPr>
              <w:t>C</w:t>
            </w:r>
          </w:p>
        </w:tc>
        <w:tc>
          <w:tcPr>
            <w:tcW w:type="dxa" w:w="1560"/>
            <w:vAlign w:val="center"/>
            <w:tcMar>
              <w:top w:w="80" w:type="dxa"/>
              <w:start w:w="120" w:type="dxa"/>
              <w:bottom w:w="80" w:type="dxa"/>
              <w:end w:w="120" w:type="dxa"/>
            </w:tcMar>
          </w:tcPr>
          <w:p>
            <w:pPr>
              <w:spacing w:after="0"/>
            </w:pPr>
            <w:r>
              <w:rPr>
                <w:rFonts w:ascii="Calibri" w:hAnsi="Calibri"/>
                <w:sz w:val="16"/>
              </w:rPr>
              <w:t>R</w:t>
            </w:r>
          </w:p>
        </w:tc>
      </w:tr>
      <w:tr>
        <w:tc>
          <w:tcPr>
            <w:tcW w:type="dxa" w:w="1850"/>
            <w:vAlign w:val="center"/>
            <w:shd w:fill="F5F7F4"/>
            <w:tcMar>
              <w:top w:w="80" w:type="dxa"/>
              <w:start w:w="120" w:type="dxa"/>
              <w:bottom w:w="80" w:type="dxa"/>
              <w:end w:w="120" w:type="dxa"/>
            </w:tcMar>
          </w:tcPr>
          <w:p>
            <w:pPr>
              <w:spacing w:after="0"/>
            </w:pPr>
            <w:r>
              <w:rPr>
                <w:rFonts w:ascii="Calibri" w:hAnsi="Calibri"/>
                <w:sz w:val="16"/>
              </w:rPr>
              <w:t>Finance reconciliation</w:t>
            </w:r>
          </w:p>
        </w:tc>
        <w:tc>
          <w:tcPr>
            <w:tcW w:type="dxa" w:w="1400"/>
            <w:vAlign w:val="center"/>
            <w:shd w:fill="F5F7F4"/>
            <w:tcMar>
              <w:top w:w="80" w:type="dxa"/>
              <w:start w:w="120" w:type="dxa"/>
              <w:bottom w:w="80" w:type="dxa"/>
              <w:end w:w="120" w:type="dxa"/>
            </w:tcMar>
          </w:tcPr>
          <w:p>
            <w:pPr>
              <w:spacing w:after="0"/>
            </w:pPr>
            <w:r>
              <w:rPr>
                <w:rFonts w:ascii="Calibri" w:hAnsi="Calibri"/>
                <w:sz w:val="16"/>
              </w:rPr>
              <w:t>I</w:t>
            </w:r>
          </w:p>
        </w:tc>
        <w:tc>
          <w:tcPr>
            <w:tcW w:type="dxa" w:w="1600"/>
            <w:vAlign w:val="center"/>
            <w:shd w:fill="F5F7F4"/>
            <w:tcMar>
              <w:top w:w="80" w:type="dxa"/>
              <w:start w:w="120" w:type="dxa"/>
              <w:bottom w:w="80" w:type="dxa"/>
              <w:end w:w="120" w:type="dxa"/>
            </w:tcMar>
          </w:tcPr>
          <w:p>
            <w:pPr>
              <w:spacing w:after="0"/>
            </w:pPr>
            <w:r>
              <w:rPr>
                <w:rFonts w:ascii="Calibri" w:hAnsi="Calibri"/>
                <w:sz w:val="16"/>
              </w:rPr>
              <w:t>C</w:t>
            </w:r>
          </w:p>
        </w:tc>
        <w:tc>
          <w:tcPr>
            <w:tcW w:type="dxa" w:w="1450"/>
            <w:vAlign w:val="center"/>
            <w:shd w:fill="F5F7F4"/>
            <w:tcMar>
              <w:top w:w="80" w:type="dxa"/>
              <w:start w:w="120" w:type="dxa"/>
              <w:bottom w:w="80" w:type="dxa"/>
              <w:end w:w="120" w:type="dxa"/>
            </w:tcMar>
          </w:tcPr>
          <w:p>
            <w:pPr>
              <w:spacing w:after="0"/>
            </w:pPr>
            <w:r>
              <w:rPr>
                <w:rFonts w:ascii="Calibri" w:hAnsi="Calibri"/>
                <w:sz w:val="16"/>
              </w:rPr>
              <w:t>A</w:t>
            </w:r>
          </w:p>
        </w:tc>
        <w:tc>
          <w:tcPr>
            <w:tcW w:type="dxa" w:w="1500"/>
            <w:vAlign w:val="center"/>
            <w:shd w:fill="F5F7F4"/>
            <w:tcMar>
              <w:top w:w="80" w:type="dxa"/>
              <w:start w:w="120" w:type="dxa"/>
              <w:bottom w:w="80" w:type="dxa"/>
              <w:end w:w="120" w:type="dxa"/>
            </w:tcMar>
          </w:tcPr>
          <w:p>
            <w:pPr>
              <w:spacing w:after="0"/>
            </w:pPr>
            <w:r>
              <w:rPr>
                <w:rFonts w:ascii="Calibri" w:hAnsi="Calibri"/>
                <w:sz w:val="16"/>
              </w:rPr>
              <w:t>C</w:t>
            </w:r>
          </w:p>
        </w:tc>
        <w:tc>
          <w:tcPr>
            <w:tcW w:type="dxa" w:w="1560"/>
            <w:vAlign w:val="center"/>
            <w:shd w:fill="F5F7F4"/>
            <w:tcMar>
              <w:top w:w="80" w:type="dxa"/>
              <w:start w:w="120" w:type="dxa"/>
              <w:bottom w:w="80" w:type="dxa"/>
              <w:end w:w="120" w:type="dxa"/>
            </w:tcMar>
          </w:tcPr>
          <w:p>
            <w:pPr>
              <w:spacing w:after="0"/>
            </w:pPr>
            <w:r>
              <w:rPr>
                <w:rFonts w:ascii="Calibri" w:hAnsi="Calibri"/>
                <w:sz w:val="16"/>
              </w:rPr>
              <w:t>R</w:t>
            </w:r>
          </w:p>
        </w:tc>
      </w:tr>
      <w:tr>
        <w:tc>
          <w:tcPr>
            <w:tcW w:type="dxa" w:w="1850"/>
            <w:vAlign w:val="center"/>
            <w:tcMar>
              <w:top w:w="80" w:type="dxa"/>
              <w:start w:w="120" w:type="dxa"/>
              <w:bottom w:w="80" w:type="dxa"/>
              <w:end w:w="120" w:type="dxa"/>
            </w:tcMar>
          </w:tcPr>
          <w:p>
            <w:pPr>
              <w:spacing w:after="0"/>
            </w:pPr>
            <w:r>
              <w:rPr>
                <w:rFonts w:ascii="Calibri" w:hAnsi="Calibri"/>
                <w:sz w:val="16"/>
              </w:rPr>
              <w:t>Platform incident</w:t>
            </w:r>
          </w:p>
        </w:tc>
        <w:tc>
          <w:tcPr>
            <w:tcW w:type="dxa" w:w="1400"/>
            <w:vAlign w:val="center"/>
            <w:tcMar>
              <w:top w:w="80" w:type="dxa"/>
              <w:start w:w="120" w:type="dxa"/>
              <w:bottom w:w="80" w:type="dxa"/>
              <w:end w:w="120" w:type="dxa"/>
            </w:tcMar>
          </w:tcPr>
          <w:p>
            <w:pPr>
              <w:spacing w:after="0"/>
            </w:pPr>
            <w:r>
              <w:rPr>
                <w:rFonts w:ascii="Calibri" w:hAnsi="Calibri"/>
                <w:sz w:val="16"/>
              </w:rPr>
              <w:t>A</w:t>
            </w:r>
          </w:p>
        </w:tc>
        <w:tc>
          <w:tcPr>
            <w:tcW w:type="dxa" w:w="1600"/>
            <w:vAlign w:val="center"/>
            <w:tcMar>
              <w:top w:w="80" w:type="dxa"/>
              <w:start w:w="120" w:type="dxa"/>
              <w:bottom w:w="80" w:type="dxa"/>
              <w:end w:w="120" w:type="dxa"/>
            </w:tcMar>
          </w:tcPr>
          <w:p>
            <w:pPr>
              <w:spacing w:after="0"/>
            </w:pPr>
            <w:r>
              <w:rPr>
                <w:rFonts w:ascii="Calibri" w:hAnsi="Calibri"/>
                <w:sz w:val="16"/>
              </w:rPr>
              <w:t>R</w:t>
            </w:r>
          </w:p>
        </w:tc>
        <w:tc>
          <w:tcPr>
            <w:tcW w:type="dxa" w:w="1450"/>
            <w:vAlign w:val="center"/>
            <w:tcMar>
              <w:top w:w="80" w:type="dxa"/>
              <w:start w:w="120" w:type="dxa"/>
              <w:bottom w:w="80" w:type="dxa"/>
              <w:end w:w="120" w:type="dxa"/>
            </w:tcMar>
          </w:tcPr>
          <w:p>
            <w:pPr>
              <w:spacing w:after="0"/>
            </w:pPr>
            <w:r>
              <w:rPr>
                <w:rFonts w:ascii="Calibri" w:hAnsi="Calibri"/>
                <w:sz w:val="16"/>
              </w:rPr>
              <w:t>I</w:t>
            </w:r>
          </w:p>
        </w:tc>
        <w:tc>
          <w:tcPr>
            <w:tcW w:type="dxa" w:w="1500"/>
            <w:vAlign w:val="center"/>
            <w:tcMar>
              <w:top w:w="80" w:type="dxa"/>
              <w:start w:w="120" w:type="dxa"/>
              <w:bottom w:w="80" w:type="dxa"/>
              <w:end w:w="120" w:type="dxa"/>
            </w:tcMar>
          </w:tcPr>
          <w:p>
            <w:pPr>
              <w:spacing w:after="0"/>
            </w:pPr>
            <w:r>
              <w:rPr>
                <w:rFonts w:ascii="Calibri" w:hAnsi="Calibri"/>
                <w:sz w:val="16"/>
              </w:rPr>
              <w:t>I</w:t>
            </w:r>
          </w:p>
        </w:tc>
        <w:tc>
          <w:tcPr>
            <w:tcW w:type="dxa" w:w="1560"/>
            <w:vAlign w:val="center"/>
            <w:tcMar>
              <w:top w:w="80" w:type="dxa"/>
              <w:start w:w="120" w:type="dxa"/>
              <w:bottom w:w="80" w:type="dxa"/>
              <w:end w:w="120" w:type="dxa"/>
            </w:tcMar>
          </w:tcPr>
          <w:p>
            <w:pPr>
              <w:spacing w:after="0"/>
            </w:pPr>
            <w:r>
              <w:rPr>
                <w:rFonts w:ascii="Calibri" w:hAnsi="Calibri"/>
                <w:sz w:val="16"/>
              </w:rPr>
              <w:t>I</w:t>
            </w:r>
          </w:p>
        </w:tc>
      </w:tr>
      <w:tr>
        <w:tc>
          <w:tcPr>
            <w:tcW w:type="dxa" w:w="1850"/>
            <w:vAlign w:val="center"/>
            <w:shd w:fill="F5F7F4"/>
            <w:tcMar>
              <w:top w:w="80" w:type="dxa"/>
              <w:start w:w="120" w:type="dxa"/>
              <w:bottom w:w="80" w:type="dxa"/>
              <w:end w:w="120" w:type="dxa"/>
            </w:tcMar>
          </w:tcPr>
          <w:p>
            <w:pPr>
              <w:spacing w:after="0"/>
            </w:pPr>
            <w:r>
              <w:rPr>
                <w:rFonts w:ascii="Calibri" w:hAnsi="Calibri"/>
                <w:sz w:val="16"/>
              </w:rPr>
              <w:t>School data quality</w:t>
            </w:r>
          </w:p>
        </w:tc>
        <w:tc>
          <w:tcPr>
            <w:tcW w:type="dxa" w:w="1400"/>
            <w:vAlign w:val="center"/>
            <w:shd w:fill="F5F7F4"/>
            <w:tcMar>
              <w:top w:w="80" w:type="dxa"/>
              <w:start w:w="120" w:type="dxa"/>
              <w:bottom w:w="80" w:type="dxa"/>
              <w:end w:w="120" w:type="dxa"/>
            </w:tcMar>
          </w:tcPr>
          <w:p>
            <w:pPr>
              <w:spacing w:after="0"/>
            </w:pPr>
            <w:r>
              <w:rPr>
                <w:rFonts w:ascii="Calibri" w:hAnsi="Calibri"/>
                <w:sz w:val="16"/>
              </w:rPr>
              <w:t>C</w:t>
            </w:r>
          </w:p>
        </w:tc>
        <w:tc>
          <w:tcPr>
            <w:tcW w:type="dxa" w:w="1600"/>
            <w:vAlign w:val="center"/>
            <w:shd w:fill="F5F7F4"/>
            <w:tcMar>
              <w:top w:w="80" w:type="dxa"/>
              <w:start w:w="120" w:type="dxa"/>
              <w:bottom w:w="80" w:type="dxa"/>
              <w:end w:w="120" w:type="dxa"/>
            </w:tcMar>
          </w:tcPr>
          <w:p>
            <w:pPr>
              <w:spacing w:after="0"/>
            </w:pPr>
            <w:r>
              <w:rPr>
                <w:rFonts w:ascii="Calibri" w:hAnsi="Calibri"/>
                <w:sz w:val="16"/>
              </w:rPr>
              <w:t>I</w:t>
            </w:r>
          </w:p>
        </w:tc>
        <w:tc>
          <w:tcPr>
            <w:tcW w:type="dxa" w:w="1450"/>
            <w:vAlign w:val="center"/>
            <w:shd w:fill="F5F7F4"/>
            <w:tcMar>
              <w:top w:w="80" w:type="dxa"/>
              <w:start w:w="120" w:type="dxa"/>
              <w:bottom w:w="80" w:type="dxa"/>
              <w:end w:w="120" w:type="dxa"/>
            </w:tcMar>
          </w:tcPr>
          <w:p>
            <w:pPr>
              <w:spacing w:after="0"/>
            </w:pPr>
            <w:r>
              <w:rPr>
                <w:rFonts w:ascii="Calibri" w:hAnsi="Calibri"/>
                <w:sz w:val="16"/>
              </w:rPr>
              <w:t>A</w:t>
            </w:r>
          </w:p>
        </w:tc>
        <w:tc>
          <w:tcPr>
            <w:tcW w:type="dxa" w:w="1500"/>
            <w:vAlign w:val="center"/>
            <w:shd w:fill="F5F7F4"/>
            <w:tcMar>
              <w:top w:w="80" w:type="dxa"/>
              <w:start w:w="120" w:type="dxa"/>
              <w:bottom w:w="80" w:type="dxa"/>
              <w:end w:w="120" w:type="dxa"/>
            </w:tcMar>
          </w:tcPr>
          <w:p>
            <w:pPr>
              <w:spacing w:after="0"/>
            </w:pPr>
            <w:r>
              <w:rPr>
                <w:rFonts w:ascii="Calibri" w:hAnsi="Calibri"/>
                <w:sz w:val="16"/>
              </w:rPr>
              <w:t>R</w:t>
            </w:r>
          </w:p>
        </w:tc>
        <w:tc>
          <w:tcPr>
            <w:tcW w:type="dxa" w:w="1560"/>
            <w:vAlign w:val="center"/>
            <w:shd w:fill="F5F7F4"/>
            <w:tcMar>
              <w:top w:w="80" w:type="dxa"/>
              <w:start w:w="120" w:type="dxa"/>
              <w:bottom w:w="80" w:type="dxa"/>
              <w:end w:w="120" w:type="dxa"/>
            </w:tcMar>
          </w:tcPr>
          <w:p>
            <w:pPr>
              <w:spacing w:after="0"/>
            </w:pPr>
            <w:r>
              <w:rPr>
                <w:rFonts w:ascii="Calibri" w:hAnsi="Calibri"/>
                <w:sz w:val="16"/>
              </w:rPr>
              <w:t>R</w:t>
            </w:r>
          </w:p>
        </w:tc>
      </w:tr>
      <w:tr>
        <w:tc>
          <w:tcPr>
            <w:tcW w:type="dxa" w:w="1850"/>
            <w:vAlign w:val="center"/>
            <w:tcMar>
              <w:top w:w="80" w:type="dxa"/>
              <w:start w:w="120" w:type="dxa"/>
              <w:bottom w:w="80" w:type="dxa"/>
              <w:end w:w="120" w:type="dxa"/>
            </w:tcMar>
          </w:tcPr>
          <w:p>
            <w:pPr>
              <w:spacing w:after="0"/>
            </w:pPr>
            <w:r>
              <w:rPr>
                <w:rFonts w:ascii="Calibri" w:hAnsi="Calibri"/>
                <w:sz w:val="16"/>
              </w:rPr>
              <w:t>Go-live</w:t>
            </w:r>
          </w:p>
        </w:tc>
        <w:tc>
          <w:tcPr>
            <w:tcW w:type="dxa" w:w="1400"/>
            <w:vAlign w:val="center"/>
            <w:tcMar>
              <w:top w:w="80" w:type="dxa"/>
              <w:start w:w="120" w:type="dxa"/>
              <w:bottom w:w="80" w:type="dxa"/>
              <w:end w:w="120" w:type="dxa"/>
            </w:tcMar>
          </w:tcPr>
          <w:p>
            <w:pPr>
              <w:spacing w:after="0"/>
            </w:pPr>
            <w:r>
              <w:rPr>
                <w:rFonts w:ascii="Calibri" w:hAnsi="Calibri"/>
                <w:sz w:val="16"/>
              </w:rPr>
              <w:t>C</w:t>
            </w:r>
          </w:p>
        </w:tc>
        <w:tc>
          <w:tcPr>
            <w:tcW w:type="dxa" w:w="1600"/>
            <w:vAlign w:val="center"/>
            <w:tcMar>
              <w:top w:w="80" w:type="dxa"/>
              <w:start w:w="120" w:type="dxa"/>
              <w:bottom w:w="80" w:type="dxa"/>
              <w:end w:w="120" w:type="dxa"/>
            </w:tcMar>
          </w:tcPr>
          <w:p>
            <w:pPr>
              <w:spacing w:after="0"/>
            </w:pPr>
            <w:r>
              <w:rPr>
                <w:rFonts w:ascii="Calibri" w:hAnsi="Calibri"/>
                <w:sz w:val="16"/>
              </w:rPr>
              <w:t>C</w:t>
            </w:r>
          </w:p>
        </w:tc>
        <w:tc>
          <w:tcPr>
            <w:tcW w:type="dxa" w:w="1450"/>
            <w:vAlign w:val="center"/>
            <w:tcMar>
              <w:top w:w="80" w:type="dxa"/>
              <w:start w:w="120" w:type="dxa"/>
              <w:bottom w:w="80" w:type="dxa"/>
              <w:end w:w="120" w:type="dxa"/>
            </w:tcMar>
          </w:tcPr>
          <w:p>
            <w:pPr>
              <w:spacing w:after="0"/>
            </w:pPr>
            <w:r>
              <w:rPr>
                <w:rFonts w:ascii="Calibri" w:hAnsi="Calibri"/>
                <w:sz w:val="16"/>
              </w:rPr>
              <w:t>A</w:t>
            </w:r>
          </w:p>
        </w:tc>
        <w:tc>
          <w:tcPr>
            <w:tcW w:type="dxa" w:w="1500"/>
            <w:vAlign w:val="center"/>
            <w:tcMar>
              <w:top w:w="80" w:type="dxa"/>
              <w:start w:w="120" w:type="dxa"/>
              <w:bottom w:w="80" w:type="dxa"/>
              <w:end w:w="120" w:type="dxa"/>
            </w:tcMar>
          </w:tcPr>
          <w:p>
            <w:pPr>
              <w:spacing w:after="0"/>
            </w:pPr>
            <w:r>
              <w:rPr>
                <w:rFonts w:ascii="Calibri" w:hAnsi="Calibri"/>
                <w:sz w:val="16"/>
              </w:rPr>
              <w:t>R</w:t>
            </w:r>
          </w:p>
        </w:tc>
        <w:tc>
          <w:tcPr>
            <w:tcW w:type="dxa" w:w="1560"/>
            <w:vAlign w:val="center"/>
            <w:tcMar>
              <w:top w:w="80" w:type="dxa"/>
              <w:start w:w="120" w:type="dxa"/>
              <w:bottom w:w="80" w:type="dxa"/>
              <w:end w:w="120" w:type="dxa"/>
            </w:tcMar>
          </w:tcPr>
          <w:p>
            <w:pPr>
              <w:spacing w:after="0"/>
            </w:pPr>
            <w:r>
              <w:rPr>
                <w:rFonts w:ascii="Calibri" w:hAnsi="Calibri"/>
                <w:sz w:val="16"/>
              </w:rPr>
              <w:t>R</w:t>
            </w:r>
          </w:p>
        </w:tc>
      </w:tr>
    </w:tbl>
    <w:p/>
    <w:p>
      <w:r>
        <w:t>A = accountable; R = responsible; C = consulted; I = informed. Each onboarding assigns real people.</w:t>
      </w:r>
    </w:p>
    <w:p>
      <w:pPr>
        <w:pStyle w:val="Heading2"/>
      </w:pPr>
      <w:r>
        <w:t>44.1 Change control</w:t>
      </w:r>
    </w:p>
    <w:p>
      <w:pPr>
        <w:pStyle w:val="ListNumber"/>
        <w:numPr>
          <w:ilvl w:val="0"/>
          <w:numId w:val="30"/>
        </w:numPr>
      </w:pPr>
      <w:r>
        <w:t>Submit problem, affected roles and urgency.</w:t>
      </w:r>
    </w:p>
    <w:p>
      <w:pPr>
        <w:pStyle w:val="ListNumber"/>
        <w:numPr>
          <w:ilvl w:val="0"/>
          <w:numId w:val="30"/>
        </w:numPr>
      </w:pPr>
      <w:r>
        <w:t>Assess privacy, security, academic, financial, migration and support impact.</w:t>
      </w:r>
    </w:p>
    <w:p>
      <w:pPr>
        <w:pStyle w:val="ListNumber"/>
        <w:numPr>
          <w:ilvl w:val="0"/>
          <w:numId w:val="30"/>
        </w:numPr>
      </w:pPr>
      <w:r>
        <w:t>Classify as configuration, standard product or custom work.</w:t>
      </w:r>
    </w:p>
    <w:p>
      <w:pPr>
        <w:pStyle w:val="ListNumber"/>
        <w:numPr>
          <w:ilvl w:val="0"/>
          <w:numId w:val="30"/>
        </w:numPr>
      </w:pPr>
      <w:r>
        <w:t>Approve scope, cost, acceptance and rollout owner.</w:t>
      </w:r>
    </w:p>
    <w:p>
      <w:pPr>
        <w:pStyle w:val="ListNumber"/>
        <w:numPr>
          <w:ilvl w:val="0"/>
          <w:numId w:val="30"/>
        </w:numPr>
      </w:pPr>
      <w:r>
        <w:t>Build and test with synthetic data.</w:t>
      </w:r>
    </w:p>
    <w:p>
      <w:pPr>
        <w:pStyle w:val="ListNumber"/>
        <w:numPr>
          <w:ilvl w:val="0"/>
          <w:numId w:val="30"/>
        </w:numPr>
      </w:pPr>
      <w:r>
        <w:t>Release and update specification, training and support.</w:t>
      </w:r>
    </w:p>
    <w:p>
      <w:pPr>
        <w:pStyle w:val="Heading1"/>
      </w:pPr>
      <w:r>
        <w:t>45. Expanded production acceptance gate</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173C31"/>
            <w:tcMar>
              <w:top w:w="80" w:type="dxa"/>
              <w:start w:w="120" w:type="dxa"/>
              <w:bottom w:w="80" w:type="dxa"/>
              <w:end w:w="120" w:type="dxa"/>
            </w:tcMar>
          </w:tcPr>
          <w:p>
            <w:r>
              <w:rPr>
                <w:b/>
                <w:color w:val="FFFFFF"/>
                <w:sz w:val="17"/>
              </w:rPr>
              <w:t>Gate</w:t>
            </w:r>
          </w:p>
        </w:tc>
        <w:tc>
          <w:tcPr>
            <w:tcW w:type="dxa" w:w="7560"/>
            <w:shd w:fill="173C31"/>
            <w:tcMar>
              <w:top w:w="80" w:type="dxa"/>
              <w:start w:w="120" w:type="dxa"/>
              <w:bottom w:w="80" w:type="dxa"/>
              <w:end w:w="120" w:type="dxa"/>
            </w:tcMar>
          </w:tcPr>
          <w:p>
            <w:r>
              <w:rPr>
                <w:b/>
                <w:color w:val="FFFFFF"/>
                <w:sz w:val="17"/>
              </w:rPr>
              <w:t>Required evidence</w:t>
            </w:r>
          </w:p>
        </w:tc>
      </w:tr>
      <w:tr>
        <w:tc>
          <w:tcPr>
            <w:tcW w:type="dxa" w:w="1800"/>
            <w:vAlign w:val="center"/>
            <w:tcMar>
              <w:top w:w="80" w:type="dxa"/>
              <w:start w:w="120" w:type="dxa"/>
              <w:bottom w:w="80" w:type="dxa"/>
              <w:end w:w="120" w:type="dxa"/>
            </w:tcMar>
          </w:tcPr>
          <w:p>
            <w:pPr>
              <w:spacing w:after="0"/>
            </w:pPr>
            <w:r>
              <w:rPr>
                <w:rFonts w:ascii="Calibri" w:hAnsi="Calibri"/>
                <w:sz w:val="16"/>
              </w:rPr>
              <w:t>Product</w:t>
            </w:r>
          </w:p>
        </w:tc>
        <w:tc>
          <w:tcPr>
            <w:tcW w:type="dxa" w:w="7560"/>
            <w:vAlign w:val="center"/>
            <w:tcMar>
              <w:top w:w="80" w:type="dxa"/>
              <w:start w:w="120" w:type="dxa"/>
              <w:bottom w:w="80" w:type="dxa"/>
              <w:end w:w="120" w:type="dxa"/>
            </w:tcMar>
          </w:tcPr>
          <w:p>
            <w:pPr>
              <w:spacing w:after="0"/>
            </w:pPr>
            <w:r>
              <w:rPr>
                <w:rFonts w:ascii="Calibri" w:hAnsi="Calibri"/>
                <w:sz w:val="16"/>
              </w:rPr>
              <w:t>Approved scope, role workflows and gap register</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Identity</w:t>
            </w:r>
          </w:p>
        </w:tc>
        <w:tc>
          <w:tcPr>
            <w:tcW w:type="dxa" w:w="7560"/>
            <w:vAlign w:val="center"/>
            <w:shd w:fill="F5F7F4"/>
            <w:tcMar>
              <w:top w:w="80" w:type="dxa"/>
              <w:start w:w="120" w:type="dxa"/>
              <w:bottom w:w="80" w:type="dxa"/>
              <w:end w:w="120" w:type="dxa"/>
            </w:tcMar>
          </w:tcPr>
          <w:p>
            <w:pPr>
              <w:spacing w:after="0"/>
            </w:pPr>
            <w:r>
              <w:rPr>
                <w:rFonts w:ascii="Calibri" w:hAnsi="Calibri"/>
                <w:sz w:val="16"/>
              </w:rPr>
              <w:t>Invitations, MFA, recovery, revocation and offboarding tested</w:t>
            </w:r>
          </w:p>
        </w:tc>
      </w:tr>
      <w:tr>
        <w:tc>
          <w:tcPr>
            <w:tcW w:type="dxa" w:w="1800"/>
            <w:vAlign w:val="center"/>
            <w:tcMar>
              <w:top w:w="80" w:type="dxa"/>
              <w:start w:w="120" w:type="dxa"/>
              <w:bottom w:w="80" w:type="dxa"/>
              <w:end w:w="120" w:type="dxa"/>
            </w:tcMar>
          </w:tcPr>
          <w:p>
            <w:pPr>
              <w:spacing w:after="0"/>
            </w:pPr>
            <w:r>
              <w:rPr>
                <w:rFonts w:ascii="Calibri" w:hAnsi="Calibri"/>
                <w:sz w:val="16"/>
              </w:rPr>
              <w:t>Permissions</w:t>
            </w:r>
          </w:p>
        </w:tc>
        <w:tc>
          <w:tcPr>
            <w:tcW w:type="dxa" w:w="7560"/>
            <w:vAlign w:val="center"/>
            <w:tcMar>
              <w:top w:w="80" w:type="dxa"/>
              <w:start w:w="120" w:type="dxa"/>
              <w:bottom w:w="80" w:type="dxa"/>
              <w:end w:w="120" w:type="dxa"/>
            </w:tcMar>
          </w:tcPr>
          <w:p>
            <w:pPr>
              <w:spacing w:after="0"/>
            </w:pPr>
            <w:r>
              <w:rPr>
                <w:rFonts w:ascii="Calibri" w:hAnsi="Calibri"/>
                <w:sz w:val="16"/>
              </w:rPr>
              <w:t>Role and cross-tenant negative tests passed</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Data</w:t>
            </w:r>
          </w:p>
        </w:tc>
        <w:tc>
          <w:tcPr>
            <w:tcW w:type="dxa" w:w="7560"/>
            <w:vAlign w:val="center"/>
            <w:shd w:fill="F5F7F4"/>
            <w:tcMar>
              <w:top w:w="80" w:type="dxa"/>
              <w:start w:w="120" w:type="dxa"/>
              <w:bottom w:w="80" w:type="dxa"/>
              <w:end w:w="120" w:type="dxa"/>
            </w:tcMar>
          </w:tcPr>
          <w:p>
            <w:pPr>
              <w:spacing w:after="0"/>
            </w:pPr>
            <w:r>
              <w:rPr>
                <w:rFonts w:ascii="Calibri" w:hAnsi="Calibri"/>
                <w:sz w:val="16"/>
              </w:rPr>
              <w:t>Dictionary, imports, validation, retention and correction approved</w:t>
            </w:r>
          </w:p>
        </w:tc>
      </w:tr>
      <w:tr>
        <w:tc>
          <w:tcPr>
            <w:tcW w:type="dxa" w:w="1800"/>
            <w:vAlign w:val="center"/>
            <w:tcMar>
              <w:top w:w="80" w:type="dxa"/>
              <w:start w:w="120" w:type="dxa"/>
              <w:bottom w:w="80" w:type="dxa"/>
              <w:end w:w="120" w:type="dxa"/>
            </w:tcMar>
          </w:tcPr>
          <w:p>
            <w:pPr>
              <w:spacing w:after="0"/>
            </w:pPr>
            <w:r>
              <w:rPr>
                <w:rFonts w:ascii="Calibri" w:hAnsi="Calibri"/>
                <w:sz w:val="16"/>
              </w:rPr>
              <w:t>Academics</w:t>
            </w:r>
          </w:p>
        </w:tc>
        <w:tc>
          <w:tcPr>
            <w:tcW w:type="dxa" w:w="7560"/>
            <w:vAlign w:val="center"/>
            <w:tcMar>
              <w:top w:w="80" w:type="dxa"/>
              <w:start w:w="120" w:type="dxa"/>
              <w:bottom w:w="80" w:type="dxa"/>
              <w:end w:w="120" w:type="dxa"/>
            </w:tcMar>
          </w:tcPr>
          <w:p>
            <w:pPr>
              <w:spacing w:after="0"/>
            </w:pPr>
            <w:r>
              <w:rPr>
                <w:rFonts w:ascii="Calibri" w:hAnsi="Calibri"/>
                <w:sz w:val="16"/>
              </w:rPr>
              <w:t>Calculation, moderation, publication and correction reproducible</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Finance</w:t>
            </w:r>
          </w:p>
        </w:tc>
        <w:tc>
          <w:tcPr>
            <w:tcW w:type="dxa" w:w="7560"/>
            <w:vAlign w:val="center"/>
            <w:shd w:fill="F5F7F4"/>
            <w:tcMar>
              <w:top w:w="80" w:type="dxa"/>
              <w:start w:w="120" w:type="dxa"/>
              <w:bottom w:w="80" w:type="dxa"/>
              <w:end w:w="120" w:type="dxa"/>
            </w:tcMar>
          </w:tcPr>
          <w:p>
            <w:pPr>
              <w:spacing w:after="0"/>
            </w:pPr>
            <w:r>
              <w:rPr>
                <w:rFonts w:ascii="Calibri" w:hAnsi="Calibri"/>
                <w:sz w:val="16"/>
              </w:rPr>
              <w:t>Charges, receipts, callbacks, reconciliation and reversals passed</w:t>
            </w:r>
          </w:p>
        </w:tc>
      </w:tr>
      <w:tr>
        <w:tc>
          <w:tcPr>
            <w:tcW w:type="dxa" w:w="1800"/>
            <w:vAlign w:val="center"/>
            <w:tcMar>
              <w:top w:w="80" w:type="dxa"/>
              <w:start w:w="120" w:type="dxa"/>
              <w:bottom w:w="80" w:type="dxa"/>
              <w:end w:w="120" w:type="dxa"/>
            </w:tcMar>
          </w:tcPr>
          <w:p>
            <w:pPr>
              <w:spacing w:after="0"/>
            </w:pPr>
            <w:r>
              <w:rPr>
                <w:rFonts w:ascii="Calibri" w:hAnsi="Calibri"/>
                <w:sz w:val="16"/>
              </w:rPr>
              <w:t>Communication</w:t>
            </w:r>
          </w:p>
        </w:tc>
        <w:tc>
          <w:tcPr>
            <w:tcW w:type="dxa" w:w="7560"/>
            <w:vAlign w:val="center"/>
            <w:tcMar>
              <w:top w:w="80" w:type="dxa"/>
              <w:start w:w="120" w:type="dxa"/>
              <w:bottom w:w="80" w:type="dxa"/>
              <w:end w:w="120" w:type="dxa"/>
            </w:tcMar>
          </w:tcPr>
          <w:p>
            <w:pPr>
              <w:spacing w:after="0"/>
            </w:pPr>
            <w:r>
              <w:rPr>
                <w:rFonts w:ascii="Calibri" w:hAnsi="Calibri"/>
                <w:sz w:val="16"/>
              </w:rPr>
              <w:t>Audience, templates, failure and emergency controls passed</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Files</w:t>
            </w:r>
          </w:p>
        </w:tc>
        <w:tc>
          <w:tcPr>
            <w:tcW w:type="dxa" w:w="7560"/>
            <w:vAlign w:val="center"/>
            <w:shd w:fill="F5F7F4"/>
            <w:tcMar>
              <w:top w:w="80" w:type="dxa"/>
              <w:start w:w="120" w:type="dxa"/>
              <w:bottom w:w="80" w:type="dxa"/>
              <w:end w:w="120" w:type="dxa"/>
            </w:tcMar>
          </w:tcPr>
          <w:p>
            <w:pPr>
              <w:spacing w:after="0"/>
            </w:pPr>
            <w:r>
              <w:rPr>
                <w:rFonts w:ascii="Calibri" w:hAnsi="Calibri"/>
                <w:sz w:val="16"/>
              </w:rPr>
              <w:t>Private access, scanning, expiry and retention passed</w:t>
            </w:r>
          </w:p>
        </w:tc>
      </w:tr>
      <w:tr>
        <w:tc>
          <w:tcPr>
            <w:tcW w:type="dxa" w:w="1800"/>
            <w:vAlign w:val="center"/>
            <w:tcMar>
              <w:top w:w="80" w:type="dxa"/>
              <w:start w:w="120" w:type="dxa"/>
              <w:bottom w:w="80" w:type="dxa"/>
              <w:end w:w="120" w:type="dxa"/>
            </w:tcMar>
          </w:tcPr>
          <w:p>
            <w:pPr>
              <w:spacing w:after="0"/>
            </w:pPr>
            <w:r>
              <w:rPr>
                <w:rFonts w:ascii="Calibri" w:hAnsi="Calibri"/>
                <w:sz w:val="16"/>
              </w:rPr>
              <w:t>Security</w:t>
            </w:r>
          </w:p>
        </w:tc>
        <w:tc>
          <w:tcPr>
            <w:tcW w:type="dxa" w:w="7560"/>
            <w:vAlign w:val="center"/>
            <w:tcMar>
              <w:top w:w="80" w:type="dxa"/>
              <w:start w:w="120" w:type="dxa"/>
              <w:bottom w:w="80" w:type="dxa"/>
              <w:end w:w="120" w:type="dxa"/>
            </w:tcMar>
          </w:tcPr>
          <w:p>
            <w:pPr>
              <w:spacing w:after="0"/>
            </w:pPr>
            <w:r>
              <w:rPr>
                <w:rFonts w:ascii="Calibri" w:hAnsi="Calibri"/>
                <w:sz w:val="16"/>
              </w:rPr>
              <w:t>Threat review, remediation, logging and incident runbook ready</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Reliability</w:t>
            </w:r>
          </w:p>
        </w:tc>
        <w:tc>
          <w:tcPr>
            <w:tcW w:type="dxa" w:w="7560"/>
            <w:vAlign w:val="center"/>
            <w:shd w:fill="F5F7F4"/>
            <w:tcMar>
              <w:top w:w="80" w:type="dxa"/>
              <w:start w:w="120" w:type="dxa"/>
              <w:bottom w:w="80" w:type="dxa"/>
              <w:end w:w="120" w:type="dxa"/>
            </w:tcMar>
          </w:tcPr>
          <w:p>
            <w:pPr>
              <w:spacing w:after="0"/>
            </w:pPr>
            <w:r>
              <w:rPr>
                <w:rFonts w:ascii="Calibri" w:hAnsi="Calibri"/>
                <w:sz w:val="16"/>
              </w:rPr>
              <w:t>Monitoring, backups, restore and rollback proven</w:t>
            </w:r>
          </w:p>
        </w:tc>
      </w:tr>
      <w:tr>
        <w:tc>
          <w:tcPr>
            <w:tcW w:type="dxa" w:w="1800"/>
            <w:vAlign w:val="center"/>
            <w:tcMar>
              <w:top w:w="80" w:type="dxa"/>
              <w:start w:w="120" w:type="dxa"/>
              <w:bottom w:w="80" w:type="dxa"/>
              <w:end w:w="120" w:type="dxa"/>
            </w:tcMar>
          </w:tcPr>
          <w:p>
            <w:pPr>
              <w:spacing w:after="0"/>
            </w:pPr>
            <w:r>
              <w:rPr>
                <w:rFonts w:ascii="Calibri" w:hAnsi="Calibri"/>
                <w:sz w:val="16"/>
              </w:rPr>
              <w:t>Operations</w:t>
            </w:r>
          </w:p>
        </w:tc>
        <w:tc>
          <w:tcPr>
            <w:tcW w:type="dxa" w:w="7560"/>
            <w:vAlign w:val="center"/>
            <w:tcMar>
              <w:top w:w="80" w:type="dxa"/>
              <w:start w:w="120" w:type="dxa"/>
              <w:bottom w:w="80" w:type="dxa"/>
              <w:end w:w="120" w:type="dxa"/>
            </w:tcMar>
          </w:tcPr>
          <w:p>
            <w:pPr>
              <w:spacing w:after="0"/>
            </w:pPr>
            <w:r>
              <w:rPr>
                <w:rFonts w:ascii="Calibri" w:hAnsi="Calibri"/>
                <w:sz w:val="16"/>
              </w:rPr>
              <w:t>Training, help, ownership, SLA and escalation active</w:t>
            </w:r>
          </w:p>
        </w:tc>
      </w:tr>
      <w:tr>
        <w:tc>
          <w:tcPr>
            <w:tcW w:type="dxa" w:w="1800"/>
            <w:vAlign w:val="center"/>
            <w:shd w:fill="F5F7F4"/>
            <w:tcMar>
              <w:top w:w="80" w:type="dxa"/>
              <w:start w:w="120" w:type="dxa"/>
              <w:bottom w:w="80" w:type="dxa"/>
              <w:end w:w="120" w:type="dxa"/>
            </w:tcMar>
          </w:tcPr>
          <w:p>
            <w:pPr>
              <w:spacing w:after="0"/>
            </w:pPr>
            <w:r>
              <w:rPr>
                <w:rFonts w:ascii="Calibri" w:hAnsi="Calibri"/>
                <w:sz w:val="16"/>
              </w:rPr>
              <w:t>Commercial/legal</w:t>
            </w:r>
          </w:p>
        </w:tc>
        <w:tc>
          <w:tcPr>
            <w:tcW w:type="dxa" w:w="7560"/>
            <w:vAlign w:val="center"/>
            <w:shd w:fill="F5F7F4"/>
            <w:tcMar>
              <w:top w:w="80" w:type="dxa"/>
              <w:start w:w="120" w:type="dxa"/>
              <w:bottom w:w="80" w:type="dxa"/>
              <w:end w:w="120" w:type="dxa"/>
            </w:tcMar>
          </w:tcPr>
          <w:p>
            <w:pPr>
              <w:spacing w:after="0"/>
            </w:pPr>
            <w:r>
              <w:rPr>
                <w:rFonts w:ascii="Calibri" w:hAnsi="Calibri"/>
                <w:sz w:val="16"/>
              </w:rPr>
              <w:t>Contract, plan, provider costs and Uganda review complete</w:t>
            </w:r>
          </w:p>
        </w:tc>
      </w:tr>
    </w:tbl>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0EE"/>
            <w:tcMar>
              <w:top w:w="80" w:type="dxa"/>
              <w:start w:w="120" w:type="dxa"/>
              <w:bottom w:w="80" w:type="dxa"/>
              <w:end w:w="120" w:type="dxa"/>
            </w:tcMar>
          </w:tcPr>
          <w:p>
            <w:pPr>
              <w:spacing w:after="60"/>
            </w:pPr>
            <w:r>
              <w:rPr>
                <w:b/>
                <w:color w:val="173C31"/>
              </w:rPr>
              <w:t>Release authority</w:t>
            </w:r>
          </w:p>
          <w:p>
            <w:pPr>
              <w:spacing w:after="0"/>
            </w:pPr>
            <w:r>
              <w:rPr>
                <w:sz w:val="19"/>
              </w:rPr>
              <w:t>No salesperson, designer or developer can declare a school production-ready alone. Go-live requires joint acceptance by Avatar Solutions product/engineering and the institution’s authorised owner.</w:t>
            </w:r>
          </w:p>
        </w:tc>
      </w:tr>
    </w:tbl>
    <w:p/>
    <w:p>
      <w:r>
        <w:br w:type="page"/>
      </w:r>
    </w:p>
    <w:p>
      <w:pPr>
        <w:pStyle w:val="Heading1"/>
      </w:pPr>
      <w:r>
        <w:t>Appendix A — Permission reference matrix</w:t>
      </w:r>
    </w:p>
    <w:tbl>
      <w:tblPr>
        <w:tblStyle w:val="TableGrid"/>
        <w:tblW w:type="dxa" w:w="9360"/>
        <w:jc w:val="left"/>
        <w:tblLayout w:type="fixed"/>
        <w:tblLook w:firstColumn="1" w:firstRow="1" w:lastColumn="0" w:lastRow="0" w:noHBand="0" w:noVBand="1" w:val="04A0"/>
        <w:tblInd w:w="120" w:type="dxa"/>
      </w:tblPr>
      <w:tblGrid>
        <w:gridCol w:w="2100"/>
        <w:gridCol w:w="850"/>
        <w:gridCol w:w="950"/>
        <w:gridCol w:w="900"/>
        <w:gridCol w:w="1150"/>
        <w:gridCol w:w="900"/>
        <w:gridCol w:w="1000"/>
        <w:gridCol w:w="1510"/>
      </w:tblGrid>
      <w:tr>
        <w:tc>
          <w:tcPr>
            <w:tcW w:type="dxa" w:w="2100"/>
            <w:shd w:fill="173C31"/>
            <w:tcMar>
              <w:top w:w="80" w:type="dxa"/>
              <w:start w:w="120" w:type="dxa"/>
              <w:bottom w:w="80" w:type="dxa"/>
              <w:end w:w="120" w:type="dxa"/>
            </w:tcMar>
          </w:tcPr>
          <w:p>
            <w:r>
              <w:rPr>
                <w:b/>
                <w:color w:val="FFFFFF"/>
                <w:sz w:val="17"/>
              </w:rPr>
              <w:t>Capability</w:t>
            </w:r>
          </w:p>
        </w:tc>
        <w:tc>
          <w:tcPr>
            <w:tcW w:type="dxa" w:w="850"/>
            <w:shd w:fill="173C31"/>
            <w:tcMar>
              <w:top w:w="80" w:type="dxa"/>
              <w:start w:w="120" w:type="dxa"/>
              <w:bottom w:w="80" w:type="dxa"/>
              <w:end w:w="120" w:type="dxa"/>
            </w:tcMar>
          </w:tcPr>
          <w:p>
            <w:r>
              <w:rPr>
                <w:b/>
                <w:color w:val="FFFFFF"/>
                <w:sz w:val="17"/>
              </w:rPr>
              <w:t>Platform</w:t>
            </w:r>
          </w:p>
        </w:tc>
        <w:tc>
          <w:tcPr>
            <w:tcW w:type="dxa" w:w="950"/>
            <w:shd w:fill="173C31"/>
            <w:tcMar>
              <w:top w:w="80" w:type="dxa"/>
              <w:start w:w="120" w:type="dxa"/>
              <w:bottom w:w="80" w:type="dxa"/>
              <w:end w:w="120" w:type="dxa"/>
            </w:tcMar>
          </w:tcPr>
          <w:p>
            <w:r>
              <w:rPr>
                <w:b/>
                <w:color w:val="FFFFFF"/>
                <w:sz w:val="17"/>
              </w:rPr>
              <w:t>Principal</w:t>
            </w:r>
          </w:p>
        </w:tc>
        <w:tc>
          <w:tcPr>
            <w:tcW w:type="dxa" w:w="900"/>
            <w:shd w:fill="173C31"/>
            <w:tcMar>
              <w:top w:w="80" w:type="dxa"/>
              <w:start w:w="120" w:type="dxa"/>
              <w:bottom w:w="80" w:type="dxa"/>
              <w:end w:w="120" w:type="dxa"/>
            </w:tcMar>
          </w:tcPr>
          <w:p>
            <w:r>
              <w:rPr>
                <w:b/>
                <w:color w:val="FFFFFF"/>
                <w:sz w:val="17"/>
              </w:rPr>
              <w:t>Admin</w:t>
            </w:r>
          </w:p>
        </w:tc>
        <w:tc>
          <w:tcPr>
            <w:tcW w:type="dxa" w:w="1150"/>
            <w:shd w:fill="173C31"/>
            <w:tcMar>
              <w:top w:w="80" w:type="dxa"/>
              <w:start w:w="120" w:type="dxa"/>
              <w:bottom w:w="80" w:type="dxa"/>
              <w:end w:w="120" w:type="dxa"/>
            </w:tcMar>
          </w:tcPr>
          <w:p>
            <w:r>
              <w:rPr>
                <w:b/>
                <w:color w:val="FFFFFF"/>
                <w:sz w:val="17"/>
              </w:rPr>
              <w:t>Teacher</w:t>
            </w:r>
          </w:p>
        </w:tc>
        <w:tc>
          <w:tcPr>
            <w:tcW w:type="dxa" w:w="900"/>
            <w:shd w:fill="173C31"/>
            <w:tcMar>
              <w:top w:w="80" w:type="dxa"/>
              <w:start w:w="120" w:type="dxa"/>
              <w:bottom w:w="80" w:type="dxa"/>
              <w:end w:w="120" w:type="dxa"/>
            </w:tcMar>
          </w:tcPr>
          <w:p>
            <w:r>
              <w:rPr>
                <w:b/>
                <w:color w:val="FFFFFF"/>
                <w:sz w:val="17"/>
              </w:rPr>
              <w:t>Student</w:t>
            </w:r>
          </w:p>
        </w:tc>
        <w:tc>
          <w:tcPr>
            <w:tcW w:type="dxa" w:w="1000"/>
            <w:shd w:fill="173C31"/>
            <w:tcMar>
              <w:top w:w="80" w:type="dxa"/>
              <w:start w:w="120" w:type="dxa"/>
              <w:bottom w:w="80" w:type="dxa"/>
              <w:end w:w="120" w:type="dxa"/>
            </w:tcMar>
          </w:tcPr>
          <w:p>
            <w:r>
              <w:rPr>
                <w:b/>
                <w:color w:val="FFFFFF"/>
                <w:sz w:val="17"/>
              </w:rPr>
              <w:t>Guardian</w:t>
            </w:r>
          </w:p>
        </w:tc>
        <w:tc>
          <w:tcPr>
            <w:tcW w:type="dxa" w:w="1510"/>
            <w:shd w:fill="173C31"/>
            <w:tcMar>
              <w:top w:w="80" w:type="dxa"/>
              <w:start w:w="120" w:type="dxa"/>
              <w:bottom w:w="80" w:type="dxa"/>
              <w:end w:w="120" w:type="dxa"/>
            </w:tcMar>
          </w:tcPr>
          <w:p>
            <w:r>
              <w:rPr>
                <w:b/>
                <w:color w:val="FFFFFF"/>
                <w:sz w:val="17"/>
              </w:rPr>
              <w:t>Bursar</w:t>
            </w:r>
          </w:p>
        </w:tc>
      </w:tr>
      <w:tr>
        <w:tc>
          <w:tcPr>
            <w:tcW w:type="dxa" w:w="2100"/>
            <w:vAlign w:val="center"/>
            <w:tcMar>
              <w:top w:w="80" w:type="dxa"/>
              <w:start w:w="120" w:type="dxa"/>
              <w:bottom w:w="80" w:type="dxa"/>
              <w:end w:w="120" w:type="dxa"/>
            </w:tcMar>
          </w:tcPr>
          <w:p>
            <w:pPr>
              <w:spacing w:after="0"/>
            </w:pPr>
            <w:r>
              <w:rPr>
                <w:rFonts w:ascii="Calibri" w:hAnsi="Calibri"/>
                <w:sz w:val="16"/>
              </w:rPr>
              <w:t>Manage tenants</w:t>
            </w:r>
          </w:p>
        </w:tc>
        <w:tc>
          <w:tcPr>
            <w:tcW w:type="dxa" w:w="850"/>
            <w:vAlign w:val="center"/>
            <w:tcMar>
              <w:top w:w="80" w:type="dxa"/>
              <w:start w:w="120" w:type="dxa"/>
              <w:bottom w:w="80" w:type="dxa"/>
              <w:end w:w="120" w:type="dxa"/>
            </w:tcMar>
          </w:tcPr>
          <w:p>
            <w:pPr>
              <w:spacing w:after="0"/>
            </w:pPr>
            <w:r>
              <w:rPr>
                <w:rFonts w:ascii="Calibri" w:hAnsi="Calibri"/>
                <w:sz w:val="16"/>
              </w:rPr>
              <w:t>A</w:t>
            </w:r>
          </w:p>
        </w:tc>
        <w:tc>
          <w:tcPr>
            <w:tcW w:type="dxa" w:w="950"/>
            <w:vAlign w:val="center"/>
            <w:tcMar>
              <w:top w:w="80" w:type="dxa"/>
              <w:start w:w="120" w:type="dxa"/>
              <w:bottom w:w="80" w:type="dxa"/>
              <w:end w:w="120" w:type="dxa"/>
            </w:tcMar>
          </w:tcPr>
          <w:p>
            <w:pPr>
              <w:spacing w:after="0"/>
            </w:pPr>
            <w:r>
              <w:rPr>
                <w:rFonts w:ascii="Calibri" w:hAnsi="Calibri"/>
                <w:sz w:val="16"/>
              </w:rPr>
              <w:t>—</w:t>
            </w:r>
          </w:p>
        </w:tc>
        <w:tc>
          <w:tcPr>
            <w:tcW w:type="dxa" w:w="900"/>
            <w:vAlign w:val="center"/>
            <w:tcMar>
              <w:top w:w="80" w:type="dxa"/>
              <w:start w:w="120" w:type="dxa"/>
              <w:bottom w:w="80" w:type="dxa"/>
              <w:end w:w="120" w:type="dxa"/>
            </w:tcMar>
          </w:tcPr>
          <w:p>
            <w:pPr>
              <w:spacing w:after="0"/>
            </w:pPr>
            <w:r>
              <w:rPr>
                <w:rFonts w:ascii="Calibri" w:hAnsi="Calibri"/>
                <w:sz w:val="16"/>
              </w:rPr>
              <w:t>—</w:t>
            </w:r>
          </w:p>
        </w:tc>
        <w:tc>
          <w:tcPr>
            <w:tcW w:type="dxa" w:w="1150"/>
            <w:vAlign w:val="center"/>
            <w:tcMar>
              <w:top w:w="80" w:type="dxa"/>
              <w:start w:w="120" w:type="dxa"/>
              <w:bottom w:w="80" w:type="dxa"/>
              <w:end w:w="120" w:type="dxa"/>
            </w:tcMar>
          </w:tcPr>
          <w:p>
            <w:pPr>
              <w:spacing w:after="0"/>
            </w:pPr>
            <w:r>
              <w:rPr>
                <w:rFonts w:ascii="Calibri" w:hAnsi="Calibri"/>
                <w:sz w:val="16"/>
              </w:rPr>
              <w:t>—</w:t>
            </w:r>
          </w:p>
        </w:tc>
        <w:tc>
          <w:tcPr>
            <w:tcW w:type="dxa" w:w="900"/>
            <w:vAlign w:val="center"/>
            <w:tcMar>
              <w:top w:w="80" w:type="dxa"/>
              <w:start w:w="120" w:type="dxa"/>
              <w:bottom w:w="80" w:type="dxa"/>
              <w:end w:w="120" w:type="dxa"/>
            </w:tcMar>
          </w:tcPr>
          <w:p>
            <w:pPr>
              <w:spacing w:after="0"/>
            </w:pPr>
            <w:r>
              <w:rPr>
                <w:rFonts w:ascii="Calibri" w:hAnsi="Calibri"/>
                <w:sz w:val="16"/>
              </w:rPr>
              <w:t>—</w:t>
            </w:r>
          </w:p>
        </w:tc>
        <w:tc>
          <w:tcPr>
            <w:tcW w:type="dxa" w:w="1000"/>
            <w:vAlign w:val="center"/>
            <w:tcMar>
              <w:top w:w="80" w:type="dxa"/>
              <w:start w:w="120" w:type="dxa"/>
              <w:bottom w:w="80" w:type="dxa"/>
              <w:end w:w="120" w:type="dxa"/>
            </w:tcMar>
          </w:tcPr>
          <w:p>
            <w:pPr>
              <w:spacing w:after="0"/>
            </w:pPr>
            <w:r>
              <w:rPr>
                <w:rFonts w:ascii="Calibri" w:hAnsi="Calibri"/>
                <w:sz w:val="16"/>
              </w:rPr>
              <w:t>—</w:t>
            </w:r>
          </w:p>
        </w:tc>
        <w:tc>
          <w:tcPr>
            <w:tcW w:type="dxa" w:w="1510"/>
            <w:vAlign w:val="center"/>
            <w:tcMar>
              <w:top w:w="80" w:type="dxa"/>
              <w:start w:w="120" w:type="dxa"/>
              <w:bottom w:w="80" w:type="dxa"/>
              <w:end w:w="120" w:type="dxa"/>
            </w:tcMar>
          </w:tcPr>
          <w:p>
            <w:pPr>
              <w:spacing w:after="0"/>
            </w:pPr>
            <w:r>
              <w:rPr>
                <w:rFonts w:ascii="Calibri" w:hAnsi="Calibri"/>
                <w:sz w:val="16"/>
              </w:rPr>
              <w:t>—</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Manage school settings</w:t>
            </w:r>
          </w:p>
        </w:tc>
        <w:tc>
          <w:tcPr>
            <w:tcW w:type="dxa" w:w="850"/>
            <w:vAlign w:val="center"/>
            <w:shd w:fill="F5F7F4"/>
            <w:tcMar>
              <w:top w:w="80" w:type="dxa"/>
              <w:start w:w="120" w:type="dxa"/>
              <w:bottom w:w="80" w:type="dxa"/>
              <w:end w:w="120" w:type="dxa"/>
            </w:tcMar>
          </w:tcPr>
          <w:p>
            <w:pPr>
              <w:spacing w:after="0"/>
            </w:pPr>
            <w:r>
              <w:rPr>
                <w:rFonts w:ascii="Calibri" w:hAnsi="Calibri"/>
                <w:sz w:val="16"/>
              </w:rPr>
              <w:t>S</w:t>
            </w:r>
          </w:p>
        </w:tc>
        <w:tc>
          <w:tcPr>
            <w:tcW w:type="dxa" w:w="950"/>
            <w:vAlign w:val="center"/>
            <w:shd w:fill="F5F7F4"/>
            <w:tcMar>
              <w:top w:w="80" w:type="dxa"/>
              <w:start w:w="120" w:type="dxa"/>
              <w:bottom w:w="80" w:type="dxa"/>
              <w:end w:w="120" w:type="dxa"/>
            </w:tcMar>
          </w:tcPr>
          <w:p>
            <w:pPr>
              <w:spacing w:after="0"/>
            </w:pPr>
            <w:r>
              <w:rPr>
                <w:rFonts w:ascii="Calibri" w:hAnsi="Calibri"/>
                <w:sz w:val="16"/>
              </w:rPr>
              <w:t>A</w:t>
            </w:r>
          </w:p>
        </w:tc>
        <w:tc>
          <w:tcPr>
            <w:tcW w:type="dxa" w:w="900"/>
            <w:vAlign w:val="center"/>
            <w:shd w:fill="F5F7F4"/>
            <w:tcMar>
              <w:top w:w="80" w:type="dxa"/>
              <w:start w:w="120" w:type="dxa"/>
              <w:bottom w:w="80" w:type="dxa"/>
              <w:end w:w="120" w:type="dxa"/>
            </w:tcMar>
          </w:tcPr>
          <w:p>
            <w:pPr>
              <w:spacing w:after="0"/>
            </w:pPr>
            <w:r>
              <w:rPr>
                <w:rFonts w:ascii="Calibri" w:hAnsi="Calibri"/>
                <w:sz w:val="16"/>
              </w:rPr>
              <w:t>W</w:t>
            </w:r>
          </w:p>
        </w:tc>
        <w:tc>
          <w:tcPr>
            <w:tcW w:type="dxa" w:w="1150"/>
            <w:vAlign w:val="center"/>
            <w:shd w:fill="F5F7F4"/>
            <w:tcMar>
              <w:top w:w="80" w:type="dxa"/>
              <w:start w:w="120" w:type="dxa"/>
              <w:bottom w:w="80" w:type="dxa"/>
              <w:end w:w="120" w:type="dxa"/>
            </w:tcMar>
          </w:tcPr>
          <w:p>
            <w:pPr>
              <w:spacing w:after="0"/>
            </w:pPr>
            <w:r>
              <w:rPr>
                <w:rFonts w:ascii="Calibri" w:hAnsi="Calibri"/>
                <w:sz w:val="16"/>
              </w:rPr>
              <w:t>—</w:t>
            </w:r>
          </w:p>
        </w:tc>
        <w:tc>
          <w:tcPr>
            <w:tcW w:type="dxa" w:w="900"/>
            <w:vAlign w:val="center"/>
            <w:shd w:fill="F5F7F4"/>
            <w:tcMar>
              <w:top w:w="80" w:type="dxa"/>
              <w:start w:w="120" w:type="dxa"/>
              <w:bottom w:w="80" w:type="dxa"/>
              <w:end w:w="120" w:type="dxa"/>
            </w:tcMar>
          </w:tcPr>
          <w:p>
            <w:pPr>
              <w:spacing w:after="0"/>
            </w:pPr>
            <w:r>
              <w:rPr>
                <w:rFonts w:ascii="Calibri" w:hAnsi="Calibri"/>
                <w:sz w:val="16"/>
              </w:rPr>
              <w:t>—</w:t>
            </w:r>
          </w:p>
        </w:tc>
        <w:tc>
          <w:tcPr>
            <w:tcW w:type="dxa" w:w="1000"/>
            <w:vAlign w:val="center"/>
            <w:shd w:fill="F5F7F4"/>
            <w:tcMar>
              <w:top w:w="80" w:type="dxa"/>
              <w:start w:w="120" w:type="dxa"/>
              <w:bottom w:w="80" w:type="dxa"/>
              <w:end w:w="120" w:type="dxa"/>
            </w:tcMar>
          </w:tcPr>
          <w:p>
            <w:pPr>
              <w:spacing w:after="0"/>
            </w:pPr>
            <w:r>
              <w:rPr>
                <w:rFonts w:ascii="Calibri" w:hAnsi="Calibri"/>
                <w:sz w:val="16"/>
              </w:rPr>
              <w:t>—</w:t>
            </w:r>
          </w:p>
        </w:tc>
        <w:tc>
          <w:tcPr>
            <w:tcW w:type="dxa" w:w="1510"/>
            <w:vAlign w:val="center"/>
            <w:shd w:fill="F5F7F4"/>
            <w:tcMar>
              <w:top w:w="80" w:type="dxa"/>
              <w:start w:w="120" w:type="dxa"/>
              <w:bottom w:w="80" w:type="dxa"/>
              <w:end w:w="120" w:type="dxa"/>
            </w:tcMar>
          </w:tcPr>
          <w:p>
            <w:pPr>
              <w:spacing w:after="0"/>
            </w:pPr>
            <w:r>
              <w:rPr>
                <w:rFonts w:ascii="Calibri" w:hAnsi="Calibri"/>
                <w:sz w:val="16"/>
              </w:rPr>
              <w:t>—</w:t>
            </w:r>
          </w:p>
        </w:tc>
      </w:tr>
      <w:tr>
        <w:tc>
          <w:tcPr>
            <w:tcW w:type="dxa" w:w="2100"/>
            <w:vAlign w:val="center"/>
            <w:tcMar>
              <w:top w:w="80" w:type="dxa"/>
              <w:start w:w="120" w:type="dxa"/>
              <w:bottom w:w="80" w:type="dxa"/>
              <w:end w:w="120" w:type="dxa"/>
            </w:tcMar>
          </w:tcPr>
          <w:p>
            <w:pPr>
              <w:spacing w:after="0"/>
            </w:pPr>
            <w:r>
              <w:rPr>
                <w:rFonts w:ascii="Calibri" w:hAnsi="Calibri"/>
                <w:sz w:val="16"/>
              </w:rPr>
              <w:t>Create users</w:t>
            </w:r>
          </w:p>
        </w:tc>
        <w:tc>
          <w:tcPr>
            <w:tcW w:type="dxa" w:w="850"/>
            <w:vAlign w:val="center"/>
            <w:tcMar>
              <w:top w:w="80" w:type="dxa"/>
              <w:start w:w="120" w:type="dxa"/>
              <w:bottom w:w="80" w:type="dxa"/>
              <w:end w:w="120" w:type="dxa"/>
            </w:tcMar>
          </w:tcPr>
          <w:p>
            <w:pPr>
              <w:spacing w:after="0"/>
            </w:pPr>
            <w:r>
              <w:rPr>
                <w:rFonts w:ascii="Calibri" w:hAnsi="Calibri"/>
                <w:sz w:val="16"/>
              </w:rPr>
              <w:t>S</w:t>
            </w:r>
          </w:p>
        </w:tc>
        <w:tc>
          <w:tcPr>
            <w:tcW w:type="dxa" w:w="950"/>
            <w:vAlign w:val="center"/>
            <w:tcMar>
              <w:top w:w="80" w:type="dxa"/>
              <w:start w:w="120" w:type="dxa"/>
              <w:bottom w:w="80" w:type="dxa"/>
              <w:end w:w="120" w:type="dxa"/>
            </w:tcMar>
          </w:tcPr>
          <w:p>
            <w:pPr>
              <w:spacing w:after="0"/>
            </w:pPr>
            <w:r>
              <w:rPr>
                <w:rFonts w:ascii="Calibri" w:hAnsi="Calibri"/>
                <w:sz w:val="16"/>
              </w:rPr>
              <w:t>A</w:t>
            </w:r>
          </w:p>
        </w:tc>
        <w:tc>
          <w:tcPr>
            <w:tcW w:type="dxa" w:w="900"/>
            <w:vAlign w:val="center"/>
            <w:tcMar>
              <w:top w:w="80" w:type="dxa"/>
              <w:start w:w="120" w:type="dxa"/>
              <w:bottom w:w="80" w:type="dxa"/>
              <w:end w:w="120" w:type="dxa"/>
            </w:tcMar>
          </w:tcPr>
          <w:p>
            <w:pPr>
              <w:spacing w:after="0"/>
            </w:pPr>
            <w:r>
              <w:rPr>
                <w:rFonts w:ascii="Calibri" w:hAnsi="Calibri"/>
                <w:sz w:val="16"/>
              </w:rPr>
              <w:t>W</w:t>
            </w:r>
          </w:p>
        </w:tc>
        <w:tc>
          <w:tcPr>
            <w:tcW w:type="dxa" w:w="1150"/>
            <w:vAlign w:val="center"/>
            <w:tcMar>
              <w:top w:w="80" w:type="dxa"/>
              <w:start w:w="120" w:type="dxa"/>
              <w:bottom w:w="80" w:type="dxa"/>
              <w:end w:w="120" w:type="dxa"/>
            </w:tcMar>
          </w:tcPr>
          <w:p>
            <w:pPr>
              <w:spacing w:after="0"/>
            </w:pPr>
            <w:r>
              <w:rPr>
                <w:rFonts w:ascii="Calibri" w:hAnsi="Calibri"/>
                <w:sz w:val="16"/>
              </w:rPr>
              <w:t>—</w:t>
            </w:r>
          </w:p>
        </w:tc>
        <w:tc>
          <w:tcPr>
            <w:tcW w:type="dxa" w:w="900"/>
            <w:vAlign w:val="center"/>
            <w:tcMar>
              <w:top w:w="80" w:type="dxa"/>
              <w:start w:w="120" w:type="dxa"/>
              <w:bottom w:w="80" w:type="dxa"/>
              <w:end w:w="120" w:type="dxa"/>
            </w:tcMar>
          </w:tcPr>
          <w:p>
            <w:pPr>
              <w:spacing w:after="0"/>
            </w:pPr>
            <w:r>
              <w:rPr>
                <w:rFonts w:ascii="Calibri" w:hAnsi="Calibri"/>
                <w:sz w:val="16"/>
              </w:rPr>
              <w:t>—</w:t>
            </w:r>
          </w:p>
        </w:tc>
        <w:tc>
          <w:tcPr>
            <w:tcW w:type="dxa" w:w="1000"/>
            <w:vAlign w:val="center"/>
            <w:tcMar>
              <w:top w:w="80" w:type="dxa"/>
              <w:start w:w="120" w:type="dxa"/>
              <w:bottom w:w="80" w:type="dxa"/>
              <w:end w:w="120" w:type="dxa"/>
            </w:tcMar>
          </w:tcPr>
          <w:p>
            <w:pPr>
              <w:spacing w:after="0"/>
            </w:pPr>
            <w:r>
              <w:rPr>
                <w:rFonts w:ascii="Calibri" w:hAnsi="Calibri"/>
                <w:sz w:val="16"/>
              </w:rPr>
              <w:t>—</w:t>
            </w:r>
          </w:p>
        </w:tc>
        <w:tc>
          <w:tcPr>
            <w:tcW w:type="dxa" w:w="1510"/>
            <w:vAlign w:val="center"/>
            <w:tcMar>
              <w:top w:w="80" w:type="dxa"/>
              <w:start w:w="120" w:type="dxa"/>
              <w:bottom w:w="80" w:type="dxa"/>
              <w:end w:w="120" w:type="dxa"/>
            </w:tcMar>
          </w:tcPr>
          <w:p>
            <w:pPr>
              <w:spacing w:after="0"/>
            </w:pPr>
            <w:r>
              <w:rPr>
                <w:rFonts w:ascii="Calibri" w:hAnsi="Calibri"/>
                <w:sz w:val="16"/>
              </w:rPr>
              <w:t>—</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Assign high-risk roles</w:t>
            </w:r>
          </w:p>
        </w:tc>
        <w:tc>
          <w:tcPr>
            <w:tcW w:type="dxa" w:w="850"/>
            <w:vAlign w:val="center"/>
            <w:shd w:fill="F5F7F4"/>
            <w:tcMar>
              <w:top w:w="80" w:type="dxa"/>
              <w:start w:w="120" w:type="dxa"/>
              <w:bottom w:w="80" w:type="dxa"/>
              <w:end w:w="120" w:type="dxa"/>
            </w:tcMar>
          </w:tcPr>
          <w:p>
            <w:pPr>
              <w:spacing w:after="0"/>
            </w:pPr>
            <w:r>
              <w:rPr>
                <w:rFonts w:ascii="Calibri" w:hAnsi="Calibri"/>
                <w:sz w:val="16"/>
              </w:rPr>
              <w:t>S</w:t>
            </w:r>
          </w:p>
        </w:tc>
        <w:tc>
          <w:tcPr>
            <w:tcW w:type="dxa" w:w="950"/>
            <w:vAlign w:val="center"/>
            <w:shd w:fill="F5F7F4"/>
            <w:tcMar>
              <w:top w:w="80" w:type="dxa"/>
              <w:start w:w="120" w:type="dxa"/>
              <w:bottom w:w="80" w:type="dxa"/>
              <w:end w:w="120" w:type="dxa"/>
            </w:tcMar>
          </w:tcPr>
          <w:p>
            <w:pPr>
              <w:spacing w:after="0"/>
            </w:pPr>
            <w:r>
              <w:rPr>
                <w:rFonts w:ascii="Calibri" w:hAnsi="Calibri"/>
                <w:sz w:val="16"/>
              </w:rPr>
              <w:t>A</w:t>
            </w:r>
          </w:p>
        </w:tc>
        <w:tc>
          <w:tcPr>
            <w:tcW w:type="dxa" w:w="900"/>
            <w:vAlign w:val="center"/>
            <w:shd w:fill="F5F7F4"/>
            <w:tcMar>
              <w:top w:w="80" w:type="dxa"/>
              <w:start w:w="120" w:type="dxa"/>
              <w:bottom w:w="80" w:type="dxa"/>
              <w:end w:w="120" w:type="dxa"/>
            </w:tcMar>
          </w:tcPr>
          <w:p>
            <w:pPr>
              <w:spacing w:after="0"/>
            </w:pPr>
            <w:r>
              <w:rPr>
                <w:rFonts w:ascii="Calibri" w:hAnsi="Calibri"/>
                <w:sz w:val="16"/>
              </w:rPr>
              <w:t>R</w:t>
            </w:r>
          </w:p>
        </w:tc>
        <w:tc>
          <w:tcPr>
            <w:tcW w:type="dxa" w:w="1150"/>
            <w:vAlign w:val="center"/>
            <w:shd w:fill="F5F7F4"/>
            <w:tcMar>
              <w:top w:w="80" w:type="dxa"/>
              <w:start w:w="120" w:type="dxa"/>
              <w:bottom w:w="80" w:type="dxa"/>
              <w:end w:w="120" w:type="dxa"/>
            </w:tcMar>
          </w:tcPr>
          <w:p>
            <w:pPr>
              <w:spacing w:after="0"/>
            </w:pPr>
            <w:r>
              <w:rPr>
                <w:rFonts w:ascii="Calibri" w:hAnsi="Calibri"/>
                <w:sz w:val="16"/>
              </w:rPr>
              <w:t>—</w:t>
            </w:r>
          </w:p>
        </w:tc>
        <w:tc>
          <w:tcPr>
            <w:tcW w:type="dxa" w:w="900"/>
            <w:vAlign w:val="center"/>
            <w:shd w:fill="F5F7F4"/>
            <w:tcMar>
              <w:top w:w="80" w:type="dxa"/>
              <w:start w:w="120" w:type="dxa"/>
              <w:bottom w:w="80" w:type="dxa"/>
              <w:end w:w="120" w:type="dxa"/>
            </w:tcMar>
          </w:tcPr>
          <w:p>
            <w:pPr>
              <w:spacing w:after="0"/>
            </w:pPr>
            <w:r>
              <w:rPr>
                <w:rFonts w:ascii="Calibri" w:hAnsi="Calibri"/>
                <w:sz w:val="16"/>
              </w:rPr>
              <w:t>—</w:t>
            </w:r>
          </w:p>
        </w:tc>
        <w:tc>
          <w:tcPr>
            <w:tcW w:type="dxa" w:w="1000"/>
            <w:vAlign w:val="center"/>
            <w:shd w:fill="F5F7F4"/>
            <w:tcMar>
              <w:top w:w="80" w:type="dxa"/>
              <w:start w:w="120" w:type="dxa"/>
              <w:bottom w:w="80" w:type="dxa"/>
              <w:end w:w="120" w:type="dxa"/>
            </w:tcMar>
          </w:tcPr>
          <w:p>
            <w:pPr>
              <w:spacing w:after="0"/>
            </w:pPr>
            <w:r>
              <w:rPr>
                <w:rFonts w:ascii="Calibri" w:hAnsi="Calibri"/>
                <w:sz w:val="16"/>
              </w:rPr>
              <w:t>—</w:t>
            </w:r>
          </w:p>
        </w:tc>
        <w:tc>
          <w:tcPr>
            <w:tcW w:type="dxa" w:w="1510"/>
            <w:vAlign w:val="center"/>
            <w:shd w:fill="F5F7F4"/>
            <w:tcMar>
              <w:top w:w="80" w:type="dxa"/>
              <w:start w:w="120" w:type="dxa"/>
              <w:bottom w:w="80" w:type="dxa"/>
              <w:end w:w="120" w:type="dxa"/>
            </w:tcMar>
          </w:tcPr>
          <w:p>
            <w:pPr>
              <w:spacing w:after="0"/>
            </w:pPr>
            <w:r>
              <w:rPr>
                <w:rFonts w:ascii="Calibri" w:hAnsi="Calibri"/>
                <w:sz w:val="16"/>
              </w:rPr>
              <w:t>—</w:t>
            </w:r>
          </w:p>
        </w:tc>
      </w:tr>
      <w:tr>
        <w:tc>
          <w:tcPr>
            <w:tcW w:type="dxa" w:w="2100"/>
            <w:vAlign w:val="center"/>
            <w:tcMar>
              <w:top w:w="80" w:type="dxa"/>
              <w:start w:w="120" w:type="dxa"/>
              <w:bottom w:w="80" w:type="dxa"/>
              <w:end w:w="120" w:type="dxa"/>
            </w:tcMar>
          </w:tcPr>
          <w:p>
            <w:pPr>
              <w:spacing w:after="0"/>
            </w:pPr>
            <w:r>
              <w:rPr>
                <w:rFonts w:ascii="Calibri" w:hAnsi="Calibri"/>
                <w:sz w:val="16"/>
              </w:rPr>
              <w:t>View student directory</w:t>
            </w:r>
          </w:p>
        </w:tc>
        <w:tc>
          <w:tcPr>
            <w:tcW w:type="dxa" w:w="850"/>
            <w:vAlign w:val="center"/>
            <w:tcMar>
              <w:top w:w="80" w:type="dxa"/>
              <w:start w:w="120" w:type="dxa"/>
              <w:bottom w:w="80" w:type="dxa"/>
              <w:end w:w="120" w:type="dxa"/>
            </w:tcMar>
          </w:tcPr>
          <w:p>
            <w:pPr>
              <w:spacing w:after="0"/>
            </w:pPr>
            <w:r>
              <w:rPr>
                <w:rFonts w:ascii="Calibri" w:hAnsi="Calibri"/>
                <w:sz w:val="16"/>
              </w:rPr>
              <w:t>X</w:t>
            </w:r>
          </w:p>
        </w:tc>
        <w:tc>
          <w:tcPr>
            <w:tcW w:type="dxa" w:w="950"/>
            <w:vAlign w:val="center"/>
            <w:tcMar>
              <w:top w:w="80" w:type="dxa"/>
              <w:start w:w="120" w:type="dxa"/>
              <w:bottom w:w="80" w:type="dxa"/>
              <w:end w:w="120" w:type="dxa"/>
            </w:tcMar>
          </w:tcPr>
          <w:p>
            <w:pPr>
              <w:spacing w:after="0"/>
            </w:pPr>
            <w:r>
              <w:rPr>
                <w:rFonts w:ascii="Calibri" w:hAnsi="Calibri"/>
                <w:sz w:val="16"/>
              </w:rPr>
              <w:t>A</w:t>
            </w:r>
          </w:p>
        </w:tc>
        <w:tc>
          <w:tcPr>
            <w:tcW w:type="dxa" w:w="900"/>
            <w:vAlign w:val="center"/>
            <w:tcMar>
              <w:top w:w="80" w:type="dxa"/>
              <w:start w:w="120" w:type="dxa"/>
              <w:bottom w:w="80" w:type="dxa"/>
              <w:end w:w="120" w:type="dxa"/>
            </w:tcMar>
          </w:tcPr>
          <w:p>
            <w:pPr>
              <w:spacing w:after="0"/>
            </w:pPr>
            <w:r>
              <w:rPr>
                <w:rFonts w:ascii="Calibri" w:hAnsi="Calibri"/>
                <w:sz w:val="16"/>
              </w:rPr>
              <w:t>W</w:t>
            </w:r>
          </w:p>
        </w:tc>
        <w:tc>
          <w:tcPr>
            <w:tcW w:type="dxa" w:w="1150"/>
            <w:vAlign w:val="center"/>
            <w:tcMar>
              <w:top w:w="80" w:type="dxa"/>
              <w:start w:w="120" w:type="dxa"/>
              <w:bottom w:w="80" w:type="dxa"/>
              <w:end w:w="120" w:type="dxa"/>
            </w:tcMar>
          </w:tcPr>
          <w:p>
            <w:pPr>
              <w:spacing w:after="0"/>
            </w:pPr>
            <w:r>
              <w:rPr>
                <w:rFonts w:ascii="Calibri" w:hAnsi="Calibri"/>
                <w:sz w:val="16"/>
              </w:rPr>
              <w:t>Scoped</w:t>
            </w:r>
          </w:p>
        </w:tc>
        <w:tc>
          <w:tcPr>
            <w:tcW w:type="dxa" w:w="900"/>
            <w:vAlign w:val="center"/>
            <w:tcMar>
              <w:top w:w="80" w:type="dxa"/>
              <w:start w:w="120" w:type="dxa"/>
              <w:bottom w:w="80" w:type="dxa"/>
              <w:end w:w="120" w:type="dxa"/>
            </w:tcMar>
          </w:tcPr>
          <w:p>
            <w:pPr>
              <w:spacing w:after="0"/>
            </w:pPr>
            <w:r>
              <w:rPr>
                <w:rFonts w:ascii="Calibri" w:hAnsi="Calibri"/>
                <w:sz w:val="16"/>
              </w:rPr>
              <w:t>Own</w:t>
            </w:r>
          </w:p>
        </w:tc>
        <w:tc>
          <w:tcPr>
            <w:tcW w:type="dxa" w:w="1000"/>
            <w:vAlign w:val="center"/>
            <w:tcMar>
              <w:top w:w="80" w:type="dxa"/>
              <w:start w:w="120" w:type="dxa"/>
              <w:bottom w:w="80" w:type="dxa"/>
              <w:end w:w="120" w:type="dxa"/>
            </w:tcMar>
          </w:tcPr>
          <w:p>
            <w:pPr>
              <w:spacing w:after="0"/>
            </w:pPr>
            <w:r>
              <w:rPr>
                <w:rFonts w:ascii="Calibri" w:hAnsi="Calibri"/>
                <w:sz w:val="16"/>
              </w:rPr>
              <w:t>Linked</w:t>
            </w:r>
          </w:p>
        </w:tc>
        <w:tc>
          <w:tcPr>
            <w:tcW w:type="dxa" w:w="1510"/>
            <w:vAlign w:val="center"/>
            <w:tcMar>
              <w:top w:w="80" w:type="dxa"/>
              <w:start w:w="120" w:type="dxa"/>
              <w:bottom w:w="80" w:type="dxa"/>
              <w:end w:w="120" w:type="dxa"/>
            </w:tcMar>
          </w:tcPr>
          <w:p>
            <w:pPr>
              <w:spacing w:after="0"/>
            </w:pPr>
            <w:r>
              <w:rPr>
                <w:rFonts w:ascii="Calibri" w:hAnsi="Calibri"/>
                <w:sz w:val="16"/>
              </w:rPr>
              <w:t>Finance scope</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Mark attendance</w:t>
            </w:r>
          </w:p>
        </w:tc>
        <w:tc>
          <w:tcPr>
            <w:tcW w:type="dxa" w:w="850"/>
            <w:vAlign w:val="center"/>
            <w:shd w:fill="F5F7F4"/>
            <w:tcMar>
              <w:top w:w="80" w:type="dxa"/>
              <w:start w:w="120" w:type="dxa"/>
              <w:bottom w:w="80" w:type="dxa"/>
              <w:end w:w="120" w:type="dxa"/>
            </w:tcMar>
          </w:tcPr>
          <w:p>
            <w:pPr>
              <w:spacing w:after="0"/>
            </w:pPr>
            <w:r>
              <w:rPr>
                <w:rFonts w:ascii="Calibri" w:hAnsi="Calibri"/>
                <w:sz w:val="16"/>
              </w:rPr>
              <w:t>—</w:t>
            </w:r>
          </w:p>
        </w:tc>
        <w:tc>
          <w:tcPr>
            <w:tcW w:type="dxa" w:w="950"/>
            <w:vAlign w:val="center"/>
            <w:shd w:fill="F5F7F4"/>
            <w:tcMar>
              <w:top w:w="80" w:type="dxa"/>
              <w:start w:w="120" w:type="dxa"/>
              <w:bottom w:w="80" w:type="dxa"/>
              <w:end w:w="120" w:type="dxa"/>
            </w:tcMar>
          </w:tcPr>
          <w:p>
            <w:pPr>
              <w:spacing w:after="0"/>
            </w:pPr>
            <w:r>
              <w:rPr>
                <w:rFonts w:ascii="Calibri" w:hAnsi="Calibri"/>
                <w:sz w:val="16"/>
              </w:rPr>
              <w:t>R</w:t>
            </w:r>
          </w:p>
        </w:tc>
        <w:tc>
          <w:tcPr>
            <w:tcW w:type="dxa" w:w="900"/>
            <w:vAlign w:val="center"/>
            <w:shd w:fill="F5F7F4"/>
            <w:tcMar>
              <w:top w:w="80" w:type="dxa"/>
              <w:start w:w="120" w:type="dxa"/>
              <w:bottom w:w="80" w:type="dxa"/>
              <w:end w:w="120" w:type="dxa"/>
            </w:tcMar>
          </w:tcPr>
          <w:p>
            <w:pPr>
              <w:spacing w:after="0"/>
            </w:pPr>
            <w:r>
              <w:rPr>
                <w:rFonts w:ascii="Calibri" w:hAnsi="Calibri"/>
                <w:sz w:val="16"/>
              </w:rPr>
              <w:t>W</w:t>
            </w:r>
          </w:p>
        </w:tc>
        <w:tc>
          <w:tcPr>
            <w:tcW w:type="dxa" w:w="1150"/>
            <w:vAlign w:val="center"/>
            <w:shd w:fill="F5F7F4"/>
            <w:tcMar>
              <w:top w:w="80" w:type="dxa"/>
              <w:start w:w="120" w:type="dxa"/>
              <w:bottom w:w="80" w:type="dxa"/>
              <w:end w:w="120" w:type="dxa"/>
            </w:tcMar>
          </w:tcPr>
          <w:p>
            <w:pPr>
              <w:spacing w:after="0"/>
            </w:pPr>
            <w:r>
              <w:rPr>
                <w:rFonts w:ascii="Calibri" w:hAnsi="Calibri"/>
                <w:sz w:val="16"/>
              </w:rPr>
              <w:t>Assigned</w:t>
            </w:r>
          </w:p>
        </w:tc>
        <w:tc>
          <w:tcPr>
            <w:tcW w:type="dxa" w:w="900"/>
            <w:vAlign w:val="center"/>
            <w:shd w:fill="F5F7F4"/>
            <w:tcMar>
              <w:top w:w="80" w:type="dxa"/>
              <w:start w:w="120" w:type="dxa"/>
              <w:bottom w:w="80" w:type="dxa"/>
              <w:end w:w="120" w:type="dxa"/>
            </w:tcMar>
          </w:tcPr>
          <w:p>
            <w:pPr>
              <w:spacing w:after="0"/>
            </w:pPr>
            <w:r>
              <w:rPr>
                <w:rFonts w:ascii="Calibri" w:hAnsi="Calibri"/>
                <w:sz w:val="16"/>
              </w:rPr>
              <w:t>R own</w:t>
            </w:r>
          </w:p>
        </w:tc>
        <w:tc>
          <w:tcPr>
            <w:tcW w:type="dxa" w:w="1000"/>
            <w:vAlign w:val="center"/>
            <w:shd w:fill="F5F7F4"/>
            <w:tcMar>
              <w:top w:w="80" w:type="dxa"/>
              <w:start w:w="120" w:type="dxa"/>
              <w:bottom w:w="80" w:type="dxa"/>
              <w:end w:w="120" w:type="dxa"/>
            </w:tcMar>
          </w:tcPr>
          <w:p>
            <w:pPr>
              <w:spacing w:after="0"/>
            </w:pPr>
            <w:r>
              <w:rPr>
                <w:rFonts w:ascii="Calibri" w:hAnsi="Calibri"/>
                <w:sz w:val="16"/>
              </w:rPr>
              <w:t>R linked</w:t>
            </w:r>
          </w:p>
        </w:tc>
        <w:tc>
          <w:tcPr>
            <w:tcW w:type="dxa" w:w="1510"/>
            <w:vAlign w:val="center"/>
            <w:shd w:fill="F5F7F4"/>
            <w:tcMar>
              <w:top w:w="80" w:type="dxa"/>
              <w:start w:w="120" w:type="dxa"/>
              <w:bottom w:w="80" w:type="dxa"/>
              <w:end w:w="120" w:type="dxa"/>
            </w:tcMar>
          </w:tcPr>
          <w:p>
            <w:pPr>
              <w:spacing w:after="0"/>
            </w:pPr>
            <w:r>
              <w:rPr>
                <w:rFonts w:ascii="Calibri" w:hAnsi="Calibri"/>
                <w:sz w:val="16"/>
              </w:rPr>
              <w:t>—</w:t>
            </w:r>
          </w:p>
        </w:tc>
      </w:tr>
      <w:tr>
        <w:tc>
          <w:tcPr>
            <w:tcW w:type="dxa" w:w="2100"/>
            <w:vAlign w:val="center"/>
            <w:tcMar>
              <w:top w:w="80" w:type="dxa"/>
              <w:start w:w="120" w:type="dxa"/>
              <w:bottom w:w="80" w:type="dxa"/>
              <w:end w:w="120" w:type="dxa"/>
            </w:tcMar>
          </w:tcPr>
          <w:p>
            <w:pPr>
              <w:spacing w:after="0"/>
            </w:pPr>
            <w:r>
              <w:rPr>
                <w:rFonts w:ascii="Calibri" w:hAnsi="Calibri"/>
                <w:sz w:val="16"/>
              </w:rPr>
              <w:t>Enter marks</w:t>
            </w:r>
          </w:p>
        </w:tc>
        <w:tc>
          <w:tcPr>
            <w:tcW w:type="dxa" w:w="850"/>
            <w:vAlign w:val="center"/>
            <w:tcMar>
              <w:top w:w="80" w:type="dxa"/>
              <w:start w:w="120" w:type="dxa"/>
              <w:bottom w:w="80" w:type="dxa"/>
              <w:end w:w="120" w:type="dxa"/>
            </w:tcMar>
          </w:tcPr>
          <w:p>
            <w:pPr>
              <w:spacing w:after="0"/>
            </w:pPr>
            <w:r>
              <w:rPr>
                <w:rFonts w:ascii="Calibri" w:hAnsi="Calibri"/>
                <w:sz w:val="16"/>
              </w:rPr>
              <w:t>—</w:t>
            </w:r>
          </w:p>
        </w:tc>
        <w:tc>
          <w:tcPr>
            <w:tcW w:type="dxa" w:w="950"/>
            <w:vAlign w:val="center"/>
            <w:tcMar>
              <w:top w:w="80" w:type="dxa"/>
              <w:start w:w="120" w:type="dxa"/>
              <w:bottom w:w="80" w:type="dxa"/>
              <w:end w:w="120" w:type="dxa"/>
            </w:tcMar>
          </w:tcPr>
          <w:p>
            <w:pPr>
              <w:spacing w:after="0"/>
            </w:pPr>
            <w:r>
              <w:rPr>
                <w:rFonts w:ascii="Calibri" w:hAnsi="Calibri"/>
                <w:sz w:val="16"/>
              </w:rPr>
              <w:t>A</w:t>
            </w:r>
          </w:p>
        </w:tc>
        <w:tc>
          <w:tcPr>
            <w:tcW w:type="dxa" w:w="900"/>
            <w:vAlign w:val="center"/>
            <w:tcMar>
              <w:top w:w="80" w:type="dxa"/>
              <w:start w:w="120" w:type="dxa"/>
              <w:bottom w:w="80" w:type="dxa"/>
              <w:end w:w="120" w:type="dxa"/>
            </w:tcMar>
          </w:tcPr>
          <w:p>
            <w:pPr>
              <w:spacing w:after="0"/>
            </w:pPr>
            <w:r>
              <w:rPr>
                <w:rFonts w:ascii="Calibri" w:hAnsi="Calibri"/>
                <w:sz w:val="16"/>
              </w:rPr>
              <w:t>W</w:t>
            </w:r>
          </w:p>
        </w:tc>
        <w:tc>
          <w:tcPr>
            <w:tcW w:type="dxa" w:w="1150"/>
            <w:vAlign w:val="center"/>
            <w:tcMar>
              <w:top w:w="80" w:type="dxa"/>
              <w:start w:w="120" w:type="dxa"/>
              <w:bottom w:w="80" w:type="dxa"/>
              <w:end w:w="120" w:type="dxa"/>
            </w:tcMar>
          </w:tcPr>
          <w:p>
            <w:pPr>
              <w:spacing w:after="0"/>
            </w:pPr>
            <w:r>
              <w:rPr>
                <w:rFonts w:ascii="Calibri" w:hAnsi="Calibri"/>
                <w:sz w:val="16"/>
              </w:rPr>
              <w:t>Assigned</w:t>
            </w:r>
          </w:p>
        </w:tc>
        <w:tc>
          <w:tcPr>
            <w:tcW w:type="dxa" w:w="900"/>
            <w:vAlign w:val="center"/>
            <w:tcMar>
              <w:top w:w="80" w:type="dxa"/>
              <w:start w:w="120" w:type="dxa"/>
              <w:bottom w:w="80" w:type="dxa"/>
              <w:end w:w="120" w:type="dxa"/>
            </w:tcMar>
          </w:tcPr>
          <w:p>
            <w:pPr>
              <w:spacing w:after="0"/>
            </w:pPr>
            <w:r>
              <w:rPr>
                <w:rFonts w:ascii="Calibri" w:hAnsi="Calibri"/>
                <w:sz w:val="16"/>
              </w:rPr>
              <w:t>R published</w:t>
            </w:r>
          </w:p>
        </w:tc>
        <w:tc>
          <w:tcPr>
            <w:tcW w:type="dxa" w:w="1000"/>
            <w:vAlign w:val="center"/>
            <w:tcMar>
              <w:top w:w="80" w:type="dxa"/>
              <w:start w:w="120" w:type="dxa"/>
              <w:bottom w:w="80" w:type="dxa"/>
              <w:end w:w="120" w:type="dxa"/>
            </w:tcMar>
          </w:tcPr>
          <w:p>
            <w:pPr>
              <w:spacing w:after="0"/>
            </w:pPr>
            <w:r>
              <w:rPr>
                <w:rFonts w:ascii="Calibri" w:hAnsi="Calibri"/>
                <w:sz w:val="16"/>
              </w:rPr>
              <w:t>R published</w:t>
            </w:r>
          </w:p>
        </w:tc>
        <w:tc>
          <w:tcPr>
            <w:tcW w:type="dxa" w:w="1510"/>
            <w:vAlign w:val="center"/>
            <w:tcMar>
              <w:top w:w="80" w:type="dxa"/>
              <w:start w:w="120" w:type="dxa"/>
              <w:bottom w:w="80" w:type="dxa"/>
              <w:end w:w="120" w:type="dxa"/>
            </w:tcMar>
          </w:tcPr>
          <w:p>
            <w:pPr>
              <w:spacing w:after="0"/>
            </w:pPr>
            <w:r>
              <w:rPr>
                <w:rFonts w:ascii="Calibri" w:hAnsi="Calibri"/>
                <w:sz w:val="16"/>
              </w:rPr>
              <w:t>—</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Publish results</w:t>
            </w:r>
          </w:p>
        </w:tc>
        <w:tc>
          <w:tcPr>
            <w:tcW w:type="dxa" w:w="850"/>
            <w:vAlign w:val="center"/>
            <w:shd w:fill="F5F7F4"/>
            <w:tcMar>
              <w:top w:w="80" w:type="dxa"/>
              <w:start w:w="120" w:type="dxa"/>
              <w:bottom w:w="80" w:type="dxa"/>
              <w:end w:w="120" w:type="dxa"/>
            </w:tcMar>
          </w:tcPr>
          <w:p>
            <w:pPr>
              <w:spacing w:after="0"/>
            </w:pPr>
            <w:r>
              <w:rPr>
                <w:rFonts w:ascii="Calibri" w:hAnsi="Calibri"/>
                <w:sz w:val="16"/>
              </w:rPr>
              <w:t>—</w:t>
            </w:r>
          </w:p>
        </w:tc>
        <w:tc>
          <w:tcPr>
            <w:tcW w:type="dxa" w:w="950"/>
            <w:vAlign w:val="center"/>
            <w:shd w:fill="F5F7F4"/>
            <w:tcMar>
              <w:top w:w="80" w:type="dxa"/>
              <w:start w:w="120" w:type="dxa"/>
              <w:bottom w:w="80" w:type="dxa"/>
              <w:end w:w="120" w:type="dxa"/>
            </w:tcMar>
          </w:tcPr>
          <w:p>
            <w:pPr>
              <w:spacing w:after="0"/>
            </w:pPr>
            <w:r>
              <w:rPr>
                <w:rFonts w:ascii="Calibri" w:hAnsi="Calibri"/>
                <w:sz w:val="16"/>
              </w:rPr>
              <w:t>A</w:t>
            </w:r>
          </w:p>
        </w:tc>
        <w:tc>
          <w:tcPr>
            <w:tcW w:type="dxa" w:w="900"/>
            <w:vAlign w:val="center"/>
            <w:shd w:fill="F5F7F4"/>
            <w:tcMar>
              <w:top w:w="80" w:type="dxa"/>
              <w:start w:w="120" w:type="dxa"/>
              <w:bottom w:w="80" w:type="dxa"/>
              <w:end w:w="120" w:type="dxa"/>
            </w:tcMar>
          </w:tcPr>
          <w:p>
            <w:pPr>
              <w:spacing w:after="0"/>
            </w:pPr>
            <w:r>
              <w:rPr>
                <w:rFonts w:ascii="Calibri" w:hAnsi="Calibri"/>
                <w:sz w:val="16"/>
              </w:rPr>
              <w:t>Delegated</w:t>
            </w:r>
          </w:p>
        </w:tc>
        <w:tc>
          <w:tcPr>
            <w:tcW w:type="dxa" w:w="1150"/>
            <w:vAlign w:val="center"/>
            <w:shd w:fill="F5F7F4"/>
            <w:tcMar>
              <w:top w:w="80" w:type="dxa"/>
              <w:start w:w="120" w:type="dxa"/>
              <w:bottom w:w="80" w:type="dxa"/>
              <w:end w:w="120" w:type="dxa"/>
            </w:tcMar>
          </w:tcPr>
          <w:p>
            <w:pPr>
              <w:spacing w:after="0"/>
            </w:pPr>
            <w:r>
              <w:rPr>
                <w:rFonts w:ascii="Calibri" w:hAnsi="Calibri"/>
                <w:sz w:val="16"/>
              </w:rPr>
              <w:t>Submit</w:t>
            </w:r>
          </w:p>
        </w:tc>
        <w:tc>
          <w:tcPr>
            <w:tcW w:type="dxa" w:w="900"/>
            <w:vAlign w:val="center"/>
            <w:shd w:fill="F5F7F4"/>
            <w:tcMar>
              <w:top w:w="80" w:type="dxa"/>
              <w:start w:w="120" w:type="dxa"/>
              <w:bottom w:w="80" w:type="dxa"/>
              <w:end w:w="120" w:type="dxa"/>
            </w:tcMar>
          </w:tcPr>
          <w:p>
            <w:pPr>
              <w:spacing w:after="0"/>
            </w:pPr>
            <w:r>
              <w:rPr>
                <w:rFonts w:ascii="Calibri" w:hAnsi="Calibri"/>
                <w:sz w:val="16"/>
              </w:rPr>
              <w:t>—</w:t>
            </w:r>
          </w:p>
        </w:tc>
        <w:tc>
          <w:tcPr>
            <w:tcW w:type="dxa" w:w="1000"/>
            <w:vAlign w:val="center"/>
            <w:shd w:fill="F5F7F4"/>
            <w:tcMar>
              <w:top w:w="80" w:type="dxa"/>
              <w:start w:w="120" w:type="dxa"/>
              <w:bottom w:w="80" w:type="dxa"/>
              <w:end w:w="120" w:type="dxa"/>
            </w:tcMar>
          </w:tcPr>
          <w:p>
            <w:pPr>
              <w:spacing w:after="0"/>
            </w:pPr>
            <w:r>
              <w:rPr>
                <w:rFonts w:ascii="Calibri" w:hAnsi="Calibri"/>
                <w:sz w:val="16"/>
              </w:rPr>
              <w:t>—</w:t>
            </w:r>
          </w:p>
        </w:tc>
        <w:tc>
          <w:tcPr>
            <w:tcW w:type="dxa" w:w="1510"/>
            <w:vAlign w:val="center"/>
            <w:shd w:fill="F5F7F4"/>
            <w:tcMar>
              <w:top w:w="80" w:type="dxa"/>
              <w:start w:w="120" w:type="dxa"/>
              <w:bottom w:w="80" w:type="dxa"/>
              <w:end w:w="120" w:type="dxa"/>
            </w:tcMar>
          </w:tcPr>
          <w:p>
            <w:pPr>
              <w:spacing w:after="0"/>
            </w:pPr>
            <w:r>
              <w:rPr>
                <w:rFonts w:ascii="Calibri" w:hAnsi="Calibri"/>
                <w:sz w:val="16"/>
              </w:rPr>
              <w:t>—</w:t>
            </w:r>
          </w:p>
        </w:tc>
      </w:tr>
      <w:tr>
        <w:tc>
          <w:tcPr>
            <w:tcW w:type="dxa" w:w="2100"/>
            <w:vAlign w:val="center"/>
            <w:tcMar>
              <w:top w:w="80" w:type="dxa"/>
              <w:start w:w="120" w:type="dxa"/>
              <w:bottom w:w="80" w:type="dxa"/>
              <w:end w:w="120" w:type="dxa"/>
            </w:tcMar>
          </w:tcPr>
          <w:p>
            <w:pPr>
              <w:spacing w:after="0"/>
            </w:pPr>
            <w:r>
              <w:rPr>
                <w:rFonts w:ascii="Calibri" w:hAnsi="Calibri"/>
                <w:sz w:val="16"/>
              </w:rPr>
              <w:t>Post class message</w:t>
            </w:r>
          </w:p>
        </w:tc>
        <w:tc>
          <w:tcPr>
            <w:tcW w:type="dxa" w:w="850"/>
            <w:vAlign w:val="center"/>
            <w:tcMar>
              <w:top w:w="80" w:type="dxa"/>
              <w:start w:w="120" w:type="dxa"/>
              <w:bottom w:w="80" w:type="dxa"/>
              <w:end w:w="120" w:type="dxa"/>
            </w:tcMar>
          </w:tcPr>
          <w:p>
            <w:pPr>
              <w:spacing w:after="0"/>
            </w:pPr>
            <w:r>
              <w:rPr>
                <w:rFonts w:ascii="Calibri" w:hAnsi="Calibri"/>
                <w:sz w:val="16"/>
              </w:rPr>
              <w:t>—</w:t>
            </w:r>
          </w:p>
        </w:tc>
        <w:tc>
          <w:tcPr>
            <w:tcW w:type="dxa" w:w="950"/>
            <w:vAlign w:val="center"/>
            <w:tcMar>
              <w:top w:w="80" w:type="dxa"/>
              <w:start w:w="120" w:type="dxa"/>
              <w:bottom w:w="80" w:type="dxa"/>
              <w:end w:w="120" w:type="dxa"/>
            </w:tcMar>
          </w:tcPr>
          <w:p>
            <w:pPr>
              <w:spacing w:after="0"/>
            </w:pPr>
            <w:r>
              <w:rPr>
                <w:rFonts w:ascii="Calibri" w:hAnsi="Calibri"/>
                <w:sz w:val="16"/>
              </w:rPr>
              <w:t>A</w:t>
            </w:r>
          </w:p>
        </w:tc>
        <w:tc>
          <w:tcPr>
            <w:tcW w:type="dxa" w:w="900"/>
            <w:vAlign w:val="center"/>
            <w:tcMar>
              <w:top w:w="80" w:type="dxa"/>
              <w:start w:w="120" w:type="dxa"/>
              <w:bottom w:w="80" w:type="dxa"/>
              <w:end w:w="120" w:type="dxa"/>
            </w:tcMar>
          </w:tcPr>
          <w:p>
            <w:pPr>
              <w:spacing w:after="0"/>
            </w:pPr>
            <w:r>
              <w:rPr>
                <w:rFonts w:ascii="Calibri" w:hAnsi="Calibri"/>
                <w:sz w:val="16"/>
              </w:rPr>
              <w:t>W</w:t>
            </w:r>
          </w:p>
        </w:tc>
        <w:tc>
          <w:tcPr>
            <w:tcW w:type="dxa" w:w="1150"/>
            <w:vAlign w:val="center"/>
            <w:tcMar>
              <w:top w:w="80" w:type="dxa"/>
              <w:start w:w="120" w:type="dxa"/>
              <w:bottom w:w="80" w:type="dxa"/>
              <w:end w:w="120" w:type="dxa"/>
            </w:tcMar>
          </w:tcPr>
          <w:p>
            <w:pPr>
              <w:spacing w:after="0"/>
            </w:pPr>
            <w:r>
              <w:rPr>
                <w:rFonts w:ascii="Calibri" w:hAnsi="Calibri"/>
                <w:sz w:val="16"/>
              </w:rPr>
              <w:t>Assigned</w:t>
            </w:r>
          </w:p>
        </w:tc>
        <w:tc>
          <w:tcPr>
            <w:tcW w:type="dxa" w:w="900"/>
            <w:vAlign w:val="center"/>
            <w:tcMar>
              <w:top w:w="80" w:type="dxa"/>
              <w:start w:w="120" w:type="dxa"/>
              <w:bottom w:w="80" w:type="dxa"/>
              <w:end w:w="120" w:type="dxa"/>
            </w:tcMar>
          </w:tcPr>
          <w:p>
            <w:pPr>
              <w:spacing w:after="0"/>
            </w:pPr>
            <w:r>
              <w:rPr>
                <w:rFonts w:ascii="Calibri" w:hAnsi="Calibri"/>
                <w:sz w:val="16"/>
              </w:rPr>
              <w:t>Policy</w:t>
            </w:r>
          </w:p>
        </w:tc>
        <w:tc>
          <w:tcPr>
            <w:tcW w:type="dxa" w:w="1000"/>
            <w:vAlign w:val="center"/>
            <w:tcMar>
              <w:top w:w="80" w:type="dxa"/>
              <w:start w:w="120" w:type="dxa"/>
              <w:bottom w:w="80" w:type="dxa"/>
              <w:end w:w="120" w:type="dxa"/>
            </w:tcMar>
          </w:tcPr>
          <w:p>
            <w:pPr>
              <w:spacing w:after="0"/>
            </w:pPr>
            <w:r>
              <w:rPr>
                <w:rFonts w:ascii="Calibri" w:hAnsi="Calibri"/>
                <w:sz w:val="16"/>
              </w:rPr>
              <w:t>Policy</w:t>
            </w:r>
          </w:p>
        </w:tc>
        <w:tc>
          <w:tcPr>
            <w:tcW w:type="dxa" w:w="1510"/>
            <w:vAlign w:val="center"/>
            <w:tcMar>
              <w:top w:w="80" w:type="dxa"/>
              <w:start w:w="120" w:type="dxa"/>
              <w:bottom w:w="80" w:type="dxa"/>
              <w:end w:w="120" w:type="dxa"/>
            </w:tcMar>
          </w:tcPr>
          <w:p>
            <w:pPr>
              <w:spacing w:after="0"/>
            </w:pPr>
            <w:r>
              <w:rPr>
                <w:rFonts w:ascii="Calibri" w:hAnsi="Calibri"/>
                <w:sz w:val="16"/>
              </w:rPr>
              <w:t>Finance audience</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School-wide emergency notice</w:t>
            </w:r>
          </w:p>
        </w:tc>
        <w:tc>
          <w:tcPr>
            <w:tcW w:type="dxa" w:w="850"/>
            <w:vAlign w:val="center"/>
            <w:shd w:fill="F5F7F4"/>
            <w:tcMar>
              <w:top w:w="80" w:type="dxa"/>
              <w:start w:w="120" w:type="dxa"/>
              <w:bottom w:w="80" w:type="dxa"/>
              <w:end w:w="120" w:type="dxa"/>
            </w:tcMar>
          </w:tcPr>
          <w:p>
            <w:pPr>
              <w:spacing w:after="0"/>
            </w:pPr>
            <w:r>
              <w:rPr>
                <w:rFonts w:ascii="Calibri" w:hAnsi="Calibri"/>
                <w:sz w:val="16"/>
              </w:rPr>
              <w:t>—</w:t>
            </w:r>
          </w:p>
        </w:tc>
        <w:tc>
          <w:tcPr>
            <w:tcW w:type="dxa" w:w="950"/>
            <w:vAlign w:val="center"/>
            <w:shd w:fill="F5F7F4"/>
            <w:tcMar>
              <w:top w:w="80" w:type="dxa"/>
              <w:start w:w="120" w:type="dxa"/>
              <w:bottom w:w="80" w:type="dxa"/>
              <w:end w:w="120" w:type="dxa"/>
            </w:tcMar>
          </w:tcPr>
          <w:p>
            <w:pPr>
              <w:spacing w:after="0"/>
            </w:pPr>
            <w:r>
              <w:rPr>
                <w:rFonts w:ascii="Calibri" w:hAnsi="Calibri"/>
                <w:sz w:val="16"/>
              </w:rPr>
              <w:t>A</w:t>
            </w:r>
          </w:p>
        </w:tc>
        <w:tc>
          <w:tcPr>
            <w:tcW w:type="dxa" w:w="900"/>
            <w:vAlign w:val="center"/>
            <w:shd w:fill="F5F7F4"/>
            <w:tcMar>
              <w:top w:w="80" w:type="dxa"/>
              <w:start w:w="120" w:type="dxa"/>
              <w:bottom w:w="80" w:type="dxa"/>
              <w:end w:w="120" w:type="dxa"/>
            </w:tcMar>
          </w:tcPr>
          <w:p>
            <w:pPr>
              <w:spacing w:after="0"/>
            </w:pPr>
            <w:r>
              <w:rPr>
                <w:rFonts w:ascii="Calibri" w:hAnsi="Calibri"/>
                <w:sz w:val="16"/>
              </w:rPr>
              <w:t>Delegated</w:t>
            </w:r>
          </w:p>
        </w:tc>
        <w:tc>
          <w:tcPr>
            <w:tcW w:type="dxa" w:w="1150"/>
            <w:vAlign w:val="center"/>
            <w:shd w:fill="F5F7F4"/>
            <w:tcMar>
              <w:top w:w="80" w:type="dxa"/>
              <w:start w:w="120" w:type="dxa"/>
              <w:bottom w:w="80" w:type="dxa"/>
              <w:end w:w="120" w:type="dxa"/>
            </w:tcMar>
          </w:tcPr>
          <w:p>
            <w:pPr>
              <w:spacing w:after="0"/>
            </w:pPr>
            <w:r>
              <w:rPr>
                <w:rFonts w:ascii="Calibri" w:hAnsi="Calibri"/>
                <w:sz w:val="16"/>
              </w:rPr>
              <w:t>—</w:t>
            </w:r>
          </w:p>
        </w:tc>
        <w:tc>
          <w:tcPr>
            <w:tcW w:type="dxa" w:w="900"/>
            <w:vAlign w:val="center"/>
            <w:shd w:fill="F5F7F4"/>
            <w:tcMar>
              <w:top w:w="80" w:type="dxa"/>
              <w:start w:w="120" w:type="dxa"/>
              <w:bottom w:w="80" w:type="dxa"/>
              <w:end w:w="120" w:type="dxa"/>
            </w:tcMar>
          </w:tcPr>
          <w:p>
            <w:pPr>
              <w:spacing w:after="0"/>
            </w:pPr>
            <w:r>
              <w:rPr>
                <w:rFonts w:ascii="Calibri" w:hAnsi="Calibri"/>
                <w:sz w:val="16"/>
              </w:rPr>
              <w:t>—</w:t>
            </w:r>
          </w:p>
        </w:tc>
        <w:tc>
          <w:tcPr>
            <w:tcW w:type="dxa" w:w="1000"/>
            <w:vAlign w:val="center"/>
            <w:shd w:fill="F5F7F4"/>
            <w:tcMar>
              <w:top w:w="80" w:type="dxa"/>
              <w:start w:w="120" w:type="dxa"/>
              <w:bottom w:w="80" w:type="dxa"/>
              <w:end w:w="120" w:type="dxa"/>
            </w:tcMar>
          </w:tcPr>
          <w:p>
            <w:pPr>
              <w:spacing w:after="0"/>
            </w:pPr>
            <w:r>
              <w:rPr>
                <w:rFonts w:ascii="Calibri" w:hAnsi="Calibri"/>
                <w:sz w:val="16"/>
              </w:rPr>
              <w:t>—</w:t>
            </w:r>
          </w:p>
        </w:tc>
        <w:tc>
          <w:tcPr>
            <w:tcW w:type="dxa" w:w="1510"/>
            <w:vAlign w:val="center"/>
            <w:shd w:fill="F5F7F4"/>
            <w:tcMar>
              <w:top w:w="80" w:type="dxa"/>
              <w:start w:w="120" w:type="dxa"/>
              <w:bottom w:w="80" w:type="dxa"/>
              <w:end w:w="120" w:type="dxa"/>
            </w:tcMar>
          </w:tcPr>
          <w:p>
            <w:pPr>
              <w:spacing w:after="0"/>
            </w:pPr>
            <w:r>
              <w:rPr>
                <w:rFonts w:ascii="Calibri" w:hAnsi="Calibri"/>
                <w:sz w:val="16"/>
              </w:rPr>
              <w:t>—</w:t>
            </w:r>
          </w:p>
        </w:tc>
      </w:tr>
      <w:tr>
        <w:tc>
          <w:tcPr>
            <w:tcW w:type="dxa" w:w="2100"/>
            <w:vAlign w:val="center"/>
            <w:tcMar>
              <w:top w:w="80" w:type="dxa"/>
              <w:start w:w="120" w:type="dxa"/>
              <w:bottom w:w="80" w:type="dxa"/>
              <w:end w:w="120" w:type="dxa"/>
            </w:tcMar>
          </w:tcPr>
          <w:p>
            <w:pPr>
              <w:spacing w:after="0"/>
            </w:pPr>
            <w:r>
              <w:rPr>
                <w:rFonts w:ascii="Calibri" w:hAnsi="Calibri"/>
                <w:sz w:val="16"/>
              </w:rPr>
              <w:t>Create charges</w:t>
            </w:r>
          </w:p>
        </w:tc>
        <w:tc>
          <w:tcPr>
            <w:tcW w:type="dxa" w:w="850"/>
            <w:vAlign w:val="center"/>
            <w:tcMar>
              <w:top w:w="80" w:type="dxa"/>
              <w:start w:w="120" w:type="dxa"/>
              <w:bottom w:w="80" w:type="dxa"/>
              <w:end w:w="120" w:type="dxa"/>
            </w:tcMar>
          </w:tcPr>
          <w:p>
            <w:pPr>
              <w:spacing w:after="0"/>
            </w:pPr>
            <w:r>
              <w:rPr>
                <w:rFonts w:ascii="Calibri" w:hAnsi="Calibri"/>
                <w:sz w:val="16"/>
              </w:rPr>
              <w:t>—</w:t>
            </w:r>
          </w:p>
        </w:tc>
        <w:tc>
          <w:tcPr>
            <w:tcW w:type="dxa" w:w="950"/>
            <w:vAlign w:val="center"/>
            <w:tcMar>
              <w:top w:w="80" w:type="dxa"/>
              <w:start w:w="120" w:type="dxa"/>
              <w:bottom w:w="80" w:type="dxa"/>
              <w:end w:w="120" w:type="dxa"/>
            </w:tcMar>
          </w:tcPr>
          <w:p>
            <w:pPr>
              <w:spacing w:after="0"/>
            </w:pPr>
            <w:r>
              <w:rPr>
                <w:rFonts w:ascii="Calibri" w:hAnsi="Calibri"/>
                <w:sz w:val="16"/>
              </w:rPr>
              <w:t>A</w:t>
            </w:r>
          </w:p>
        </w:tc>
        <w:tc>
          <w:tcPr>
            <w:tcW w:type="dxa" w:w="900"/>
            <w:vAlign w:val="center"/>
            <w:tcMar>
              <w:top w:w="80" w:type="dxa"/>
              <w:start w:w="120" w:type="dxa"/>
              <w:bottom w:w="80" w:type="dxa"/>
              <w:end w:w="120" w:type="dxa"/>
            </w:tcMar>
          </w:tcPr>
          <w:p>
            <w:pPr>
              <w:spacing w:after="0"/>
            </w:pPr>
            <w:r>
              <w:rPr>
                <w:rFonts w:ascii="Calibri" w:hAnsi="Calibri"/>
                <w:sz w:val="16"/>
              </w:rPr>
              <w:t>Delegated</w:t>
            </w:r>
          </w:p>
        </w:tc>
        <w:tc>
          <w:tcPr>
            <w:tcW w:type="dxa" w:w="1150"/>
            <w:vAlign w:val="center"/>
            <w:tcMar>
              <w:top w:w="80" w:type="dxa"/>
              <w:start w:w="120" w:type="dxa"/>
              <w:bottom w:w="80" w:type="dxa"/>
              <w:end w:w="120" w:type="dxa"/>
            </w:tcMar>
          </w:tcPr>
          <w:p>
            <w:pPr>
              <w:spacing w:after="0"/>
            </w:pPr>
            <w:r>
              <w:rPr>
                <w:rFonts w:ascii="Calibri" w:hAnsi="Calibri"/>
                <w:sz w:val="16"/>
              </w:rPr>
              <w:t>—</w:t>
            </w:r>
          </w:p>
        </w:tc>
        <w:tc>
          <w:tcPr>
            <w:tcW w:type="dxa" w:w="900"/>
            <w:vAlign w:val="center"/>
            <w:tcMar>
              <w:top w:w="80" w:type="dxa"/>
              <w:start w:w="120" w:type="dxa"/>
              <w:bottom w:w="80" w:type="dxa"/>
              <w:end w:w="120" w:type="dxa"/>
            </w:tcMar>
          </w:tcPr>
          <w:p>
            <w:pPr>
              <w:spacing w:after="0"/>
            </w:pPr>
            <w:r>
              <w:rPr>
                <w:rFonts w:ascii="Calibri" w:hAnsi="Calibri"/>
                <w:sz w:val="16"/>
              </w:rPr>
              <w:t>R own</w:t>
            </w:r>
          </w:p>
        </w:tc>
        <w:tc>
          <w:tcPr>
            <w:tcW w:type="dxa" w:w="1000"/>
            <w:vAlign w:val="center"/>
            <w:tcMar>
              <w:top w:w="80" w:type="dxa"/>
              <w:start w:w="120" w:type="dxa"/>
              <w:bottom w:w="80" w:type="dxa"/>
              <w:end w:w="120" w:type="dxa"/>
            </w:tcMar>
          </w:tcPr>
          <w:p>
            <w:pPr>
              <w:spacing w:after="0"/>
            </w:pPr>
            <w:r>
              <w:rPr>
                <w:rFonts w:ascii="Calibri" w:hAnsi="Calibri"/>
                <w:sz w:val="16"/>
              </w:rPr>
              <w:t>R linked</w:t>
            </w:r>
          </w:p>
        </w:tc>
        <w:tc>
          <w:tcPr>
            <w:tcW w:type="dxa" w:w="1510"/>
            <w:vAlign w:val="center"/>
            <w:tcMar>
              <w:top w:w="80" w:type="dxa"/>
              <w:start w:w="120" w:type="dxa"/>
              <w:bottom w:w="80" w:type="dxa"/>
              <w:end w:w="120" w:type="dxa"/>
            </w:tcMar>
          </w:tcPr>
          <w:p>
            <w:pPr>
              <w:spacing w:after="0"/>
            </w:pPr>
            <w:r>
              <w:rPr>
                <w:rFonts w:ascii="Calibri" w:hAnsi="Calibri"/>
                <w:sz w:val="16"/>
              </w:rPr>
              <w:t>W</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Post payment adjustment</w:t>
            </w:r>
          </w:p>
        </w:tc>
        <w:tc>
          <w:tcPr>
            <w:tcW w:type="dxa" w:w="850"/>
            <w:vAlign w:val="center"/>
            <w:shd w:fill="F5F7F4"/>
            <w:tcMar>
              <w:top w:w="80" w:type="dxa"/>
              <w:start w:w="120" w:type="dxa"/>
              <w:bottom w:w="80" w:type="dxa"/>
              <w:end w:w="120" w:type="dxa"/>
            </w:tcMar>
          </w:tcPr>
          <w:p>
            <w:pPr>
              <w:spacing w:after="0"/>
            </w:pPr>
            <w:r>
              <w:rPr>
                <w:rFonts w:ascii="Calibri" w:hAnsi="Calibri"/>
                <w:sz w:val="16"/>
              </w:rPr>
              <w:t>—</w:t>
            </w:r>
          </w:p>
        </w:tc>
        <w:tc>
          <w:tcPr>
            <w:tcW w:type="dxa" w:w="950"/>
            <w:vAlign w:val="center"/>
            <w:shd w:fill="F5F7F4"/>
            <w:tcMar>
              <w:top w:w="80" w:type="dxa"/>
              <w:start w:w="120" w:type="dxa"/>
              <w:bottom w:w="80" w:type="dxa"/>
              <w:end w:w="120" w:type="dxa"/>
            </w:tcMar>
          </w:tcPr>
          <w:p>
            <w:pPr>
              <w:spacing w:after="0"/>
            </w:pPr>
            <w:r>
              <w:rPr>
                <w:rFonts w:ascii="Calibri" w:hAnsi="Calibri"/>
                <w:sz w:val="16"/>
              </w:rPr>
              <w:t>A</w:t>
            </w:r>
          </w:p>
        </w:tc>
        <w:tc>
          <w:tcPr>
            <w:tcW w:type="dxa" w:w="900"/>
            <w:vAlign w:val="center"/>
            <w:shd w:fill="F5F7F4"/>
            <w:tcMar>
              <w:top w:w="80" w:type="dxa"/>
              <w:start w:w="120" w:type="dxa"/>
              <w:bottom w:w="80" w:type="dxa"/>
              <w:end w:w="120" w:type="dxa"/>
            </w:tcMar>
          </w:tcPr>
          <w:p>
            <w:pPr>
              <w:spacing w:after="0"/>
            </w:pPr>
            <w:r>
              <w:rPr>
                <w:rFonts w:ascii="Calibri" w:hAnsi="Calibri"/>
                <w:sz w:val="16"/>
              </w:rPr>
              <w:t>—</w:t>
            </w:r>
          </w:p>
        </w:tc>
        <w:tc>
          <w:tcPr>
            <w:tcW w:type="dxa" w:w="1150"/>
            <w:vAlign w:val="center"/>
            <w:shd w:fill="F5F7F4"/>
            <w:tcMar>
              <w:top w:w="80" w:type="dxa"/>
              <w:start w:w="120" w:type="dxa"/>
              <w:bottom w:w="80" w:type="dxa"/>
              <w:end w:w="120" w:type="dxa"/>
            </w:tcMar>
          </w:tcPr>
          <w:p>
            <w:pPr>
              <w:spacing w:after="0"/>
            </w:pPr>
            <w:r>
              <w:rPr>
                <w:rFonts w:ascii="Calibri" w:hAnsi="Calibri"/>
                <w:sz w:val="16"/>
              </w:rPr>
              <w:t>—</w:t>
            </w:r>
          </w:p>
        </w:tc>
        <w:tc>
          <w:tcPr>
            <w:tcW w:type="dxa" w:w="900"/>
            <w:vAlign w:val="center"/>
            <w:shd w:fill="F5F7F4"/>
            <w:tcMar>
              <w:top w:w="80" w:type="dxa"/>
              <w:start w:w="120" w:type="dxa"/>
              <w:bottom w:w="80" w:type="dxa"/>
              <w:end w:w="120" w:type="dxa"/>
            </w:tcMar>
          </w:tcPr>
          <w:p>
            <w:pPr>
              <w:spacing w:after="0"/>
            </w:pPr>
            <w:r>
              <w:rPr>
                <w:rFonts w:ascii="Calibri" w:hAnsi="Calibri"/>
                <w:sz w:val="16"/>
              </w:rPr>
              <w:t>—</w:t>
            </w:r>
          </w:p>
        </w:tc>
        <w:tc>
          <w:tcPr>
            <w:tcW w:type="dxa" w:w="1000"/>
            <w:vAlign w:val="center"/>
            <w:shd w:fill="F5F7F4"/>
            <w:tcMar>
              <w:top w:w="80" w:type="dxa"/>
              <w:start w:w="120" w:type="dxa"/>
              <w:bottom w:w="80" w:type="dxa"/>
              <w:end w:w="120" w:type="dxa"/>
            </w:tcMar>
          </w:tcPr>
          <w:p>
            <w:pPr>
              <w:spacing w:after="0"/>
            </w:pPr>
            <w:r>
              <w:rPr>
                <w:rFonts w:ascii="Calibri" w:hAnsi="Calibri"/>
                <w:sz w:val="16"/>
              </w:rPr>
              <w:t>—</w:t>
            </w:r>
          </w:p>
        </w:tc>
        <w:tc>
          <w:tcPr>
            <w:tcW w:type="dxa" w:w="1510"/>
            <w:vAlign w:val="center"/>
            <w:shd w:fill="F5F7F4"/>
            <w:tcMar>
              <w:top w:w="80" w:type="dxa"/>
              <w:start w:w="120" w:type="dxa"/>
              <w:bottom w:w="80" w:type="dxa"/>
              <w:end w:w="120" w:type="dxa"/>
            </w:tcMar>
          </w:tcPr>
          <w:p>
            <w:pPr>
              <w:spacing w:after="0"/>
            </w:pPr>
            <w:r>
              <w:rPr>
                <w:rFonts w:ascii="Calibri" w:hAnsi="Calibri"/>
                <w:sz w:val="16"/>
              </w:rPr>
              <w:t>W</w:t>
            </w:r>
          </w:p>
        </w:tc>
      </w:tr>
      <w:tr>
        <w:tc>
          <w:tcPr>
            <w:tcW w:type="dxa" w:w="2100"/>
            <w:vAlign w:val="center"/>
            <w:tcMar>
              <w:top w:w="80" w:type="dxa"/>
              <w:start w:w="120" w:type="dxa"/>
              <w:bottom w:w="80" w:type="dxa"/>
              <w:end w:w="120" w:type="dxa"/>
            </w:tcMar>
          </w:tcPr>
          <w:p>
            <w:pPr>
              <w:spacing w:after="0"/>
            </w:pPr>
            <w:r>
              <w:rPr>
                <w:rFonts w:ascii="Calibri" w:hAnsi="Calibri"/>
                <w:sz w:val="16"/>
              </w:rPr>
              <w:t>Approve reversal</w:t>
            </w:r>
          </w:p>
        </w:tc>
        <w:tc>
          <w:tcPr>
            <w:tcW w:type="dxa" w:w="850"/>
            <w:vAlign w:val="center"/>
            <w:tcMar>
              <w:top w:w="80" w:type="dxa"/>
              <w:start w:w="120" w:type="dxa"/>
              <w:bottom w:w="80" w:type="dxa"/>
              <w:end w:w="120" w:type="dxa"/>
            </w:tcMar>
          </w:tcPr>
          <w:p>
            <w:pPr>
              <w:spacing w:after="0"/>
            </w:pPr>
            <w:r>
              <w:rPr>
                <w:rFonts w:ascii="Calibri" w:hAnsi="Calibri"/>
                <w:sz w:val="16"/>
              </w:rPr>
              <w:t>—</w:t>
            </w:r>
          </w:p>
        </w:tc>
        <w:tc>
          <w:tcPr>
            <w:tcW w:type="dxa" w:w="950"/>
            <w:vAlign w:val="center"/>
            <w:tcMar>
              <w:top w:w="80" w:type="dxa"/>
              <w:start w:w="120" w:type="dxa"/>
              <w:bottom w:w="80" w:type="dxa"/>
              <w:end w:w="120" w:type="dxa"/>
            </w:tcMar>
          </w:tcPr>
          <w:p>
            <w:pPr>
              <w:spacing w:after="0"/>
            </w:pPr>
            <w:r>
              <w:rPr>
                <w:rFonts w:ascii="Calibri" w:hAnsi="Calibri"/>
                <w:sz w:val="16"/>
              </w:rPr>
              <w:t>A</w:t>
            </w:r>
          </w:p>
        </w:tc>
        <w:tc>
          <w:tcPr>
            <w:tcW w:type="dxa" w:w="900"/>
            <w:vAlign w:val="center"/>
            <w:tcMar>
              <w:top w:w="80" w:type="dxa"/>
              <w:start w:w="120" w:type="dxa"/>
              <w:bottom w:w="80" w:type="dxa"/>
              <w:end w:w="120" w:type="dxa"/>
            </w:tcMar>
          </w:tcPr>
          <w:p>
            <w:pPr>
              <w:spacing w:after="0"/>
            </w:pPr>
            <w:r>
              <w:rPr>
                <w:rFonts w:ascii="Calibri" w:hAnsi="Calibri"/>
                <w:sz w:val="16"/>
              </w:rPr>
              <w:t>Delegated</w:t>
            </w:r>
          </w:p>
        </w:tc>
        <w:tc>
          <w:tcPr>
            <w:tcW w:type="dxa" w:w="1150"/>
            <w:vAlign w:val="center"/>
            <w:tcMar>
              <w:top w:w="80" w:type="dxa"/>
              <w:start w:w="120" w:type="dxa"/>
              <w:bottom w:w="80" w:type="dxa"/>
              <w:end w:w="120" w:type="dxa"/>
            </w:tcMar>
          </w:tcPr>
          <w:p>
            <w:pPr>
              <w:spacing w:after="0"/>
            </w:pPr>
            <w:r>
              <w:rPr>
                <w:rFonts w:ascii="Calibri" w:hAnsi="Calibri"/>
                <w:sz w:val="16"/>
              </w:rPr>
              <w:t>—</w:t>
            </w:r>
          </w:p>
        </w:tc>
        <w:tc>
          <w:tcPr>
            <w:tcW w:type="dxa" w:w="900"/>
            <w:vAlign w:val="center"/>
            <w:tcMar>
              <w:top w:w="80" w:type="dxa"/>
              <w:start w:w="120" w:type="dxa"/>
              <w:bottom w:w="80" w:type="dxa"/>
              <w:end w:w="120" w:type="dxa"/>
            </w:tcMar>
          </w:tcPr>
          <w:p>
            <w:pPr>
              <w:spacing w:after="0"/>
            </w:pPr>
            <w:r>
              <w:rPr>
                <w:rFonts w:ascii="Calibri" w:hAnsi="Calibri"/>
                <w:sz w:val="16"/>
              </w:rPr>
              <w:t>—</w:t>
            </w:r>
          </w:p>
        </w:tc>
        <w:tc>
          <w:tcPr>
            <w:tcW w:type="dxa" w:w="1000"/>
            <w:vAlign w:val="center"/>
            <w:tcMar>
              <w:top w:w="80" w:type="dxa"/>
              <w:start w:w="120" w:type="dxa"/>
              <w:bottom w:w="80" w:type="dxa"/>
              <w:end w:w="120" w:type="dxa"/>
            </w:tcMar>
          </w:tcPr>
          <w:p>
            <w:pPr>
              <w:spacing w:after="0"/>
            </w:pPr>
            <w:r>
              <w:rPr>
                <w:rFonts w:ascii="Calibri" w:hAnsi="Calibri"/>
                <w:sz w:val="16"/>
              </w:rPr>
              <w:t>—</w:t>
            </w:r>
          </w:p>
        </w:tc>
        <w:tc>
          <w:tcPr>
            <w:tcW w:type="dxa" w:w="1510"/>
            <w:vAlign w:val="center"/>
            <w:tcMar>
              <w:top w:w="80" w:type="dxa"/>
              <w:start w:w="120" w:type="dxa"/>
              <w:bottom w:w="80" w:type="dxa"/>
              <w:end w:w="120" w:type="dxa"/>
            </w:tcMar>
          </w:tcPr>
          <w:p>
            <w:pPr>
              <w:spacing w:after="0"/>
            </w:pPr>
            <w:r>
              <w:rPr>
                <w:rFonts w:ascii="Calibri" w:hAnsi="Calibri"/>
                <w:sz w:val="16"/>
              </w:rPr>
              <w:t>Separate approver</w:t>
            </w:r>
          </w:p>
        </w:tc>
      </w:tr>
      <w:tr>
        <w:tc>
          <w:tcPr>
            <w:tcW w:type="dxa" w:w="2100"/>
            <w:vAlign w:val="center"/>
            <w:shd w:fill="F5F7F4"/>
            <w:tcMar>
              <w:top w:w="80" w:type="dxa"/>
              <w:start w:w="120" w:type="dxa"/>
              <w:bottom w:w="80" w:type="dxa"/>
              <w:end w:w="120" w:type="dxa"/>
            </w:tcMar>
          </w:tcPr>
          <w:p>
            <w:pPr>
              <w:spacing w:after="0"/>
            </w:pPr>
            <w:r>
              <w:rPr>
                <w:rFonts w:ascii="Calibri" w:hAnsi="Calibri"/>
                <w:sz w:val="16"/>
              </w:rPr>
              <w:t>Export sensitive data</w:t>
            </w:r>
          </w:p>
        </w:tc>
        <w:tc>
          <w:tcPr>
            <w:tcW w:type="dxa" w:w="850"/>
            <w:vAlign w:val="center"/>
            <w:shd w:fill="F5F7F4"/>
            <w:tcMar>
              <w:top w:w="80" w:type="dxa"/>
              <w:start w:w="120" w:type="dxa"/>
              <w:bottom w:w="80" w:type="dxa"/>
              <w:end w:w="120" w:type="dxa"/>
            </w:tcMar>
          </w:tcPr>
          <w:p>
            <w:pPr>
              <w:spacing w:after="0"/>
            </w:pPr>
            <w:r>
              <w:rPr>
                <w:rFonts w:ascii="Calibri" w:hAnsi="Calibri"/>
                <w:sz w:val="16"/>
              </w:rPr>
              <w:t>S</w:t>
            </w:r>
          </w:p>
        </w:tc>
        <w:tc>
          <w:tcPr>
            <w:tcW w:type="dxa" w:w="950"/>
            <w:vAlign w:val="center"/>
            <w:shd w:fill="F5F7F4"/>
            <w:tcMar>
              <w:top w:w="80" w:type="dxa"/>
              <w:start w:w="120" w:type="dxa"/>
              <w:bottom w:w="80" w:type="dxa"/>
              <w:end w:w="120" w:type="dxa"/>
            </w:tcMar>
          </w:tcPr>
          <w:p>
            <w:pPr>
              <w:spacing w:after="0"/>
            </w:pPr>
            <w:r>
              <w:rPr>
                <w:rFonts w:ascii="Calibri" w:hAnsi="Calibri"/>
                <w:sz w:val="16"/>
              </w:rPr>
              <w:t>A</w:t>
            </w:r>
          </w:p>
        </w:tc>
        <w:tc>
          <w:tcPr>
            <w:tcW w:type="dxa" w:w="900"/>
            <w:vAlign w:val="center"/>
            <w:shd w:fill="F5F7F4"/>
            <w:tcMar>
              <w:top w:w="80" w:type="dxa"/>
              <w:start w:w="120" w:type="dxa"/>
              <w:bottom w:w="80" w:type="dxa"/>
              <w:end w:w="120" w:type="dxa"/>
            </w:tcMar>
          </w:tcPr>
          <w:p>
            <w:pPr>
              <w:spacing w:after="0"/>
            </w:pPr>
            <w:r>
              <w:rPr>
                <w:rFonts w:ascii="Calibri" w:hAnsi="Calibri"/>
                <w:sz w:val="16"/>
              </w:rPr>
              <w:t>Delegated</w:t>
            </w:r>
          </w:p>
        </w:tc>
        <w:tc>
          <w:tcPr>
            <w:tcW w:type="dxa" w:w="1150"/>
            <w:vAlign w:val="center"/>
            <w:shd w:fill="F5F7F4"/>
            <w:tcMar>
              <w:top w:w="80" w:type="dxa"/>
              <w:start w:w="120" w:type="dxa"/>
              <w:bottom w:w="80" w:type="dxa"/>
              <w:end w:w="120" w:type="dxa"/>
            </w:tcMar>
          </w:tcPr>
          <w:p>
            <w:pPr>
              <w:spacing w:after="0"/>
            </w:pPr>
            <w:r>
              <w:rPr>
                <w:rFonts w:ascii="Calibri" w:hAnsi="Calibri"/>
                <w:sz w:val="16"/>
              </w:rPr>
              <w:t>Limited</w:t>
            </w:r>
          </w:p>
        </w:tc>
        <w:tc>
          <w:tcPr>
            <w:tcW w:type="dxa" w:w="900"/>
            <w:vAlign w:val="center"/>
            <w:shd w:fill="F5F7F4"/>
            <w:tcMar>
              <w:top w:w="80" w:type="dxa"/>
              <w:start w:w="120" w:type="dxa"/>
              <w:bottom w:w="80" w:type="dxa"/>
              <w:end w:w="120" w:type="dxa"/>
            </w:tcMar>
          </w:tcPr>
          <w:p>
            <w:pPr>
              <w:spacing w:after="0"/>
            </w:pPr>
            <w:r>
              <w:rPr>
                <w:rFonts w:ascii="Calibri" w:hAnsi="Calibri"/>
                <w:sz w:val="16"/>
              </w:rPr>
              <w:t>Own</w:t>
            </w:r>
          </w:p>
        </w:tc>
        <w:tc>
          <w:tcPr>
            <w:tcW w:type="dxa" w:w="1000"/>
            <w:vAlign w:val="center"/>
            <w:shd w:fill="F5F7F4"/>
            <w:tcMar>
              <w:top w:w="80" w:type="dxa"/>
              <w:start w:w="120" w:type="dxa"/>
              <w:bottom w:w="80" w:type="dxa"/>
              <w:end w:w="120" w:type="dxa"/>
            </w:tcMar>
          </w:tcPr>
          <w:p>
            <w:pPr>
              <w:spacing w:after="0"/>
            </w:pPr>
            <w:r>
              <w:rPr>
                <w:rFonts w:ascii="Calibri" w:hAnsi="Calibri"/>
                <w:sz w:val="16"/>
              </w:rPr>
              <w:t>Linked</w:t>
            </w:r>
          </w:p>
        </w:tc>
        <w:tc>
          <w:tcPr>
            <w:tcW w:type="dxa" w:w="1510"/>
            <w:vAlign w:val="center"/>
            <w:shd w:fill="F5F7F4"/>
            <w:tcMar>
              <w:top w:w="80" w:type="dxa"/>
              <w:start w:w="120" w:type="dxa"/>
              <w:bottom w:w="80" w:type="dxa"/>
              <w:end w:w="120" w:type="dxa"/>
            </w:tcMar>
          </w:tcPr>
          <w:p>
            <w:pPr>
              <w:spacing w:after="0"/>
            </w:pPr>
            <w:r>
              <w:rPr>
                <w:rFonts w:ascii="Calibri" w:hAnsi="Calibri"/>
                <w:sz w:val="16"/>
              </w:rPr>
              <w:t>Finance scope</w:t>
            </w:r>
          </w:p>
        </w:tc>
      </w:tr>
    </w:tbl>
    <w:p/>
    <w:p>
      <w:r>
        <w:t>Legend: A = approve/full governance; W = operational write; R = read; S = exceptional support scope; Assigned/Scoped/Linked = limited to explicit relationship; — = denied by default. Schools must refine this matrix for their policies.</w:t>
      </w:r>
    </w:p>
    <w:p>
      <w:pPr>
        <w:pStyle w:val="Heading1"/>
      </w:pPr>
      <w:r>
        <w:t>Appendix B — Record and workflow statuses</w:t>
      </w: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c>
          <w:tcPr>
            <w:tcW w:type="dxa" w:w="1700"/>
            <w:shd w:fill="173C31"/>
            <w:tcMar>
              <w:top w:w="80" w:type="dxa"/>
              <w:start w:w="120" w:type="dxa"/>
              <w:bottom w:w="80" w:type="dxa"/>
              <w:end w:w="120" w:type="dxa"/>
            </w:tcMar>
          </w:tcPr>
          <w:p>
            <w:r>
              <w:rPr>
                <w:b/>
                <w:color w:val="FFFFFF"/>
                <w:sz w:val="17"/>
              </w:rPr>
              <w:t>Object</w:t>
            </w:r>
          </w:p>
        </w:tc>
        <w:tc>
          <w:tcPr>
            <w:tcW w:type="dxa" w:w="3500"/>
            <w:shd w:fill="173C31"/>
            <w:tcMar>
              <w:top w:w="80" w:type="dxa"/>
              <w:start w:w="120" w:type="dxa"/>
              <w:bottom w:w="80" w:type="dxa"/>
              <w:end w:w="120" w:type="dxa"/>
            </w:tcMar>
          </w:tcPr>
          <w:p>
            <w:r>
              <w:rPr>
                <w:b/>
                <w:color w:val="FFFFFF"/>
                <w:sz w:val="17"/>
              </w:rPr>
              <w:t>Typical states</w:t>
            </w:r>
          </w:p>
        </w:tc>
        <w:tc>
          <w:tcPr>
            <w:tcW w:type="dxa" w:w="4160"/>
            <w:shd w:fill="173C31"/>
            <w:tcMar>
              <w:top w:w="80" w:type="dxa"/>
              <w:start w:w="120" w:type="dxa"/>
              <w:bottom w:w="80" w:type="dxa"/>
              <w:end w:w="120" w:type="dxa"/>
            </w:tcMar>
          </w:tcPr>
          <w:p>
            <w:r>
              <w:rPr>
                <w:b/>
                <w:color w:val="FFFFFF"/>
                <w:sz w:val="17"/>
              </w:rPr>
              <w:t>Rule</w:t>
            </w:r>
          </w:p>
        </w:tc>
      </w:tr>
      <w:tr>
        <w:tc>
          <w:tcPr>
            <w:tcW w:type="dxa" w:w="1700"/>
            <w:vAlign w:val="center"/>
            <w:tcMar>
              <w:top w:w="80" w:type="dxa"/>
              <w:start w:w="120" w:type="dxa"/>
              <w:bottom w:w="80" w:type="dxa"/>
              <w:end w:w="120" w:type="dxa"/>
            </w:tcMar>
          </w:tcPr>
          <w:p>
            <w:pPr>
              <w:spacing w:after="0"/>
            </w:pPr>
            <w:r>
              <w:rPr>
                <w:rFonts w:ascii="Calibri" w:hAnsi="Calibri"/>
                <w:sz w:val="16"/>
              </w:rPr>
              <w:t>User</w:t>
            </w:r>
          </w:p>
        </w:tc>
        <w:tc>
          <w:tcPr>
            <w:tcW w:type="dxa" w:w="3500"/>
            <w:vAlign w:val="center"/>
            <w:tcMar>
              <w:top w:w="80" w:type="dxa"/>
              <w:start w:w="120" w:type="dxa"/>
              <w:bottom w:w="80" w:type="dxa"/>
              <w:end w:w="120" w:type="dxa"/>
            </w:tcMar>
          </w:tcPr>
          <w:p>
            <w:pPr>
              <w:spacing w:after="0"/>
            </w:pPr>
            <w:r>
              <w:rPr>
                <w:rFonts w:ascii="Calibri" w:hAnsi="Calibri"/>
                <w:sz w:val="16"/>
              </w:rPr>
              <w:t>Invited, Active, Locked, Suspended, Disabled</w:t>
            </w:r>
          </w:p>
        </w:tc>
        <w:tc>
          <w:tcPr>
            <w:tcW w:type="dxa" w:w="4160"/>
            <w:vAlign w:val="center"/>
            <w:tcMar>
              <w:top w:w="80" w:type="dxa"/>
              <w:start w:w="120" w:type="dxa"/>
              <w:bottom w:w="80" w:type="dxa"/>
              <w:end w:w="120" w:type="dxa"/>
            </w:tcMar>
          </w:tcPr>
          <w:p>
            <w:pPr>
              <w:spacing w:after="0"/>
            </w:pPr>
            <w:r>
              <w:rPr>
                <w:rFonts w:ascii="Calibri" w:hAnsi="Calibri"/>
                <w:sz w:val="16"/>
              </w:rPr>
              <w:t>Only authorised staff change state; history retained</w:t>
            </w:r>
          </w:p>
        </w:tc>
      </w:tr>
      <w:tr>
        <w:tc>
          <w:tcPr>
            <w:tcW w:type="dxa" w:w="1700"/>
            <w:vAlign w:val="center"/>
            <w:shd w:fill="F5F7F4"/>
            <w:tcMar>
              <w:top w:w="80" w:type="dxa"/>
              <w:start w:w="120" w:type="dxa"/>
              <w:bottom w:w="80" w:type="dxa"/>
              <w:end w:w="120" w:type="dxa"/>
            </w:tcMar>
          </w:tcPr>
          <w:p>
            <w:pPr>
              <w:spacing w:after="0"/>
            </w:pPr>
            <w:r>
              <w:rPr>
                <w:rFonts w:ascii="Calibri" w:hAnsi="Calibri"/>
                <w:sz w:val="16"/>
              </w:rPr>
              <w:t>Academic period</w:t>
            </w:r>
          </w:p>
        </w:tc>
        <w:tc>
          <w:tcPr>
            <w:tcW w:type="dxa" w:w="3500"/>
            <w:vAlign w:val="center"/>
            <w:shd w:fill="F5F7F4"/>
            <w:tcMar>
              <w:top w:w="80" w:type="dxa"/>
              <w:start w:w="120" w:type="dxa"/>
              <w:bottom w:w="80" w:type="dxa"/>
              <w:end w:w="120" w:type="dxa"/>
            </w:tcMar>
          </w:tcPr>
          <w:p>
            <w:pPr>
              <w:spacing w:after="0"/>
            </w:pPr>
            <w:r>
              <w:rPr>
                <w:rFonts w:ascii="Calibri" w:hAnsi="Calibri"/>
                <w:sz w:val="16"/>
              </w:rPr>
              <w:t>Draft, Open, Review, Published, Closed</w:t>
            </w:r>
          </w:p>
        </w:tc>
        <w:tc>
          <w:tcPr>
            <w:tcW w:type="dxa" w:w="4160"/>
            <w:vAlign w:val="center"/>
            <w:shd w:fill="F5F7F4"/>
            <w:tcMar>
              <w:top w:w="80" w:type="dxa"/>
              <w:start w:w="120" w:type="dxa"/>
              <w:bottom w:w="80" w:type="dxa"/>
              <w:end w:w="120" w:type="dxa"/>
            </w:tcMar>
          </w:tcPr>
          <w:p>
            <w:pPr>
              <w:spacing w:after="0"/>
            </w:pPr>
            <w:r>
              <w:rPr>
                <w:rFonts w:ascii="Calibri" w:hAnsi="Calibri"/>
                <w:sz w:val="16"/>
              </w:rPr>
              <w:t>State controls who may enter or publish</w:t>
            </w:r>
          </w:p>
        </w:tc>
      </w:tr>
      <w:tr>
        <w:tc>
          <w:tcPr>
            <w:tcW w:type="dxa" w:w="1700"/>
            <w:vAlign w:val="center"/>
            <w:tcMar>
              <w:top w:w="80" w:type="dxa"/>
              <w:start w:w="120" w:type="dxa"/>
              <w:bottom w:w="80" w:type="dxa"/>
              <w:end w:w="120" w:type="dxa"/>
            </w:tcMar>
          </w:tcPr>
          <w:p>
            <w:pPr>
              <w:spacing w:after="0"/>
            </w:pPr>
            <w:r>
              <w:rPr>
                <w:rFonts w:ascii="Calibri" w:hAnsi="Calibri"/>
                <w:sz w:val="16"/>
              </w:rPr>
              <w:t>Assessment</w:t>
            </w:r>
          </w:p>
        </w:tc>
        <w:tc>
          <w:tcPr>
            <w:tcW w:type="dxa" w:w="3500"/>
            <w:vAlign w:val="center"/>
            <w:tcMar>
              <w:top w:w="80" w:type="dxa"/>
              <w:start w:w="120" w:type="dxa"/>
              <w:bottom w:w="80" w:type="dxa"/>
              <w:end w:w="120" w:type="dxa"/>
            </w:tcMar>
          </w:tcPr>
          <w:p>
            <w:pPr>
              <w:spacing w:after="0"/>
            </w:pPr>
            <w:r>
              <w:rPr>
                <w:rFonts w:ascii="Calibri" w:hAnsi="Calibri"/>
                <w:sz w:val="16"/>
              </w:rPr>
              <w:t>Draft, Open, Submitted, Moderation, Approved, Published</w:t>
            </w:r>
          </w:p>
        </w:tc>
        <w:tc>
          <w:tcPr>
            <w:tcW w:type="dxa" w:w="4160"/>
            <w:vAlign w:val="center"/>
            <w:tcMar>
              <w:top w:w="80" w:type="dxa"/>
              <w:start w:w="120" w:type="dxa"/>
              <w:bottom w:w="80" w:type="dxa"/>
              <w:end w:w="120" w:type="dxa"/>
            </w:tcMar>
          </w:tcPr>
          <w:p>
            <w:pPr>
              <w:spacing w:after="0"/>
            </w:pPr>
            <w:r>
              <w:rPr>
                <w:rFonts w:ascii="Calibri" w:hAnsi="Calibri"/>
                <w:sz w:val="16"/>
              </w:rPr>
              <w:t>No direct editing after publication</w:t>
            </w:r>
          </w:p>
        </w:tc>
      </w:tr>
      <w:tr>
        <w:tc>
          <w:tcPr>
            <w:tcW w:type="dxa" w:w="1700"/>
            <w:vAlign w:val="center"/>
            <w:shd w:fill="F5F7F4"/>
            <w:tcMar>
              <w:top w:w="80" w:type="dxa"/>
              <w:start w:w="120" w:type="dxa"/>
              <w:bottom w:w="80" w:type="dxa"/>
              <w:end w:w="120" w:type="dxa"/>
            </w:tcMar>
          </w:tcPr>
          <w:p>
            <w:pPr>
              <w:spacing w:after="0"/>
            </w:pPr>
            <w:r>
              <w:rPr>
                <w:rFonts w:ascii="Calibri" w:hAnsi="Calibri"/>
                <w:sz w:val="16"/>
              </w:rPr>
              <w:t>Invoice</w:t>
            </w:r>
          </w:p>
        </w:tc>
        <w:tc>
          <w:tcPr>
            <w:tcW w:type="dxa" w:w="3500"/>
            <w:vAlign w:val="center"/>
            <w:shd w:fill="F5F7F4"/>
            <w:tcMar>
              <w:top w:w="80" w:type="dxa"/>
              <w:start w:w="120" w:type="dxa"/>
              <w:bottom w:w="80" w:type="dxa"/>
              <w:end w:w="120" w:type="dxa"/>
            </w:tcMar>
          </w:tcPr>
          <w:p>
            <w:pPr>
              <w:spacing w:after="0"/>
            </w:pPr>
            <w:r>
              <w:rPr>
                <w:rFonts w:ascii="Calibri" w:hAnsi="Calibri"/>
                <w:sz w:val="16"/>
              </w:rPr>
              <w:t>Draft, Issued, Part-paid, Paid, Cancelled</w:t>
            </w:r>
          </w:p>
        </w:tc>
        <w:tc>
          <w:tcPr>
            <w:tcW w:type="dxa" w:w="4160"/>
            <w:vAlign w:val="center"/>
            <w:shd w:fill="F5F7F4"/>
            <w:tcMar>
              <w:top w:w="80" w:type="dxa"/>
              <w:start w:w="120" w:type="dxa"/>
              <w:bottom w:w="80" w:type="dxa"/>
              <w:end w:w="120" w:type="dxa"/>
            </w:tcMar>
          </w:tcPr>
          <w:p>
            <w:pPr>
              <w:spacing w:after="0"/>
            </w:pPr>
            <w:r>
              <w:rPr>
                <w:rFonts w:ascii="Calibri" w:hAnsi="Calibri"/>
                <w:sz w:val="16"/>
              </w:rPr>
              <w:t>Cancellation uses controlled accounting rule</w:t>
            </w:r>
          </w:p>
        </w:tc>
      </w:tr>
      <w:tr>
        <w:tc>
          <w:tcPr>
            <w:tcW w:type="dxa" w:w="1700"/>
            <w:vAlign w:val="center"/>
            <w:tcMar>
              <w:top w:w="80" w:type="dxa"/>
              <w:start w:w="120" w:type="dxa"/>
              <w:bottom w:w="80" w:type="dxa"/>
              <w:end w:w="120" w:type="dxa"/>
            </w:tcMar>
          </w:tcPr>
          <w:p>
            <w:pPr>
              <w:spacing w:after="0"/>
            </w:pPr>
            <w:r>
              <w:rPr>
                <w:rFonts w:ascii="Calibri" w:hAnsi="Calibri"/>
                <w:sz w:val="16"/>
              </w:rPr>
              <w:t>Payment</w:t>
            </w:r>
          </w:p>
        </w:tc>
        <w:tc>
          <w:tcPr>
            <w:tcW w:type="dxa" w:w="3500"/>
            <w:vAlign w:val="center"/>
            <w:tcMar>
              <w:top w:w="80" w:type="dxa"/>
              <w:start w:w="120" w:type="dxa"/>
              <w:bottom w:w="80" w:type="dxa"/>
              <w:end w:w="120" w:type="dxa"/>
            </w:tcMar>
          </w:tcPr>
          <w:p>
            <w:pPr>
              <w:spacing w:after="0"/>
            </w:pPr>
            <w:r>
              <w:rPr>
                <w:rFonts w:ascii="Calibri" w:hAnsi="Calibri"/>
                <w:sz w:val="16"/>
              </w:rPr>
              <w:t>Initiated, Pending, Successful, Failed, Reversed, Refunded</w:t>
            </w:r>
          </w:p>
        </w:tc>
        <w:tc>
          <w:tcPr>
            <w:tcW w:type="dxa" w:w="4160"/>
            <w:vAlign w:val="center"/>
            <w:tcMar>
              <w:top w:w="80" w:type="dxa"/>
              <w:start w:w="120" w:type="dxa"/>
              <w:bottom w:w="80" w:type="dxa"/>
              <w:end w:w="120" w:type="dxa"/>
            </w:tcMar>
          </w:tcPr>
          <w:p>
            <w:pPr>
              <w:spacing w:after="0"/>
            </w:pPr>
            <w:r>
              <w:rPr>
                <w:rFonts w:ascii="Calibri" w:hAnsi="Calibri"/>
                <w:sz w:val="16"/>
              </w:rPr>
              <w:t>Only trusted provider or authorised cashier establishes success</w:t>
            </w:r>
          </w:p>
        </w:tc>
      </w:tr>
      <w:tr>
        <w:tc>
          <w:tcPr>
            <w:tcW w:type="dxa" w:w="1700"/>
            <w:vAlign w:val="center"/>
            <w:shd w:fill="F5F7F4"/>
            <w:tcMar>
              <w:top w:w="80" w:type="dxa"/>
              <w:start w:w="120" w:type="dxa"/>
              <w:bottom w:w="80" w:type="dxa"/>
              <w:end w:w="120" w:type="dxa"/>
            </w:tcMar>
          </w:tcPr>
          <w:p>
            <w:pPr>
              <w:spacing w:after="0"/>
            </w:pPr>
            <w:r>
              <w:rPr>
                <w:rFonts w:ascii="Calibri" w:hAnsi="Calibri"/>
                <w:sz w:val="16"/>
              </w:rPr>
              <w:t>Announcement</w:t>
            </w:r>
          </w:p>
        </w:tc>
        <w:tc>
          <w:tcPr>
            <w:tcW w:type="dxa" w:w="3500"/>
            <w:vAlign w:val="center"/>
            <w:shd w:fill="F5F7F4"/>
            <w:tcMar>
              <w:top w:w="80" w:type="dxa"/>
              <w:start w:w="120" w:type="dxa"/>
              <w:bottom w:w="80" w:type="dxa"/>
              <w:end w:w="120" w:type="dxa"/>
            </w:tcMar>
          </w:tcPr>
          <w:p>
            <w:pPr>
              <w:spacing w:after="0"/>
            </w:pPr>
            <w:r>
              <w:rPr>
                <w:rFonts w:ascii="Calibri" w:hAnsi="Calibri"/>
                <w:sz w:val="16"/>
              </w:rPr>
              <w:t>Draft, Pending approval, Scheduled, Published, Expired, Withdrawn</w:t>
            </w:r>
          </w:p>
        </w:tc>
        <w:tc>
          <w:tcPr>
            <w:tcW w:type="dxa" w:w="4160"/>
            <w:vAlign w:val="center"/>
            <w:shd w:fill="F5F7F4"/>
            <w:tcMar>
              <w:top w:w="80" w:type="dxa"/>
              <w:start w:w="120" w:type="dxa"/>
              <w:bottom w:w="80" w:type="dxa"/>
              <w:end w:w="120" w:type="dxa"/>
            </w:tcMar>
          </w:tcPr>
          <w:p>
            <w:pPr>
              <w:spacing w:after="0"/>
            </w:pPr>
            <w:r>
              <w:rPr>
                <w:rFonts w:ascii="Calibri" w:hAnsi="Calibri"/>
                <w:sz w:val="16"/>
              </w:rPr>
              <w:t>Priority and audience changes are audited</w:t>
            </w:r>
          </w:p>
        </w:tc>
      </w:tr>
      <w:tr>
        <w:tc>
          <w:tcPr>
            <w:tcW w:type="dxa" w:w="1700"/>
            <w:vAlign w:val="center"/>
            <w:tcMar>
              <w:top w:w="80" w:type="dxa"/>
              <w:start w:w="120" w:type="dxa"/>
              <w:bottom w:w="80" w:type="dxa"/>
              <w:end w:w="120" w:type="dxa"/>
            </w:tcMar>
          </w:tcPr>
          <w:p>
            <w:pPr>
              <w:spacing w:after="0"/>
            </w:pPr>
            <w:r>
              <w:rPr>
                <w:rFonts w:ascii="Calibri" w:hAnsi="Calibri"/>
                <w:sz w:val="16"/>
              </w:rPr>
              <w:t>Import</w:t>
            </w:r>
          </w:p>
        </w:tc>
        <w:tc>
          <w:tcPr>
            <w:tcW w:type="dxa" w:w="3500"/>
            <w:vAlign w:val="center"/>
            <w:tcMar>
              <w:top w:w="80" w:type="dxa"/>
              <w:start w:w="120" w:type="dxa"/>
              <w:bottom w:w="80" w:type="dxa"/>
              <w:end w:w="120" w:type="dxa"/>
            </w:tcMar>
          </w:tcPr>
          <w:p>
            <w:pPr>
              <w:spacing w:after="0"/>
            </w:pPr>
            <w:r>
              <w:rPr>
                <w:rFonts w:ascii="Calibri" w:hAnsi="Calibri"/>
                <w:sz w:val="16"/>
              </w:rPr>
              <w:t>Uploaded, Validating, Ready, Partially accepted, Completed, Failed</w:t>
            </w:r>
          </w:p>
        </w:tc>
        <w:tc>
          <w:tcPr>
            <w:tcW w:type="dxa" w:w="4160"/>
            <w:vAlign w:val="center"/>
            <w:tcMar>
              <w:top w:w="80" w:type="dxa"/>
              <w:start w:w="120" w:type="dxa"/>
              <w:bottom w:w="80" w:type="dxa"/>
              <w:end w:w="120" w:type="dxa"/>
            </w:tcMar>
          </w:tcPr>
          <w:p>
            <w:pPr>
              <w:spacing w:after="0"/>
            </w:pPr>
            <w:r>
              <w:rPr>
                <w:rFonts w:ascii="Calibri" w:hAnsi="Calibri"/>
                <w:sz w:val="16"/>
              </w:rPr>
              <w:t>Preview before commit; errors downloadable</w:t>
            </w:r>
          </w:p>
        </w:tc>
      </w:tr>
      <w:tr>
        <w:tc>
          <w:tcPr>
            <w:tcW w:type="dxa" w:w="1700"/>
            <w:vAlign w:val="center"/>
            <w:shd w:fill="F5F7F4"/>
            <w:tcMar>
              <w:top w:w="80" w:type="dxa"/>
              <w:start w:w="120" w:type="dxa"/>
              <w:bottom w:w="80" w:type="dxa"/>
              <w:end w:w="120" w:type="dxa"/>
            </w:tcMar>
          </w:tcPr>
          <w:p>
            <w:pPr>
              <w:spacing w:after="0"/>
            </w:pPr>
            <w:r>
              <w:rPr>
                <w:rFonts w:ascii="Calibri" w:hAnsi="Calibri"/>
                <w:sz w:val="16"/>
              </w:rPr>
              <w:t>Support ticket</w:t>
            </w:r>
          </w:p>
        </w:tc>
        <w:tc>
          <w:tcPr>
            <w:tcW w:type="dxa" w:w="3500"/>
            <w:vAlign w:val="center"/>
            <w:shd w:fill="F5F7F4"/>
            <w:tcMar>
              <w:top w:w="80" w:type="dxa"/>
              <w:start w:w="120" w:type="dxa"/>
              <w:bottom w:w="80" w:type="dxa"/>
              <w:end w:w="120" w:type="dxa"/>
            </w:tcMar>
          </w:tcPr>
          <w:p>
            <w:pPr>
              <w:spacing w:after="0"/>
            </w:pPr>
            <w:r>
              <w:rPr>
                <w:rFonts w:ascii="Calibri" w:hAnsi="Calibri"/>
                <w:sz w:val="16"/>
              </w:rPr>
              <w:t>New, Triaged, In progress, Waiting, Resolved, Closed</w:t>
            </w:r>
          </w:p>
        </w:tc>
        <w:tc>
          <w:tcPr>
            <w:tcW w:type="dxa" w:w="4160"/>
            <w:vAlign w:val="center"/>
            <w:shd w:fill="F5F7F4"/>
            <w:tcMar>
              <w:top w:w="80" w:type="dxa"/>
              <w:start w:w="120" w:type="dxa"/>
              <w:bottom w:w="80" w:type="dxa"/>
              <w:end w:w="120" w:type="dxa"/>
            </w:tcMar>
          </w:tcPr>
          <w:p>
            <w:pPr>
              <w:spacing w:after="0"/>
            </w:pPr>
            <w:r>
              <w:rPr>
                <w:rFonts w:ascii="Calibri" w:hAnsi="Calibri"/>
                <w:sz w:val="16"/>
              </w:rPr>
              <w:t>Resolution and requester confirmation recorded</w:t>
            </w:r>
          </w:p>
        </w:tc>
      </w:tr>
    </w:tbl>
    <w:p/>
    <w:p>
      <w:pPr>
        <w:pStyle w:val="Heading1"/>
      </w:pPr>
      <w:r>
        <w:t>Appendix C — Minimum acceptance tests</w:t>
      </w:r>
    </w:p>
    <w:p>
      <w:pPr>
        <w:pStyle w:val="ListBullet"/>
      </w:pPr>
      <w:r>
        <w:t>A teacher cannot open another teacher’s unassigned class.</w:t>
      </w:r>
    </w:p>
    <w:p>
      <w:pPr>
        <w:pStyle w:val="ListBullet"/>
      </w:pPr>
      <w:r>
        <w:t>A student cannot request or infer another student’s result.</w:t>
      </w:r>
    </w:p>
    <w:p>
      <w:pPr>
        <w:pStyle w:val="ListBullet"/>
      </w:pPr>
      <w:r>
        <w:t>A guardian sees only verified linked children.</w:t>
      </w:r>
    </w:p>
    <w:p>
      <w:pPr>
        <w:pStyle w:val="ListBullet"/>
      </w:pPr>
      <w:r>
        <w:t>A school administrator cannot access another tenant by changing a URL or identifier.</w:t>
      </w:r>
    </w:p>
    <w:p>
      <w:pPr>
        <w:pStyle w:val="ListBullet"/>
      </w:pPr>
      <w:r>
        <w:t>A bursar correction preserves the original ledger event.</w:t>
      </w:r>
    </w:p>
    <w:p>
      <w:pPr>
        <w:pStyle w:val="ListBullet"/>
      </w:pPr>
      <w:r>
        <w:t>A teacher can distinguish zero, absent, exempt and not entered.</w:t>
      </w:r>
    </w:p>
    <w:p>
      <w:pPr>
        <w:pStyle w:val="ListBullet"/>
      </w:pPr>
      <w:r>
        <w:t>Published report cards remain reproducible after later configuration changes.</w:t>
      </w:r>
    </w:p>
    <w:p>
      <w:pPr>
        <w:pStyle w:val="ListBullet"/>
      </w:pPr>
      <w:r>
        <w:t>An invitation expires and cannot be reused after activation.</w:t>
      </w:r>
    </w:p>
    <w:p>
      <w:pPr>
        <w:pStyle w:val="ListBullet"/>
      </w:pPr>
      <w:r>
        <w:t>Disabling a staff account ends active sessions.</w:t>
      </w:r>
    </w:p>
    <w:p>
      <w:pPr>
        <w:pStyle w:val="ListBullet"/>
      </w:pPr>
      <w:r>
        <w:t>A notification cannot expose hidden recipient contact details.</w:t>
      </w:r>
    </w:p>
    <w:p>
      <w:pPr>
        <w:pStyle w:val="ListBullet"/>
      </w:pPr>
      <w:r>
        <w:t>A payment callback with invalid signature is rejected.</w:t>
      </w:r>
    </w:p>
    <w:p>
      <w:pPr>
        <w:pStyle w:val="ListBullet"/>
      </w:pPr>
      <w:r>
        <w:t>Duplicate callbacks do not post duplicate payments.</w:t>
      </w:r>
    </w:p>
    <w:p>
      <w:pPr>
        <w:pStyle w:val="ListBullet"/>
      </w:pPr>
      <w:r>
        <w:t>A restore test recovers database and file references.</w:t>
      </w:r>
    </w:p>
    <w:p>
      <w:pPr>
        <w:pStyle w:val="ListBullet"/>
      </w:pPr>
      <w:r>
        <w:t>Audit events identify actor, tenant, action, target and time.</w:t>
      </w:r>
    </w:p>
    <w:p>
      <w:pPr>
        <w:pStyle w:val="ListBullet"/>
      </w:pPr>
      <w:r>
        <w:t>Large imports fail safely without partial silent corruption.</w:t>
      </w:r>
    </w:p>
    <w:p>
      <w:pPr>
        <w:pStyle w:val="ListBullet"/>
      </w:pPr>
      <w:r>
        <w:t>Mobile workflows remain usable on a narrow viewport and slow network.</w:t>
      </w:r>
    </w:p>
    <w:p>
      <w:pPr>
        <w:pStyle w:val="Heading1"/>
      </w:pPr>
      <w:r>
        <w:t>Appendix D — Product launch checklist</w:t>
      </w:r>
    </w:p>
    <w:p>
      <w:pPr>
        <w:pStyle w:val="Heading2"/>
      </w:pPr>
      <w:r>
        <w:t>Governance</w:t>
      </w:r>
    </w:p>
    <w:p>
      <w:pPr>
        <w:pStyle w:val="ListBullet"/>
      </w:pPr>
      <w:r>
        <w:t>Named product owner and school data owner</w:t>
      </w:r>
    </w:p>
    <w:p>
      <w:pPr>
        <w:pStyle w:val="ListBullet"/>
      </w:pPr>
      <w:r>
        <w:t>Signed contracts and processing terms</w:t>
      </w:r>
    </w:p>
    <w:p>
      <w:pPr>
        <w:pStyle w:val="ListBullet"/>
      </w:pPr>
      <w:r>
        <w:t>Approved policies, retention and escalation paths</w:t>
      </w:r>
    </w:p>
    <w:p>
      <w:pPr>
        <w:pStyle w:val="Heading2"/>
      </w:pPr>
      <w:r>
        <w:t>Engineering</w:t>
      </w:r>
    </w:p>
    <w:p>
      <w:pPr>
        <w:pStyle w:val="ListBullet"/>
      </w:pPr>
      <w:r>
        <w:t>Production tenant isolation passed</w:t>
      </w:r>
    </w:p>
    <w:p>
      <w:pPr>
        <w:pStyle w:val="ListBullet"/>
      </w:pPr>
      <w:r>
        <w:t>Authentication, MFA and session controls passed</w:t>
      </w:r>
    </w:p>
    <w:p>
      <w:pPr>
        <w:pStyle w:val="ListBullet"/>
      </w:pPr>
      <w:r>
        <w:t>Backups restored successfully</w:t>
      </w:r>
    </w:p>
    <w:p>
      <w:pPr>
        <w:pStyle w:val="ListBullet"/>
      </w:pPr>
      <w:r>
        <w:t>Monitoring and incident response active</w:t>
      </w:r>
    </w:p>
    <w:p>
      <w:pPr>
        <w:pStyle w:val="Heading2"/>
      </w:pPr>
      <w:r>
        <w:t>School readiness</w:t>
      </w:r>
    </w:p>
    <w:p>
      <w:pPr>
        <w:pStyle w:val="ListBullet"/>
      </w:pPr>
      <w:r>
        <w:t>Structures, roles and calendars approved</w:t>
      </w:r>
    </w:p>
    <w:p>
      <w:pPr>
        <w:pStyle w:val="ListBullet"/>
      </w:pPr>
      <w:r>
        <w:t>Data import signed off</w:t>
      </w:r>
    </w:p>
    <w:p>
      <w:pPr>
        <w:pStyle w:val="ListBullet"/>
      </w:pPr>
      <w:r>
        <w:t>Champions and users trained</w:t>
      </w:r>
    </w:p>
    <w:p>
      <w:pPr>
        <w:pStyle w:val="ListBullet"/>
      </w:pPr>
      <w:r>
        <w:t>Support contacts communicated</w:t>
      </w:r>
    </w:p>
    <w:p>
      <w:pPr>
        <w:pStyle w:val="Heading2"/>
      </w:pPr>
      <w:r>
        <w:t>Commercial</w:t>
      </w:r>
    </w:p>
    <w:p>
      <w:pPr>
        <w:pStyle w:val="ListBullet"/>
      </w:pPr>
      <w:r>
        <w:t>Plans, limits and invoicing configured</w:t>
      </w:r>
    </w:p>
    <w:p>
      <w:pPr>
        <w:pStyle w:val="ListBullet"/>
      </w:pPr>
      <w:r>
        <w:t>Onboarding scope and change control agreed</w:t>
      </w:r>
    </w:p>
    <w:p>
      <w:pPr>
        <w:pStyle w:val="ListBullet"/>
      </w:pPr>
      <w:r>
        <w:t>Service levels and maintenance window documented</w:t>
      </w:r>
    </w:p>
    <w:p>
      <w:pPr>
        <w:pStyle w:val="Heading1"/>
      </w:pPr>
      <w:r>
        <w:t>Appendix E — Build completion definition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9F3EE"/>
            <w:tcMar>
              <w:top w:w="80" w:type="dxa"/>
              <w:start w:w="120" w:type="dxa"/>
              <w:bottom w:w="80" w:type="dxa"/>
              <w:end w:w="120" w:type="dxa"/>
            </w:tcMar>
          </w:tcPr>
          <w:p>
            <w:pPr>
              <w:spacing w:after="60"/>
            </w:pPr>
            <w:r>
              <w:rPr>
                <w:b/>
                <w:color w:val="173C31"/>
              </w:rPr>
              <w:t>What “finished” means</w:t>
            </w:r>
          </w:p>
          <w:p>
            <w:pPr>
              <w:spacing w:after="0"/>
            </w:pPr>
            <w:r>
              <w:rPr>
                <w:sz w:val="19"/>
              </w:rPr>
              <w:t>Somesa is finished for a release only when the scoped modules are implemented, role permissions are enforced server-side, tenant isolation is tested, critical workflows pass acceptance, backups and monitoring operate, documentation and training exist, privacy/security reviews are complete, and the school formally approves production use. Visual completeness alone is not completion.</w:t>
            </w:r>
          </w:p>
        </w:tc>
      </w:tr>
    </w:tbl>
    <w:p/>
    <w:p>
      <w:r>
        <w:t>This blueprint should be version-controlled. Each implementation decision, feature removal, new integration or regulatory requirement must update the relevant section, acceptance tests and training material before release.</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56E"/>
        <w:sz w:val="16"/>
      </w:rPr>
      <w:t xml:space="preserve">Avatar Solutions Ltd  •  Confidential Product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56E"/>
        <w:sz w:val="16"/>
      </w:rPr>
      <w:t>SOMESA UGANDA  |  COMPLETE SYSTEM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823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73C31"/>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F6B4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C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Somesa Uganda Complete System Blueprint</dc:title>
  <dc:subject>Functional specification and operations manual for a multi-tenant school management system</dc:subject>
  <dc:creator>Avatar Solutions Ltd</dc:creator>
  <cp:keywords>Somesa, Uganda, school management system, SaaS, portal, operations manual</cp:keywords>
  <dc:description>generated by python-docx</dc:description>
  <cp:lastModifiedBy/>
  <cp:revision>1</cp:revision>
  <dcterms:created xsi:type="dcterms:W3CDTF">2013-12-23T23:15:00Z</dcterms:created>
  <dcterms:modified xsi:type="dcterms:W3CDTF">2013-12-23T23:15:00Z</dcterms:modified>
  <cp:category/>
</cp:coreProperties>
</file>