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10D72E" w14:textId="63ADECA4" w:rsidR="00A437EB" w:rsidRDefault="00140405" w:rsidP="00140405">
      <w:pPr>
        <w:pStyle w:val="Heading1"/>
      </w:pPr>
      <w:r>
        <w:t xml:space="preserve">Simulating Time-Varying Estimators to Understand Potential Bias and Precision </w:t>
      </w:r>
      <w:r w:rsidR="00847C9B">
        <w:t>in Policy Effects</w:t>
      </w:r>
    </w:p>
    <w:p w14:paraId="47EC7A2B" w14:textId="62AD2D4A" w:rsidR="00847C9B" w:rsidRDefault="00847C9B" w:rsidP="00847C9B"/>
    <w:p w14:paraId="68446906" w14:textId="11FC901E" w:rsidR="00847C9B" w:rsidRDefault="00847C9B" w:rsidP="00847C9B">
      <w:pPr>
        <w:pStyle w:val="Heading2"/>
      </w:pPr>
      <w:r>
        <w:t>Methods</w:t>
      </w:r>
    </w:p>
    <w:p w14:paraId="0731E2B6" w14:textId="77777777" w:rsidR="00847C9B" w:rsidRDefault="00847C9B" w:rsidP="00847C9B"/>
    <w:p w14:paraId="7D2DFC36" w14:textId="3E873C5A" w:rsidR="00847C9B" w:rsidRDefault="00847C9B" w:rsidP="00847C9B">
      <w:pPr>
        <w:pStyle w:val="Heading3"/>
      </w:pPr>
      <w:r>
        <w:t>Observed Data</w:t>
      </w:r>
    </w:p>
    <w:p w14:paraId="256C6A36" w14:textId="5A6E0274" w:rsidR="00847C9B" w:rsidRDefault="00847C9B" w:rsidP="00847C9B">
      <w:r>
        <w:tab/>
        <w:t xml:space="preserve">We used data on observed opioid-related overdoses between 1999 and 2016, obtained from the 1999-2016 National Vital Statistics System – Multiple Cause of Death mortality files. Opioid-related overdose deaths were identified using the ICD-10 external cause of injury codes X40-X44, X60-64, X85, and Y10-14. We aggregated injury codes and calculated state-level overdose rates per 100,000 </w:t>
      </w:r>
      <w:r w:rsidR="00EB03A5">
        <w:t>state residents</w:t>
      </w:r>
      <w:r>
        <w:t xml:space="preserve">. We also included </w:t>
      </w:r>
      <w:commentRangeStart w:id="0"/>
      <w:r>
        <w:t xml:space="preserve">state-level unemployment rate per </w:t>
      </w:r>
      <w:r w:rsidR="008256A1">
        <w:t xml:space="preserve">100 </w:t>
      </w:r>
      <w:r w:rsidR="00EB03A5">
        <w:t>state residents</w:t>
      </w:r>
      <w:r w:rsidR="008256A1">
        <w:t xml:space="preserve"> as covariate</w:t>
      </w:r>
      <w:commentRangeEnd w:id="0"/>
      <w:r w:rsidR="008256A1">
        <w:rPr>
          <w:rStyle w:val="CommentReference"/>
        </w:rPr>
        <w:commentReference w:id="0"/>
      </w:r>
      <w:r w:rsidR="008256A1">
        <w:t xml:space="preserve"> in included model specifications, given the close association between unemployment and overdose mortality.</w:t>
      </w:r>
    </w:p>
    <w:p w14:paraId="58E07911" w14:textId="5A92A491" w:rsidR="00847C9B" w:rsidRDefault="00847C9B" w:rsidP="00847C9B">
      <w:pPr>
        <w:pStyle w:val="Heading3"/>
      </w:pPr>
      <w:r>
        <w:t xml:space="preserve">Simulated </w:t>
      </w:r>
      <w:r w:rsidR="00EB03A5">
        <w:t>Treatment and Outcome</w:t>
      </w:r>
    </w:p>
    <w:p w14:paraId="111BA5FF" w14:textId="794E68EC" w:rsidR="00847C9B" w:rsidRDefault="008256A1" w:rsidP="00847C9B">
      <w:r>
        <w:tab/>
        <w:t xml:space="preserve">We simulated treatment status by state and year so we could assess relative model performance under a known data-generating process. To do so, we built on prior simulation work which has compared the performance of statistical methods in recovering policy effects on total firearm deaths and </w:t>
      </w:r>
      <w:commentRangeStart w:id="1"/>
      <w:r>
        <w:t>opioid-related mortality</w:t>
      </w:r>
      <w:commentRangeEnd w:id="1"/>
      <w:r>
        <w:rPr>
          <w:rStyle w:val="CommentReference"/>
        </w:rPr>
        <w:commentReference w:id="1"/>
      </w:r>
      <w:r w:rsidR="0019713C">
        <w:t xml:space="preserve"> (Schell, Griffin, Morral, 2018; Griffin et al., 2021; Griffin et al., 2023)</w:t>
      </w:r>
      <w:r>
        <w:t xml:space="preserve">. </w:t>
      </w:r>
    </w:p>
    <w:p w14:paraId="530A7E04" w14:textId="00A2479A" w:rsidR="008256A1" w:rsidRPr="00EB03A5" w:rsidRDefault="008256A1" w:rsidP="00847C9B">
      <w:pPr>
        <w:rPr>
          <w:rFonts w:eastAsiaTheme="minorEastAsia"/>
        </w:rPr>
      </w:pPr>
      <w:r>
        <w:tab/>
        <w:t xml:space="preserve">To do so, for each state and year, we generated a binary-indicator </w:t>
      </w:r>
      <m:oMath>
        <m:sSub>
          <m:sSubPr>
            <m:ctrlPr>
              <w:rPr>
                <w:rFonts w:ascii="Cambria Math" w:hAnsi="Cambria Math"/>
                <w:i/>
              </w:rPr>
            </m:ctrlPr>
          </m:sSubPr>
          <m:e>
            <m:r>
              <w:rPr>
                <w:rFonts w:ascii="Cambria Math" w:hAnsi="Cambria Math"/>
              </w:rPr>
              <m:t>T</m:t>
            </m:r>
          </m:e>
          <m:sub>
            <m:r>
              <w:rPr>
                <w:rFonts w:ascii="Cambria Math" w:hAnsi="Cambria Math"/>
              </w:rPr>
              <m:t>i,t</m:t>
            </m:r>
          </m:sub>
        </m:sSub>
      </m:oMath>
      <w:r w:rsidR="00EB03A5">
        <w:rPr>
          <w:rFonts w:eastAsiaTheme="minorEastAsia"/>
        </w:rPr>
        <w:t xml:space="preserve"> which indicated whether a hypothetical overdose policy had been in effect between 1999 and 2016. Once a policy was in effect, the state remained treated for all remaining years. Control states were coded as </w:t>
      </w:r>
      <m:oMath>
        <m:sSub>
          <m:sSubPr>
            <m:ctrlPr>
              <w:rPr>
                <w:rFonts w:ascii="Cambria Math" w:hAnsi="Cambria Math"/>
                <w:i/>
              </w:rPr>
            </m:ctrlPr>
          </m:sSubPr>
          <m:e>
            <m:r>
              <w:rPr>
                <w:rFonts w:ascii="Cambria Math" w:hAnsi="Cambria Math"/>
              </w:rPr>
              <m:t>T</m:t>
            </m:r>
          </m:e>
          <m:sub>
            <m:r>
              <w:rPr>
                <w:rFonts w:ascii="Cambria Math" w:hAnsi="Cambria Math"/>
              </w:rPr>
              <m:t>i,t</m:t>
            </m:r>
          </m:sub>
        </m:sSub>
        <m:r>
          <w:rPr>
            <w:rFonts w:ascii="Cambria Math" w:eastAsiaTheme="minorEastAsia" w:hAnsi="Cambria Math"/>
          </w:rPr>
          <m:t xml:space="preserve"> =0</m:t>
        </m:r>
      </m:oMath>
      <w:r w:rsidR="00EB03A5">
        <w:rPr>
          <w:rFonts w:eastAsiaTheme="minorEastAsia"/>
        </w:rPr>
        <w:t xml:space="preserve"> for the entire study period. For each simulation dataset, we randomly selected a given number of treated states, and applied treatment to a randomly selected </w:t>
      </w:r>
      <w:commentRangeStart w:id="2"/>
      <w:r w:rsidR="00EB03A5">
        <w:rPr>
          <w:rFonts w:eastAsiaTheme="minorEastAsia"/>
        </w:rPr>
        <w:t>year</w:t>
      </w:r>
      <w:commentRangeEnd w:id="2"/>
      <w:r w:rsidR="00EB03A5">
        <w:rPr>
          <w:rStyle w:val="CommentReference"/>
        </w:rPr>
        <w:commentReference w:id="2"/>
      </w:r>
      <w:r w:rsidR="00EB03A5">
        <w:rPr>
          <w:rFonts w:eastAsiaTheme="minorEastAsia"/>
        </w:rPr>
        <w:t>. We created simulation datasets for 5, 25, and 45 states being treated across the time-period (for more detail on simulation scenario, see section X).</w:t>
      </w:r>
    </w:p>
    <w:p w14:paraId="00D22783" w14:textId="0E6029E3" w:rsidR="00EE693C" w:rsidRPr="00EE693C" w:rsidRDefault="00EB03A5" w:rsidP="00523D0B">
      <w:pPr>
        <w:ind w:firstLine="720"/>
        <w:rPr>
          <w:rFonts w:eastAsiaTheme="minorEastAsia"/>
        </w:rPr>
      </w:pPr>
      <w:r>
        <w:rPr>
          <w:rFonts w:eastAsiaTheme="minorEastAsia"/>
        </w:rPr>
        <w:t xml:space="preserve">We then generated synthetic outcomes for treated states based on </w:t>
      </w:r>
      <w:r w:rsidR="00EE693C">
        <w:rPr>
          <w:rFonts w:eastAsiaTheme="minorEastAsia"/>
        </w:rPr>
        <w:t>four</w:t>
      </w:r>
      <w:r>
        <w:rPr>
          <w:rFonts w:eastAsiaTheme="minorEastAsia"/>
        </w:rPr>
        <w:t xml:space="preserve"> time-varying effect scenarios. </w:t>
      </w:r>
      <w:r w:rsidR="00EE693C">
        <w:rPr>
          <w:rFonts w:eastAsiaTheme="minorEastAsia"/>
        </w:rPr>
        <w:t xml:space="preserve"> </w:t>
      </w:r>
      <w:r w:rsidR="00523D0B">
        <w:rPr>
          <w:rFonts w:eastAsiaTheme="minorEastAsia"/>
        </w:rPr>
        <w:t xml:space="preserve">For control units, we set the outcome variable to be the same as the observed state-specific, year-specific opioid overdose rate. </w:t>
      </w:r>
      <w:r w:rsidR="00EE693C">
        <w:rPr>
          <w:rFonts w:eastAsiaTheme="minorEastAsia"/>
        </w:rPr>
        <w:t xml:space="preserve">For </w:t>
      </w:r>
      <w:r w:rsidR="00523D0B">
        <w:rPr>
          <w:rFonts w:eastAsiaTheme="minorEastAsia"/>
        </w:rPr>
        <w:t>treated units</w:t>
      </w:r>
      <w:r w:rsidR="00EE693C">
        <w:rPr>
          <w:rFonts w:eastAsiaTheme="minorEastAsia"/>
        </w:rPr>
        <w:t>, we set the outcome value to be equal to the observed state-specific, year-specific opioid overdose rate (</w:t>
      </w:r>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i,t</m:t>
            </m:r>
          </m:sub>
        </m:sSub>
        <m:r>
          <w:rPr>
            <w:rFonts w:ascii="Cambria Math" w:eastAsiaTheme="minorEastAsia" w:hAnsi="Cambria Math"/>
          </w:rPr>
          <m:t>)</m:t>
        </m:r>
      </m:oMath>
      <w:r w:rsidR="00EE693C">
        <w:rPr>
          <w:rFonts w:eastAsiaTheme="minorEastAsia"/>
        </w:rPr>
        <w:t>, augmented by a synthetic policy effect (</w:t>
      </w:r>
      <m:oMath>
        <m:sSub>
          <m:sSubPr>
            <m:ctrlPr>
              <w:rPr>
                <w:rFonts w:ascii="Cambria Math" w:eastAsiaTheme="minorEastAsia" w:hAnsi="Cambria Math"/>
              </w:rPr>
            </m:ctrlPr>
          </m:sSubPr>
          <m:e>
            <m:r>
              <m:rPr>
                <m:sty m:val="p"/>
              </m:rPr>
              <w:rPr>
                <w:rFonts w:ascii="Cambria Math" w:eastAsiaTheme="minorEastAsia" w:hAnsi="Cambria Math"/>
              </w:rPr>
              <m:t>α</m:t>
            </m:r>
          </m:e>
          <m:sub>
            <m:r>
              <m:rPr>
                <m:sty m:val="p"/>
              </m:rPr>
              <w:rPr>
                <w:rFonts w:ascii="Cambria Math" w:eastAsiaTheme="minorEastAsia" w:hAnsi="Cambria Math"/>
              </w:rPr>
              <m:t>t</m:t>
            </m:r>
          </m:sub>
        </m:sSub>
      </m:oMath>
      <w:r w:rsidR="00EE693C">
        <w:rPr>
          <w:rFonts w:eastAsiaTheme="minorEastAsia"/>
        </w:rPr>
        <w:t>) which differed based on the number of years since initial treatment:</w:t>
      </w:r>
    </w:p>
    <w:p w14:paraId="40E68267" w14:textId="49148C80" w:rsidR="00EE693C" w:rsidRPr="00EE693C" w:rsidRDefault="00EE693C" w:rsidP="00847C9B">
      <w:pPr>
        <w:rPr>
          <w:rFonts w:eastAsiaTheme="minorEastAsia"/>
        </w:rPr>
      </w:pPr>
      <w:r>
        <w:rPr>
          <w:rFonts w:eastAsiaTheme="minorEastAsia"/>
        </w:rPr>
        <w:tab/>
      </w:r>
      <m:oMath>
        <m:sSubSup>
          <m:sSubSupPr>
            <m:ctrlPr>
              <w:rPr>
                <w:rFonts w:ascii="Cambria Math" w:eastAsiaTheme="minorEastAsia" w:hAnsi="Cambria Math"/>
                <w:i/>
              </w:rPr>
            </m:ctrlPr>
          </m:sSubSupPr>
          <m:e>
            <m:r>
              <w:rPr>
                <w:rFonts w:ascii="Cambria Math" w:eastAsiaTheme="minorEastAsia" w:hAnsi="Cambria Math"/>
              </w:rPr>
              <m:t>Y</m:t>
            </m:r>
          </m:e>
          <m:sub>
            <m:r>
              <w:rPr>
                <w:rFonts w:ascii="Cambria Math" w:eastAsiaTheme="minorEastAsia" w:hAnsi="Cambria Math"/>
              </w:rPr>
              <m:t>i,t</m:t>
            </m:r>
          </m:sub>
          <m:sup>
            <m:r>
              <w:rPr>
                <w:rFonts w:ascii="Cambria Math" w:eastAsiaTheme="minorEastAsia" w:hAnsi="Cambria Math"/>
              </w:rPr>
              <m:t>*</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i,t</m:t>
            </m:r>
          </m:sub>
        </m:sSub>
        <m:r>
          <w:rPr>
            <w:rFonts w:ascii="Cambria Math" w:eastAsiaTheme="minorEastAsia" w:hAnsi="Cambria Math"/>
          </w:rPr>
          <m:t xml:space="preserve">+ </m:t>
        </m:r>
        <m:nary>
          <m:naryPr>
            <m:chr m:val="∑"/>
            <m:limLoc m:val="undOvr"/>
            <m:ctrlPr>
              <w:rPr>
                <w:rFonts w:ascii="Cambria Math" w:eastAsiaTheme="minorEastAsia" w:hAnsi="Cambria Math"/>
                <w:i/>
              </w:rPr>
            </m:ctrlPr>
          </m:naryPr>
          <m:sub>
            <m:r>
              <w:rPr>
                <w:rFonts w:ascii="Cambria Math" w:eastAsiaTheme="minorEastAsia" w:hAnsi="Cambria Math"/>
              </w:rPr>
              <m:t>t = 1</m:t>
            </m:r>
          </m:sub>
          <m:sup>
            <m:r>
              <w:rPr>
                <w:rFonts w:ascii="Cambria Math" w:eastAsiaTheme="minorEastAsia" w:hAnsi="Cambria Math"/>
              </w:rPr>
              <m:t>5</m:t>
            </m:r>
          </m:sup>
          <m:e>
            <m:sSub>
              <m:sSubPr>
                <m:ctrlPr>
                  <w:rPr>
                    <w:rFonts w:ascii="Cambria Math" w:eastAsiaTheme="minorEastAsia" w:hAnsi="Cambria Math"/>
                    <w:i/>
                  </w:rPr>
                </m:ctrlPr>
              </m:sSubPr>
              <m:e>
                <m:r>
                  <m:rPr>
                    <m:sty m:val="p"/>
                  </m:rPr>
                  <w:rPr>
                    <w:rFonts w:ascii="Cambria Math" w:eastAsiaTheme="minorEastAsia" w:hAnsi="Cambria Math"/>
                  </w:rPr>
                  <m:t>α</m:t>
                </m:r>
                <m:ctrlPr>
                  <w:rPr>
                    <w:rFonts w:ascii="Cambria Math" w:eastAsiaTheme="minorEastAsia" w:hAnsi="Cambria Math"/>
                  </w:rPr>
                </m:ctrlPr>
              </m:e>
              <m:sub>
                <m:r>
                  <w:rPr>
                    <w:rFonts w:ascii="Cambria Math" w:eastAsiaTheme="minorEastAsia" w:hAnsi="Cambria Math"/>
                  </w:rPr>
                  <m:t>t</m:t>
                </m:r>
              </m:sub>
            </m:sSub>
          </m:e>
        </m:nary>
      </m:oMath>
    </w:p>
    <w:p w14:paraId="2EDF72DA" w14:textId="6245DA1D" w:rsidR="00EE693C" w:rsidRDefault="00EE693C" w:rsidP="00847C9B">
      <w:pPr>
        <w:rPr>
          <w:rFonts w:eastAsiaTheme="minorEastAsia"/>
        </w:rPr>
      </w:pPr>
      <w:r>
        <w:rPr>
          <w:rFonts w:eastAsiaTheme="minorEastAsia"/>
        </w:rPr>
        <w:t xml:space="preserve">We chose values of simulated policy effects to be small, within a </w:t>
      </w:r>
      <w:r w:rsidR="00336A23">
        <w:rPr>
          <w:rFonts w:eastAsiaTheme="minorEastAsia"/>
        </w:rPr>
        <w:t>10</w:t>
      </w:r>
      <w:r>
        <w:rPr>
          <w:rFonts w:eastAsiaTheme="minorEastAsia"/>
        </w:rPr>
        <w:t xml:space="preserve">% </w:t>
      </w:r>
      <w:r w:rsidR="00336A23">
        <w:rPr>
          <w:rFonts w:eastAsiaTheme="minorEastAsia"/>
        </w:rPr>
        <w:t>change from</w:t>
      </w:r>
      <w:r>
        <w:rPr>
          <w:rFonts w:eastAsiaTheme="minorEastAsia"/>
        </w:rPr>
        <w:t xml:space="preserve"> the annual mortality rate across states</w:t>
      </w:r>
      <w:r w:rsidR="00336A23">
        <w:rPr>
          <w:rFonts w:eastAsiaTheme="minorEastAsia"/>
        </w:rPr>
        <w:t>, which corresponded to standardized mean difference between 0 and 0.2</w:t>
      </w:r>
      <w:r w:rsidR="0019713C">
        <w:rPr>
          <w:rFonts w:eastAsiaTheme="minorEastAsia"/>
        </w:rPr>
        <w:t xml:space="preserve"> (Cohen, 2013)</w:t>
      </w:r>
      <w:r>
        <w:rPr>
          <w:rFonts w:eastAsiaTheme="minorEastAsia"/>
        </w:rPr>
        <w:t xml:space="preserve">. </w:t>
      </w:r>
      <w:r w:rsidR="00336A23">
        <w:rPr>
          <w:rFonts w:eastAsiaTheme="minorEastAsia"/>
        </w:rPr>
        <w:t xml:space="preserve">Figure X displays the four scenarios we applied to treated units as standardized mean differences. These scenarios were meant to reflect policy effects analysts could reasonably encounter in applied work, specifically, </w:t>
      </w:r>
      <w:commentRangeStart w:id="3"/>
      <w:r w:rsidR="003A64E5">
        <w:rPr>
          <w:rFonts w:eastAsiaTheme="minorEastAsia"/>
        </w:rPr>
        <w:t>a policy which takes five years to ramp up until a full effect is achieved; a policy which has wide participation in year one and is slowly sunset; a policy which responds to a shock and takes time to apply, then is rescinded; and a policy which takes time to ramp up, then is sunset after a full effect is achieved.</w:t>
      </w:r>
      <w:commentRangeEnd w:id="3"/>
      <w:r w:rsidR="00AE3B86">
        <w:rPr>
          <w:rStyle w:val="CommentReference"/>
        </w:rPr>
        <w:commentReference w:id="3"/>
      </w:r>
    </w:p>
    <w:p w14:paraId="08E73431" w14:textId="77777777" w:rsidR="0019713C" w:rsidRDefault="0019713C" w:rsidP="00847C9B">
      <w:pPr>
        <w:rPr>
          <w:rFonts w:eastAsiaTheme="minorEastAsia"/>
        </w:rPr>
      </w:pPr>
    </w:p>
    <w:p w14:paraId="651B71E7" w14:textId="6E25DF2A" w:rsidR="0019713C" w:rsidRDefault="0019713C" w:rsidP="0019713C">
      <w:pPr>
        <w:pStyle w:val="Caption"/>
        <w:keepNext/>
      </w:pPr>
      <w:r>
        <w:t>Bad Figure X</w:t>
      </w:r>
      <w:commentRangeStart w:id="4"/>
      <w:r>
        <w:rPr>
          <w:noProof/>
        </w:rPr>
        <w:drawing>
          <wp:inline distT="0" distB="0" distL="0" distR="0" wp14:anchorId="50447C6A" wp14:editId="2E723346">
            <wp:extent cx="5943600" cy="5990590"/>
            <wp:effectExtent l="0" t="0" r="0" b="0"/>
            <wp:docPr id="16203086" name="Picture 1" descr="Chart, scatter chart,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3086" name="Picture 1" descr="Chart, scatter chart, box and whisker chart&#10;&#10;Description automatically generated"/>
                    <pic:cNvPicPr/>
                  </pic:nvPicPr>
                  <pic:blipFill>
                    <a:blip r:embed="rId10"/>
                    <a:stretch>
                      <a:fillRect/>
                    </a:stretch>
                  </pic:blipFill>
                  <pic:spPr>
                    <a:xfrm>
                      <a:off x="0" y="0"/>
                      <a:ext cx="5943600" cy="5990590"/>
                    </a:xfrm>
                    <a:prstGeom prst="rect">
                      <a:avLst/>
                    </a:prstGeom>
                  </pic:spPr>
                </pic:pic>
              </a:graphicData>
            </a:graphic>
          </wp:inline>
        </w:drawing>
      </w:r>
      <w:commentRangeEnd w:id="4"/>
      <w:r w:rsidR="00830E8F">
        <w:rPr>
          <w:rStyle w:val="CommentReference"/>
          <w:i w:val="0"/>
          <w:iCs w:val="0"/>
          <w:color w:val="auto"/>
        </w:rPr>
        <w:commentReference w:id="4"/>
      </w:r>
    </w:p>
    <w:p w14:paraId="17922B7B" w14:textId="45844C5E" w:rsidR="00AE3B86" w:rsidRPr="00AE3B86" w:rsidRDefault="00AE3B86" w:rsidP="00AE3B86">
      <w:r>
        <w:tab/>
        <w:t>We generated 1000 simulated datasets for each simulation scenario, which varied in the number of treated units (10, 25, or 40 treated states) or assumed time-varying policy effects (</w:t>
      </w:r>
      <w:proofErr w:type="gramStart"/>
      <w:r>
        <w:t>e.g.</w:t>
      </w:r>
      <w:proofErr w:type="gramEnd"/>
      <w:r>
        <w:t xml:space="preserve"> Figure X).</w:t>
      </w:r>
    </w:p>
    <w:p w14:paraId="0118CB4F" w14:textId="1AB7C3BD" w:rsidR="00847C9B" w:rsidRDefault="00847C9B" w:rsidP="00847C9B">
      <w:pPr>
        <w:pStyle w:val="Heading3"/>
      </w:pPr>
      <w:r>
        <w:t xml:space="preserve">Empirical Methods </w:t>
      </w:r>
    </w:p>
    <w:p w14:paraId="6EEDA5EE" w14:textId="0B11862F" w:rsidR="00B54D2B" w:rsidRDefault="006F5A03" w:rsidP="00847C9B">
      <w:r>
        <w:tab/>
        <w:t xml:space="preserve">We compared results from </w:t>
      </w:r>
      <w:r w:rsidR="00B54D2B">
        <w:t>seven</w:t>
      </w:r>
      <w:r>
        <w:t xml:space="preserve"> statistical models</w:t>
      </w:r>
      <w:r w:rsidR="00AE3B86">
        <w:t xml:space="preserve"> applied to the simulated datasets</w:t>
      </w:r>
      <w:r>
        <w:t xml:space="preserve">: </w:t>
      </w:r>
      <w:r w:rsidR="00B54D2B">
        <w:t>(1) An event study (ES); (2) An event study with a one-period lagged autoregressive term (AR); (3) A</w:t>
      </w:r>
      <w:r w:rsidR="00AF4FCD">
        <w:t xml:space="preserve">n </w:t>
      </w:r>
      <w:r w:rsidR="00B54D2B">
        <w:t>augmented synthetic control model (ASCM)</w:t>
      </w:r>
      <w:r w:rsidR="00AF4FCD">
        <w:t xml:space="preserve"> with staggered; </w:t>
      </w:r>
      <w:r w:rsidR="00B54D2B">
        <w:t xml:space="preserve">(4) A Callaway and Sant’Anna </w:t>
      </w:r>
      <w:r w:rsidR="00705887">
        <w:t>staggered adoption difference-in-difference estimator</w:t>
      </w:r>
      <w:r w:rsidR="00B54D2B">
        <w:t xml:space="preserve"> (CSA); (5) A Sun and Abraham </w:t>
      </w:r>
      <w:r w:rsidR="00705887">
        <w:t>e</w:t>
      </w:r>
      <w:r w:rsidR="00B54D2B">
        <w:t xml:space="preserve">vent </w:t>
      </w:r>
      <w:r w:rsidR="00705887">
        <w:t>s</w:t>
      </w:r>
      <w:r w:rsidR="00B54D2B">
        <w:t xml:space="preserve">tudy model (SA); (6) A two-stage </w:t>
      </w:r>
      <w:r w:rsidR="00C76B65">
        <w:t xml:space="preserve">difference-in-difference estimator </w:t>
      </w:r>
      <w:r w:rsidR="00B54D2B">
        <w:t>(G); and (7) a</w:t>
      </w:r>
      <w:r w:rsidR="00C76B65">
        <w:t xml:space="preserve"> difference-in-difference </w:t>
      </w:r>
      <w:r w:rsidR="00A15D25">
        <w:t>imputation estimator</w:t>
      </w:r>
      <w:r w:rsidR="00B54D2B">
        <w:t xml:space="preserve"> </w:t>
      </w:r>
      <w:r w:rsidR="00B54D2B">
        <w:lastRenderedPageBreak/>
        <w:t xml:space="preserve">(BJS). We briefly describe how </w:t>
      </w:r>
      <w:r w:rsidR="002305F4">
        <w:t>we</w:t>
      </w:r>
      <w:r w:rsidR="00B54D2B">
        <w:t xml:space="preserve"> estimate</w:t>
      </w:r>
      <w:r w:rsidR="002305F4">
        <w:t>d</w:t>
      </w:r>
      <w:r w:rsidR="00B54D2B">
        <w:t xml:space="preserve"> time-varying treatment effects</w:t>
      </w:r>
      <w:r w:rsidR="002305F4">
        <w:t xml:space="preserve"> using each of these methods</w:t>
      </w:r>
      <w:r w:rsidR="00B54D2B">
        <w:t xml:space="preserve"> in the following section.</w:t>
      </w:r>
    </w:p>
    <w:p w14:paraId="04416AA5" w14:textId="4B72C36D" w:rsidR="00DE6137" w:rsidRDefault="00DE6137" w:rsidP="00DE6137">
      <w:pPr>
        <w:pStyle w:val="Heading4"/>
      </w:pPr>
      <w:r>
        <w:t>Event Study</w:t>
      </w:r>
    </w:p>
    <w:p w14:paraId="6DA31498" w14:textId="225D9341" w:rsidR="00DE6137" w:rsidRDefault="00DE6137" w:rsidP="00DE6137">
      <w:r>
        <w:tab/>
        <w:t xml:space="preserve">Event study models are commonly used to estimate time-varying treatment effects using longitudinal </w:t>
      </w:r>
      <w:commentRangeStart w:id="5"/>
      <w:r>
        <w:t>data</w:t>
      </w:r>
      <w:commentRangeEnd w:id="5"/>
      <w:r>
        <w:rPr>
          <w:rStyle w:val="CommentReference"/>
        </w:rPr>
        <w:commentReference w:id="5"/>
      </w:r>
      <w:r>
        <w:t xml:space="preserve">. </w:t>
      </w:r>
      <w:r w:rsidR="008556BD">
        <w:t xml:space="preserve">This approach estimates time-varying treatment effects using a binary indicator corresponding to the number of periods since treatment was implemented. This model aims to control for confounding using unit and time fixed effects, along with covariate adjustment. </w:t>
      </w:r>
      <w:r>
        <w:t>For all considered models, we estimated treatment effects using the following specification:</w:t>
      </w:r>
    </w:p>
    <w:p w14:paraId="54AC1FC7" w14:textId="190E1F8F" w:rsidR="00DE6137" w:rsidRPr="008556BD" w:rsidRDefault="008556BD" w:rsidP="00DE6137">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Y</m:t>
              </m:r>
            </m:e>
            <m:sub>
              <m:r>
                <w:rPr>
                  <w:rFonts w:ascii="Cambria Math" w:eastAsiaTheme="minorEastAsia" w:hAnsi="Cambria Math"/>
                </w:rPr>
                <m:t>i,t</m:t>
              </m:r>
            </m:sub>
            <m:sup>
              <m:r>
                <w:rPr>
                  <w:rFonts w:ascii="Cambria Math" w:eastAsiaTheme="minorEastAsia" w:hAnsi="Cambria Math"/>
                </w:rPr>
                <m:t>*</m:t>
              </m:r>
            </m:sup>
          </m:sSubSup>
          <w:commentRangeStart w:id="6"/>
          <w:commentRangeEnd w:id="6"/>
          <m:r>
            <m:rPr>
              <m:sty m:val="p"/>
            </m:rPr>
            <w:rPr>
              <w:rStyle w:val="CommentReference"/>
            </w:rPr>
            <w:commentReference w:id="6"/>
          </m:r>
          <m:r>
            <w:rPr>
              <w:rFonts w:ascii="Cambria Math" w:hAnsi="Cambria Math"/>
            </w:rPr>
            <m:t xml:space="preserve">= </m:t>
          </m:r>
          <m:nary>
            <m:naryPr>
              <m:chr m:val="∑"/>
              <m:limLoc m:val="undOvr"/>
              <m:ctrlPr>
                <w:rPr>
                  <w:rFonts w:ascii="Cambria Math" w:hAnsi="Cambria Math"/>
                  <w:i/>
                </w:rPr>
              </m:ctrlPr>
            </m:naryPr>
            <m:sub>
              <m:r>
                <w:rPr>
                  <w:rFonts w:ascii="Cambria Math" w:hAnsi="Cambria Math"/>
                </w:rPr>
                <m:t>j= -m</m:t>
              </m:r>
            </m:sub>
            <m:sup>
              <m:r>
                <w:rPr>
                  <w:rFonts w:ascii="Cambria Math" w:hAnsi="Cambria Math"/>
                </w:rPr>
                <m:t>m</m:t>
              </m:r>
            </m:sup>
            <m:e>
              <m:sSub>
                <m:sSubPr>
                  <m:ctrlPr>
                    <w:rPr>
                      <w:rFonts w:ascii="Cambria Math" w:hAnsi="Cambria Math"/>
                      <w:i/>
                    </w:rPr>
                  </m:ctrlPr>
                </m:sSubPr>
                <m:e>
                  <m:r>
                    <w:rPr>
                      <w:rFonts w:ascii="Cambria Math" w:hAnsi="Cambria Math"/>
                    </w:rPr>
                    <m:t>γ</m:t>
                  </m:r>
                </m:e>
                <m:sub>
                  <m:r>
                    <w:rPr>
                      <w:rFonts w:ascii="Cambria Math" w:hAnsi="Cambria Math"/>
                    </w:rPr>
                    <m:t>j</m:t>
                  </m:r>
                </m:sub>
              </m:sSub>
            </m:e>
          </m:nary>
          <m:sSub>
            <m:sSubPr>
              <m:ctrlPr>
                <w:rPr>
                  <w:rFonts w:ascii="Cambria Math" w:hAnsi="Cambria Math"/>
                  <w:iCs/>
                </w:rPr>
              </m:ctrlPr>
            </m:sSubPr>
            <m:e>
              <m:r>
                <m:rPr>
                  <m:sty m:val="p"/>
                </m:rPr>
                <w:rPr>
                  <w:rFonts w:ascii="Cambria Math" w:hAnsi="Cambria Math"/>
                </w:rPr>
                <m:t>·</m:t>
              </m:r>
              <m:r>
                <m:rPr>
                  <m:sty m:val="p"/>
                </m:rPr>
                <w:rPr>
                  <w:rFonts w:ascii="Cambria Math" w:hAnsi="Cambria Math"/>
                </w:rPr>
                <m:t>D</m:t>
              </m:r>
              <m:ctrlPr>
                <w:rPr>
                  <w:rFonts w:ascii="Cambria Math" w:hAnsi="Cambria Math"/>
                  <w:i/>
                </w:rPr>
              </m:ctrlPr>
            </m:e>
            <m:sub>
              <m:r>
                <m:rPr>
                  <m:sty m:val="p"/>
                </m:rPr>
                <w:rPr>
                  <w:rFonts w:ascii="Cambria Math" w:hAnsi="Cambria Math"/>
                </w:rPr>
                <m:t>i,t-j</m:t>
              </m:r>
            </m:sub>
          </m:sSub>
          <m:r>
            <w:rPr>
              <w:rFonts w:ascii="Cambria Math" w:hAnsi="Cambria Math"/>
            </w:rPr>
            <m:t xml:space="preserve">+ </m:t>
          </m:r>
          <m:sSub>
            <m:sSubPr>
              <m:ctrlPr>
                <w:rPr>
                  <w:rFonts w:ascii="Cambria Math" w:hAnsi="Cambria Math"/>
                  <w:i/>
                  <w:iCs/>
                </w:rPr>
              </m:ctrlPr>
            </m:sSubPr>
            <m:e>
              <m:r>
                <w:rPr>
                  <w:rFonts w:ascii="Cambria Math" w:hAnsi="Cambria Math"/>
                </w:rPr>
                <m:t>α</m:t>
              </m:r>
            </m:e>
            <m:sub>
              <m:r>
                <w:rPr>
                  <w:rFonts w:ascii="Cambria Math" w:hAnsi="Cambria Math"/>
                </w:rPr>
                <m:t>i</m:t>
              </m:r>
            </m:sub>
          </m:sSub>
          <m:r>
            <w:rPr>
              <w:rFonts w:ascii="Cambria Math" w:hAnsi="Cambria Math"/>
            </w:rPr>
            <m:t xml:space="preserve">+ </m:t>
          </m:r>
          <m:sSub>
            <m:sSubPr>
              <m:ctrlPr>
                <w:rPr>
                  <w:rFonts w:ascii="Cambria Math" w:hAnsi="Cambria Math"/>
                  <w:i/>
                  <w:iCs/>
                </w:rPr>
              </m:ctrlPr>
            </m:sSubPr>
            <m:e>
              <m:r>
                <w:rPr>
                  <w:rFonts w:ascii="Cambria Math" w:hAnsi="Cambria Math"/>
                </w:rPr>
                <m:t>δ</m:t>
              </m:r>
            </m:e>
            <m:sub>
              <m:r>
                <w:rPr>
                  <w:rFonts w:ascii="Cambria Math" w:hAnsi="Cambria Math"/>
                </w:rPr>
                <m:t>t</m:t>
              </m:r>
            </m:sub>
          </m:sSub>
          <m:r>
            <w:rPr>
              <w:rFonts w:ascii="Cambria Math" w:hAnsi="Cambria Math"/>
            </w:rPr>
            <m:t>+</m:t>
          </m:r>
          <m:r>
            <m:rPr>
              <m:sty m:val="p"/>
            </m:rPr>
            <w:rPr>
              <w:rFonts w:ascii="Cambria Math" w:hAnsi="Cambria Math"/>
            </w:rPr>
            <m:t>β</m:t>
          </m:r>
          <m:r>
            <m:rPr>
              <m:sty m:val="p"/>
            </m:rPr>
            <w:rPr>
              <w:rFonts w:ascii="Cambria Math" w:hAnsi="Cambria Math"/>
            </w:rPr>
            <m:t>·</m:t>
          </m:r>
          <m:sSub>
            <m:sSubPr>
              <m:ctrlPr>
                <w:rPr>
                  <w:rFonts w:ascii="Cambria Math"/>
                </w:rPr>
              </m:ctrlPr>
            </m:sSubPr>
            <m:e>
              <m:r>
                <m:rPr>
                  <m:sty m:val="p"/>
                </m:rPr>
                <w:rPr>
                  <w:rFonts w:ascii="Cambria Math"/>
                </w:rPr>
                <m:t>X</m:t>
              </m:r>
            </m:e>
            <m:sub>
              <m:r>
                <m:rPr>
                  <m:sty m:val="p"/>
                </m:rPr>
                <w:rPr>
                  <w:rFonts w:ascii="Cambria Math"/>
                </w:rPr>
                <m:t>i,t</m:t>
              </m:r>
            </m:sub>
          </m:sSub>
          <m:r>
            <w:rPr>
              <w:rFonts w:ascii="Cambria Math"/>
            </w:rPr>
            <m:t>+</m:t>
          </m:r>
          <m:sSub>
            <m:sSubPr>
              <m:ctrlPr>
                <w:rPr>
                  <w:rFonts w:ascii="Cambria Math"/>
                  <w:i/>
                </w:rPr>
              </m:ctrlPr>
            </m:sSubPr>
            <m:e>
              <m:r>
                <w:rPr>
                  <w:rFonts w:ascii="Cambria Math"/>
                </w:rPr>
                <m:t>ϵ</m:t>
              </m:r>
            </m:e>
            <m:sub>
              <m:r>
                <w:rPr>
                  <w:rFonts w:ascii="Cambria Math"/>
                </w:rPr>
                <m:t>i,t</m:t>
              </m:r>
            </m:sub>
          </m:sSub>
        </m:oMath>
      </m:oMathPara>
    </w:p>
    <w:p w14:paraId="014FBDC7" w14:textId="327D5F03" w:rsidR="00F4163C" w:rsidRDefault="008556BD" w:rsidP="00DE6137">
      <w:pPr>
        <w:rPr>
          <w:rFonts w:eastAsiaTheme="minorEastAsia"/>
          <w:iCs/>
        </w:rPr>
      </w:pPr>
      <w:r>
        <w:rPr>
          <w:rFonts w:eastAsiaTheme="minorEastAsia"/>
        </w:rPr>
        <w:tab/>
      </w:r>
      <w:r w:rsidR="00670086">
        <w:rPr>
          <w:rFonts w:eastAsiaTheme="minorEastAsia"/>
        </w:rPr>
        <w:t xml:space="preserve">Where </w:t>
      </w:r>
      <m:oMath>
        <m:sSub>
          <m:sSubPr>
            <m:ctrlPr>
              <w:rPr>
                <w:rFonts w:ascii="Cambria Math" w:hAnsi="Cambria Math"/>
                <w:i/>
              </w:rPr>
            </m:ctrlPr>
          </m:sSubPr>
          <m:e>
            <m:r>
              <w:rPr>
                <w:rFonts w:ascii="Cambria Math" w:hAnsi="Cambria Math"/>
              </w:rPr>
              <m:t>γ</m:t>
            </m:r>
          </m:e>
          <m:sub>
            <m:r>
              <w:rPr>
                <w:rFonts w:ascii="Cambria Math" w:hAnsi="Cambria Math"/>
              </w:rPr>
              <m:t>j</m:t>
            </m:r>
          </m:sub>
        </m:sSub>
      </m:oMath>
      <w:r w:rsidR="00670086">
        <w:rPr>
          <w:rFonts w:eastAsiaTheme="minorEastAsia"/>
        </w:rPr>
        <w:t xml:space="preserve"> is a</w:t>
      </w:r>
      <w:r w:rsidR="00F4163C">
        <w:rPr>
          <w:rFonts w:eastAsiaTheme="minorEastAsia"/>
        </w:rPr>
        <w:t xml:space="preserve">n estimated </w:t>
      </w:r>
      <w:r w:rsidR="00670086">
        <w:rPr>
          <w:rFonts w:eastAsiaTheme="minorEastAsia"/>
        </w:rPr>
        <w:t>effect for event</w:t>
      </w:r>
      <w:r w:rsidR="00A34365">
        <w:rPr>
          <w:rFonts w:eastAsiaTheme="minorEastAsia"/>
        </w:rPr>
        <w:t>-</w:t>
      </w:r>
      <w:r w:rsidR="00F4163C">
        <w:rPr>
          <w:rFonts w:eastAsiaTheme="minorEastAsia"/>
        </w:rPr>
        <w:t>time</w:t>
      </w:r>
      <w:r w:rsidR="00A34365">
        <w:rPr>
          <w:rFonts w:eastAsiaTheme="minorEastAsia"/>
        </w:rPr>
        <w:t xml:space="preserve"> </w:t>
      </w:r>
      <m:oMath>
        <m:r>
          <w:rPr>
            <w:rFonts w:ascii="Cambria Math" w:hAnsi="Cambria Math"/>
          </w:rPr>
          <m:t>j</m:t>
        </m:r>
      </m:oMath>
      <w:r w:rsidR="00A34365">
        <w:rPr>
          <w:rFonts w:eastAsiaTheme="minorEastAsia"/>
        </w:rPr>
        <w:t xml:space="preserve">. </w:t>
      </w:r>
      <w:r w:rsidR="00F4163C">
        <w:rPr>
          <w:rFonts w:eastAsiaTheme="minorEastAsia"/>
        </w:rPr>
        <w:t xml:space="preserve">The </w:t>
      </w:r>
      <w:r w:rsidR="00F4163C">
        <w:rPr>
          <w:rFonts w:eastAsiaTheme="minorEastAsia"/>
          <w:iCs/>
        </w:rPr>
        <w:t>event-time</w:t>
      </w:r>
      <w:r w:rsidR="00A34365">
        <w:rPr>
          <w:rFonts w:eastAsiaTheme="minorEastAsia"/>
          <w:iCs/>
        </w:rPr>
        <w:t xml:space="preserve"> indicates </w:t>
      </w:r>
      <w:r w:rsidR="00F4163C">
        <w:rPr>
          <w:rFonts w:eastAsiaTheme="minorEastAsia"/>
          <w:iCs/>
        </w:rPr>
        <w:t>a period relative to the first year of treatment.</w:t>
      </w:r>
      <w:r w:rsidR="00A34365">
        <w:rPr>
          <w:rFonts w:eastAsiaTheme="minorEastAsia"/>
          <w:iCs/>
        </w:rPr>
        <w:t xml:space="preserve"> For example, if a policy was adopted in 2014 and the </w:t>
      </w:r>
      <w:r w:rsidR="00F4163C">
        <w:rPr>
          <w:rFonts w:eastAsiaTheme="minorEastAsia"/>
          <w:iCs/>
        </w:rPr>
        <w:t>year</w:t>
      </w:r>
      <w:r w:rsidR="00A34365">
        <w:rPr>
          <w:rFonts w:eastAsiaTheme="minorEastAsia"/>
          <w:iCs/>
        </w:rPr>
        <w:t xml:space="preserve"> </w:t>
      </w:r>
      <w:r w:rsidR="00F4163C">
        <w:rPr>
          <w:rFonts w:eastAsiaTheme="minorEastAsia"/>
          <w:iCs/>
        </w:rPr>
        <w:t>was</w:t>
      </w:r>
      <w:r w:rsidR="00A34365">
        <w:rPr>
          <w:rFonts w:eastAsiaTheme="minorEastAsia"/>
          <w:iCs/>
        </w:rPr>
        <w:t xml:space="preserve"> 2016, then the event-time would be two years (</w:t>
      </w:r>
      <m:oMath>
        <m:r>
          <w:rPr>
            <w:rFonts w:ascii="Cambria Math" w:hAnsi="Cambria Math"/>
          </w:rPr>
          <m:t>j=2)</m:t>
        </m:r>
      </m:oMath>
      <w:r w:rsidR="00F4163C">
        <w:rPr>
          <w:rFonts w:eastAsiaTheme="minorEastAsia"/>
        </w:rPr>
        <w:t xml:space="preserve"> while if the year was 2010, the event-time would be four years past (</w:t>
      </w:r>
      <m:oMath>
        <m:r>
          <w:rPr>
            <w:rFonts w:ascii="Cambria Math" w:hAnsi="Cambria Math"/>
          </w:rPr>
          <m:t>j</m:t>
        </m:r>
      </m:oMath>
      <w:r w:rsidR="00F4163C">
        <w:rPr>
          <w:rFonts w:eastAsiaTheme="minorEastAsia"/>
        </w:rPr>
        <w:t xml:space="preserve"> = -4)</w:t>
      </w:r>
      <w:r w:rsidR="00A34365">
        <w:rPr>
          <w:rFonts w:eastAsiaTheme="minorEastAsia"/>
        </w:rPr>
        <w:t xml:space="preserve">. </w:t>
      </w:r>
      <m:oMath>
        <m:sSub>
          <m:sSubPr>
            <m:ctrlPr>
              <w:rPr>
                <w:rFonts w:ascii="Cambria Math" w:hAnsi="Cambria Math"/>
                <w:iCs/>
              </w:rPr>
            </m:ctrlPr>
          </m:sSubPr>
          <m:e>
            <m:r>
              <m:rPr>
                <m:sty m:val="p"/>
              </m:rPr>
              <w:rPr>
                <w:rFonts w:ascii="Cambria Math" w:hAnsi="Cambria Math"/>
              </w:rPr>
              <m:t>D</m:t>
            </m:r>
            <m:ctrlPr>
              <w:rPr>
                <w:rFonts w:ascii="Cambria Math" w:hAnsi="Cambria Math"/>
                <w:i/>
              </w:rPr>
            </m:ctrlPr>
          </m:e>
          <m:sub>
            <m:r>
              <m:rPr>
                <m:sty m:val="p"/>
              </m:rPr>
              <w:rPr>
                <w:rFonts w:ascii="Cambria Math" w:hAnsi="Cambria Math"/>
              </w:rPr>
              <m:t>i,t-j</m:t>
            </m:r>
          </m:sub>
        </m:sSub>
      </m:oMath>
      <w:r w:rsidR="00670086">
        <w:rPr>
          <w:rFonts w:eastAsiaTheme="minorEastAsia"/>
          <w:iCs/>
        </w:rPr>
        <w:t xml:space="preserve"> is an indicator variable for treatment status</w:t>
      </w:r>
      <w:r w:rsidR="00A34365">
        <w:rPr>
          <w:rFonts w:eastAsiaTheme="minorEastAsia"/>
          <w:iCs/>
        </w:rPr>
        <w:t xml:space="preserve"> in </w:t>
      </w:r>
      <w:r w:rsidR="00A34365">
        <w:rPr>
          <w:rFonts w:eastAsiaTheme="minorEastAsia"/>
          <w:iCs/>
        </w:rPr>
        <w:t>event-time</w:t>
      </w:r>
      <w:r w:rsidR="00A34365">
        <w:rPr>
          <w:rFonts w:eastAsiaTheme="minorEastAsia"/>
          <w:iCs/>
        </w:rPr>
        <w:t xml:space="preserve">, which </w:t>
      </w:r>
      <w:r w:rsidR="00670086">
        <w:rPr>
          <w:rFonts w:eastAsiaTheme="minorEastAsia"/>
          <w:iCs/>
        </w:rPr>
        <w:t xml:space="preserve">equals one if treatment </w:t>
      </w:r>
      <w:r w:rsidR="00F4163C">
        <w:rPr>
          <w:rFonts w:eastAsiaTheme="minorEastAsia"/>
          <w:iCs/>
        </w:rPr>
        <w:t>occurred within</w:t>
      </w:r>
      <w:r w:rsidR="00670086">
        <w:rPr>
          <w:rFonts w:eastAsiaTheme="minorEastAsia"/>
          <w:iCs/>
        </w:rPr>
        <w:t xml:space="preserve"> </w:t>
      </w:r>
      <w:r w:rsidR="00F4163C">
        <w:rPr>
          <w:rFonts w:eastAsiaTheme="minorEastAsia"/>
          <w:iCs/>
        </w:rPr>
        <w:t xml:space="preserve">exactly </w:t>
      </w:r>
      <m:oMath>
        <m:r>
          <w:rPr>
            <w:rFonts w:ascii="Cambria Math" w:hAnsi="Cambria Math"/>
          </w:rPr>
          <m:t>j</m:t>
        </m:r>
      </m:oMath>
      <w:r w:rsidR="00670086">
        <w:rPr>
          <w:rFonts w:eastAsiaTheme="minorEastAsia"/>
        </w:rPr>
        <w:t xml:space="preserve"> periods</w:t>
      </w:r>
      <w:r w:rsidR="00F4163C">
        <w:rPr>
          <w:rFonts w:eastAsiaTheme="minorEastAsia"/>
        </w:rPr>
        <w:t xml:space="preserve"> since</w:t>
      </w:r>
      <w:r w:rsidR="00670086">
        <w:rPr>
          <w:rFonts w:eastAsiaTheme="minorEastAsia"/>
        </w:rPr>
        <w:t xml:space="preserve"> </w:t>
      </w:r>
      <w:r w:rsidR="00F4163C">
        <w:rPr>
          <w:rFonts w:eastAsiaTheme="minorEastAsia"/>
        </w:rPr>
        <w:t>year</w:t>
      </w:r>
      <w:r w:rsidR="00670086">
        <w:rPr>
          <w:rFonts w:eastAsiaTheme="minorEastAsia"/>
        </w:rPr>
        <w:t xml:space="preserve"> </w:t>
      </w:r>
      <m:oMath>
        <m:r>
          <m:rPr>
            <m:sty m:val="p"/>
          </m:rPr>
          <w:rPr>
            <w:rFonts w:ascii="Cambria Math" w:hAnsi="Cambria Math"/>
          </w:rPr>
          <m:t>t</m:t>
        </m:r>
        <m:r>
          <m:rPr>
            <m:sty m:val="p"/>
          </m:rPr>
          <w:rPr>
            <w:rFonts w:ascii="Cambria Math" w:hAnsi="Cambria Math"/>
          </w:rPr>
          <m:t>.</m:t>
        </m:r>
      </m:oMath>
      <w:r w:rsidR="00670086">
        <w:rPr>
          <w:rFonts w:eastAsiaTheme="minorEastAsia"/>
          <w:iCs/>
        </w:rPr>
        <w:t xml:space="preserve"> </w:t>
      </w:r>
      <m:oMath>
        <m:r>
          <w:rPr>
            <w:rFonts w:ascii="Cambria Math" w:hAnsi="Cambria Math"/>
          </w:rPr>
          <m:t>-m</m:t>
        </m:r>
        <m:r>
          <w:rPr>
            <w:rFonts w:ascii="Cambria Math" w:hAnsi="Cambria Math"/>
          </w:rPr>
          <m:t>, m</m:t>
        </m:r>
      </m:oMath>
      <w:r w:rsidR="00A34365">
        <w:rPr>
          <w:rFonts w:eastAsiaTheme="minorEastAsia"/>
        </w:rPr>
        <w:t xml:space="preserve"> denotes start and endpoints in event-time, which can differ depending on when a </w:t>
      </w:r>
      <w:r w:rsidR="00F4163C">
        <w:rPr>
          <w:rFonts w:eastAsiaTheme="minorEastAsia"/>
        </w:rPr>
        <w:t>state</w:t>
      </w:r>
      <w:r w:rsidR="00A34365">
        <w:rPr>
          <w:rFonts w:eastAsiaTheme="minorEastAsia"/>
        </w:rPr>
        <w:t xml:space="preserve"> </w:t>
      </w:r>
      <m:oMath>
        <m:r>
          <m:rPr>
            <m:sty m:val="p"/>
          </m:rPr>
          <w:rPr>
            <w:rFonts w:ascii="Cambria Math" w:hAnsi="Cambria Math"/>
          </w:rPr>
          <m:t>i</m:t>
        </m:r>
      </m:oMath>
      <w:r w:rsidR="00A34365">
        <w:rPr>
          <w:rFonts w:eastAsiaTheme="minorEastAsia"/>
          <w:iCs/>
        </w:rPr>
        <w:t xml:space="preserve"> was first treated. </w:t>
      </w:r>
      <w:r w:rsidR="00F4163C">
        <w:rPr>
          <w:rFonts w:eastAsiaTheme="minorEastAsia"/>
          <w:iCs/>
        </w:rPr>
        <w:t xml:space="preserve">Throughout this paper, we </w:t>
      </w:r>
      <w:r w:rsidR="00AF4FCD">
        <w:rPr>
          <w:rFonts w:eastAsiaTheme="minorEastAsia"/>
          <w:iCs/>
        </w:rPr>
        <w:t xml:space="preserve">only </w:t>
      </w:r>
      <w:r w:rsidR="00F4163C">
        <w:rPr>
          <w:rFonts w:eastAsiaTheme="minorEastAsia"/>
          <w:iCs/>
        </w:rPr>
        <w:t xml:space="preserve">display results for j = {1, 5}, though we estimated effects for all anticipation periods (i.e., </w:t>
      </w:r>
      <m:oMath>
        <m:r>
          <w:rPr>
            <w:rFonts w:ascii="Cambria Math" w:hAnsi="Cambria Math"/>
          </w:rPr>
          <m:t>j</m:t>
        </m:r>
      </m:oMath>
      <w:r w:rsidR="00F4163C">
        <w:rPr>
          <w:rFonts w:eastAsiaTheme="minorEastAsia"/>
          <w:iCs/>
        </w:rPr>
        <w:t xml:space="preserve"> &lt; 0) and additional treatment event-periods (i.e., </w:t>
      </w:r>
      <m:oMath>
        <m:r>
          <w:rPr>
            <w:rFonts w:ascii="Cambria Math" w:hAnsi="Cambria Math"/>
          </w:rPr>
          <m:t>j</m:t>
        </m:r>
        <m:r>
          <w:rPr>
            <w:rFonts w:ascii="Cambria Math" w:hAnsi="Cambria Math"/>
          </w:rPr>
          <m:t>&gt;5)</m:t>
        </m:r>
      </m:oMath>
      <w:r w:rsidR="00F4163C">
        <w:rPr>
          <w:rFonts w:eastAsiaTheme="minorEastAsia"/>
          <w:iCs/>
        </w:rPr>
        <w:t xml:space="preserve">. </w:t>
      </w:r>
    </w:p>
    <w:p w14:paraId="55B55652" w14:textId="0F52F07A" w:rsidR="00A34365" w:rsidRPr="00A34365" w:rsidRDefault="00A34365" w:rsidP="00F4163C">
      <w:pPr>
        <w:ind w:firstLine="720"/>
        <w:rPr>
          <w:rFonts w:eastAsiaTheme="minorEastAsia"/>
          <w:iCs/>
        </w:rPr>
      </w:pPr>
      <w:r>
        <w:rPr>
          <w:rFonts w:eastAsiaTheme="minorEastAsia"/>
          <w:iCs/>
        </w:rPr>
        <w:t>The specification also includes unit and time fixed effects (</w:t>
      </w:r>
      <m:oMath>
        <m:sSub>
          <m:sSubPr>
            <m:ctrlPr>
              <w:rPr>
                <w:rFonts w:ascii="Cambria Math" w:hAnsi="Cambria Math"/>
                <w:i/>
                <w:iCs/>
              </w:rPr>
            </m:ctrlPr>
          </m:sSubPr>
          <m:e>
            <m:r>
              <w:rPr>
                <w:rFonts w:ascii="Cambria Math" w:hAnsi="Cambria Math"/>
              </w:rPr>
              <m:t>α</m:t>
            </m:r>
          </m:e>
          <m:sub>
            <m:r>
              <w:rPr>
                <w:rFonts w:ascii="Cambria Math" w:hAnsi="Cambria Math"/>
              </w:rPr>
              <m:t>i</m:t>
            </m:r>
          </m:sub>
        </m:sSub>
      </m:oMath>
      <w:r w:rsidR="00F4163C">
        <w:rPr>
          <w:rFonts w:eastAsiaTheme="minorEastAsia"/>
          <w:iCs/>
        </w:rPr>
        <w:t xml:space="preserve"> and </w:t>
      </w:r>
      <m:oMath>
        <m:sSub>
          <m:sSubPr>
            <m:ctrlPr>
              <w:rPr>
                <w:rFonts w:ascii="Cambria Math" w:hAnsi="Cambria Math"/>
                <w:i/>
                <w:iCs/>
              </w:rPr>
            </m:ctrlPr>
          </m:sSubPr>
          <m:e>
            <m:r>
              <w:rPr>
                <w:rFonts w:ascii="Cambria Math" w:hAnsi="Cambria Math"/>
              </w:rPr>
              <m:t>δ</m:t>
            </m:r>
          </m:e>
          <m:sub>
            <m:r>
              <w:rPr>
                <w:rFonts w:ascii="Cambria Math" w:hAnsi="Cambria Math"/>
              </w:rPr>
              <m:t>t</m:t>
            </m:r>
          </m:sub>
        </m:sSub>
      </m:oMath>
      <w:r w:rsidR="00F4163C">
        <w:rPr>
          <w:rFonts w:eastAsiaTheme="minorEastAsia"/>
          <w:iCs/>
        </w:rPr>
        <w:t>, respectively).</w:t>
      </w:r>
      <w:r w:rsidR="00F4163C">
        <w:rPr>
          <w:rFonts w:eastAsiaTheme="minorEastAsia"/>
        </w:rPr>
        <w:t xml:space="preserve"> </w:t>
      </w:r>
      <w:r w:rsidR="00AF4FCD">
        <w:rPr>
          <w:rFonts w:eastAsiaTheme="minorEastAsia"/>
        </w:rPr>
        <w:t>Like</w:t>
      </w:r>
      <w:r w:rsidR="00F4163C">
        <w:rPr>
          <w:rFonts w:eastAsiaTheme="minorEastAsia"/>
        </w:rPr>
        <w:t xml:space="preserve"> a difference-in-difference estimator, the fixed effects remove time-invariant confounding between treated and untreated units. </w:t>
      </w:r>
      <w:r w:rsidR="00AF4FCD">
        <w:rPr>
          <w:rFonts w:eastAsiaTheme="minorEastAsia"/>
        </w:rPr>
        <w:t xml:space="preserve">We also adjusted the model for an additional confounder </w:t>
      </w:r>
      <m:oMath>
        <m:sSub>
          <m:sSubPr>
            <m:ctrlPr>
              <w:rPr>
                <w:rFonts w:ascii="Cambria Math"/>
              </w:rPr>
            </m:ctrlPr>
          </m:sSubPr>
          <m:e>
            <m:r>
              <m:rPr>
                <m:sty m:val="p"/>
              </m:rPr>
              <w:rPr>
                <w:rFonts w:ascii="Cambria Math"/>
              </w:rPr>
              <m:t>X</m:t>
            </m:r>
          </m:e>
          <m:sub>
            <m:r>
              <m:rPr>
                <m:sty m:val="p"/>
              </m:rPr>
              <w:rPr>
                <w:rFonts w:ascii="Cambria Math"/>
              </w:rPr>
              <m:t>i,t</m:t>
            </m:r>
          </m:sub>
        </m:sSub>
        <m:r>
          <w:rPr>
            <w:rFonts w:ascii="Cambria Math"/>
          </w:rPr>
          <m:t>:</m:t>
        </m:r>
      </m:oMath>
      <w:r w:rsidR="00AF4FCD">
        <w:rPr>
          <w:rFonts w:eastAsiaTheme="minorEastAsia"/>
        </w:rPr>
        <w:t xml:space="preserve">  the unemployment rate.</w:t>
      </w:r>
    </w:p>
    <w:p w14:paraId="17DA7B82" w14:textId="74FDC863" w:rsidR="00BE1F68" w:rsidRDefault="008556BD" w:rsidP="008556BD">
      <w:pPr>
        <w:pStyle w:val="Heading4"/>
        <w:rPr>
          <w:rFonts w:eastAsiaTheme="minorEastAsia"/>
        </w:rPr>
      </w:pPr>
      <w:commentRangeStart w:id="7"/>
      <w:r>
        <w:rPr>
          <w:rFonts w:eastAsiaTheme="minorEastAsia"/>
        </w:rPr>
        <w:t xml:space="preserve">Event Study with Autoregressive </w:t>
      </w:r>
      <w:r w:rsidRPr="008556BD">
        <w:rPr>
          <w:rFonts w:eastAsiaTheme="minorEastAsia"/>
          <w:i w:val="0"/>
          <w:iCs w:val="0"/>
        </w:rPr>
        <w:t>Term</w:t>
      </w:r>
      <w:commentRangeEnd w:id="7"/>
      <w:r>
        <w:rPr>
          <w:rStyle w:val="CommentReference"/>
          <w:rFonts w:asciiTheme="minorHAnsi" w:eastAsiaTheme="minorHAnsi" w:hAnsiTheme="minorHAnsi" w:cstheme="minorBidi"/>
          <w:i w:val="0"/>
          <w:iCs w:val="0"/>
          <w:color w:val="auto"/>
        </w:rPr>
        <w:commentReference w:id="7"/>
      </w:r>
    </w:p>
    <w:p w14:paraId="7F7C14F4" w14:textId="0883CE4A" w:rsidR="008556BD" w:rsidRDefault="008556BD" w:rsidP="008556BD">
      <w:r>
        <w:tab/>
        <w:t>We also estimated an event study model using an autoregressive term rather than a fixed effect</w:t>
      </w:r>
      <w:r w:rsidR="00AF4FCD">
        <w:t xml:space="preserve">. This model may </w:t>
      </w:r>
      <w:r>
        <w:t xml:space="preserve">improve estimation </w:t>
      </w:r>
      <w:r w:rsidR="00AF4FCD">
        <w:t xml:space="preserve">of treatment effects </w:t>
      </w:r>
      <w:r>
        <w:t>when outcomes are highly autocorrelated</w:t>
      </w:r>
      <w:r w:rsidR="00F4163C">
        <w:t>.</w:t>
      </w:r>
    </w:p>
    <w:p w14:paraId="004DCB7C" w14:textId="547499FB" w:rsidR="008556BD" w:rsidRPr="008556BD" w:rsidRDefault="008556BD" w:rsidP="008556BD">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Y</m:t>
              </m:r>
            </m:e>
            <m:sub>
              <m:r>
                <w:rPr>
                  <w:rFonts w:ascii="Cambria Math" w:eastAsiaTheme="minorEastAsia" w:hAnsi="Cambria Math"/>
                </w:rPr>
                <m:t>i,t</m:t>
              </m:r>
            </m:sub>
            <m:sup>
              <m:r>
                <w:rPr>
                  <w:rFonts w:ascii="Cambria Math" w:eastAsiaTheme="minorEastAsia" w:hAnsi="Cambria Math"/>
                </w:rPr>
                <m:t>*</m:t>
              </m:r>
            </m:sup>
          </m:sSubSup>
          <m:r>
            <w:rPr>
              <w:rFonts w:ascii="Cambria Math" w:eastAsiaTheme="minorEastAsia" w:hAnsi="Cambria Math"/>
            </w:rPr>
            <m:t>=</m:t>
          </m:r>
          <m:nary>
            <m:naryPr>
              <m:chr m:val="∑"/>
              <m:limLoc m:val="undOvr"/>
              <m:ctrlPr>
                <w:rPr>
                  <w:rFonts w:ascii="Cambria Math" w:hAnsi="Cambria Math"/>
                  <w:i/>
                </w:rPr>
              </m:ctrlPr>
            </m:naryPr>
            <m:sub>
              <m:r>
                <w:rPr>
                  <w:rFonts w:ascii="Cambria Math" w:hAnsi="Cambria Math"/>
                </w:rPr>
                <m:t>j= -m</m:t>
              </m:r>
            </m:sub>
            <m:sup>
              <m:r>
                <w:rPr>
                  <w:rFonts w:ascii="Cambria Math" w:hAnsi="Cambria Math"/>
                </w:rPr>
                <m:t>5</m:t>
              </m:r>
            </m:sup>
            <m:e>
              <m:sSub>
                <m:sSubPr>
                  <m:ctrlPr>
                    <w:rPr>
                      <w:rFonts w:ascii="Cambria Math" w:hAnsi="Cambria Math"/>
                      <w:i/>
                    </w:rPr>
                  </m:ctrlPr>
                </m:sSubPr>
                <m:e>
                  <m:r>
                    <w:rPr>
                      <w:rFonts w:ascii="Cambria Math" w:hAnsi="Cambria Math"/>
                    </w:rPr>
                    <m:t>t</m:t>
                  </m:r>
                </m:e>
                <m:sub>
                  <m:r>
                    <w:rPr>
                      <w:rFonts w:ascii="Cambria Math" w:hAnsi="Cambria Math"/>
                    </w:rPr>
                    <m:t>j</m:t>
                  </m:r>
                </m:sub>
              </m:sSub>
            </m:e>
          </m:nary>
          <m:sSub>
            <m:sSubPr>
              <m:ctrlPr>
                <w:rPr>
                  <w:rFonts w:ascii="Cambria Math" w:hAnsi="Cambria Math"/>
                  <w:iCs/>
                </w:rPr>
              </m:ctrlPr>
            </m:sSubPr>
            <m:e>
              <m:r>
                <m:rPr>
                  <m:sty m:val="p"/>
                </m:rPr>
                <w:rPr>
                  <w:rFonts w:ascii="Cambria Math" w:hAnsi="Cambria Math"/>
                </w:rPr>
                <m:t>·</m:t>
              </m:r>
              <m:r>
                <m:rPr>
                  <m:sty m:val="p"/>
                </m:rPr>
                <w:rPr>
                  <w:rFonts w:ascii="Cambria Math" w:hAnsi="Cambria Math"/>
                </w:rPr>
                <m:t>D</m:t>
              </m:r>
              <m:ctrlPr>
                <w:rPr>
                  <w:rFonts w:ascii="Cambria Math" w:hAnsi="Cambria Math"/>
                  <w:i/>
                </w:rPr>
              </m:ctrlPr>
            </m:e>
            <m:sub>
              <m:r>
                <m:rPr>
                  <m:sty m:val="p"/>
                </m:rPr>
                <w:rPr>
                  <w:rFonts w:ascii="Cambria Math" w:hAnsi="Cambria Math"/>
                </w:rPr>
                <m:t>i,t-j</m:t>
              </m:r>
            </m:sub>
          </m:sSub>
          <m:r>
            <w:rPr>
              <w:rFonts w:ascii="Cambria Math" w:hAnsi="Cambria Math"/>
            </w:rPr>
            <m:t xml:space="preserve">+ </m:t>
          </m:r>
          <m:sSubSup>
            <m:sSubSupPr>
              <m:ctrlPr>
                <w:rPr>
                  <w:rFonts w:ascii="Cambria Math" w:eastAsiaTheme="minorEastAsia" w:hAnsi="Cambria Math"/>
                  <w:i/>
                </w:rPr>
              </m:ctrlPr>
            </m:sSubSupPr>
            <m:e>
              <m:r>
                <w:rPr>
                  <w:rFonts w:ascii="Cambria Math" w:eastAsiaTheme="minorEastAsia" w:hAnsi="Cambria Math"/>
                </w:rPr>
                <m:t>Y</m:t>
              </m:r>
            </m:e>
            <m:sub>
              <m:r>
                <w:rPr>
                  <w:rFonts w:ascii="Cambria Math" w:eastAsiaTheme="minorEastAsia" w:hAnsi="Cambria Math"/>
                </w:rPr>
                <m:t>i,t</m:t>
              </m:r>
              <m:r>
                <w:rPr>
                  <w:rFonts w:ascii="Cambria Math" w:eastAsiaTheme="minorEastAsia" w:hAnsi="Cambria Math"/>
                </w:rPr>
                <m:t>-1</m:t>
              </m:r>
            </m:sub>
            <m:sup>
              <m:r>
                <w:rPr>
                  <w:rFonts w:ascii="Cambria Math" w:eastAsiaTheme="minorEastAsia" w:hAnsi="Cambria Math"/>
                </w:rPr>
                <m:t>*</m:t>
              </m:r>
            </m:sup>
          </m:sSubSup>
          <m:r>
            <w:rPr>
              <w:rFonts w:ascii="Cambria Math" w:hAnsi="Cambria Math"/>
            </w:rPr>
            <m:t xml:space="preserve">+ </m:t>
          </m:r>
          <m:sSub>
            <m:sSubPr>
              <m:ctrlPr>
                <w:rPr>
                  <w:rFonts w:ascii="Cambria Math" w:hAnsi="Cambria Math"/>
                  <w:i/>
                  <w:iCs/>
                </w:rPr>
              </m:ctrlPr>
            </m:sSubPr>
            <m:e>
              <m:r>
                <w:rPr>
                  <w:rFonts w:ascii="Cambria Math" w:hAnsi="Cambria Math"/>
                </w:rPr>
                <m:t>δ</m:t>
              </m:r>
            </m:e>
            <m:sub>
              <m:r>
                <w:rPr>
                  <w:rFonts w:ascii="Cambria Math" w:hAnsi="Cambria Math"/>
                </w:rPr>
                <m:t>t</m:t>
              </m:r>
            </m:sub>
          </m:sSub>
          <m:r>
            <w:rPr>
              <w:rFonts w:ascii="Cambria Math" w:hAnsi="Cambria Math"/>
            </w:rPr>
            <m:t>+</m:t>
          </m:r>
          <m:r>
            <m:rPr>
              <m:sty m:val="p"/>
            </m:rPr>
            <w:rPr>
              <w:rFonts w:ascii="Cambria Math" w:hAnsi="Cambria Math"/>
            </w:rPr>
            <m:t>β</m:t>
          </m:r>
          <m:r>
            <m:rPr>
              <m:sty m:val="p"/>
            </m:rPr>
            <w:rPr>
              <w:rFonts w:ascii="Cambria Math" w:hAnsi="Cambria Math"/>
            </w:rPr>
            <m:t>·</m:t>
          </m:r>
          <m:sSub>
            <m:sSubPr>
              <m:ctrlPr>
                <w:rPr>
                  <w:rFonts w:ascii="Cambria Math"/>
                </w:rPr>
              </m:ctrlPr>
            </m:sSubPr>
            <m:e>
              <m:r>
                <m:rPr>
                  <m:sty m:val="p"/>
                </m:rPr>
                <w:rPr>
                  <w:rFonts w:ascii="Cambria Math"/>
                </w:rPr>
                <m:t>X</m:t>
              </m:r>
            </m:e>
            <m:sub>
              <m:r>
                <m:rPr>
                  <m:sty m:val="p"/>
                </m:rPr>
                <w:rPr>
                  <w:rFonts w:ascii="Cambria Math"/>
                </w:rPr>
                <m:t>i,t</m:t>
              </m:r>
            </m:sub>
          </m:sSub>
          <m:r>
            <w:rPr>
              <w:rFonts w:ascii="Cambria Math"/>
            </w:rPr>
            <m:t>+</m:t>
          </m:r>
          <m:sSub>
            <m:sSubPr>
              <m:ctrlPr>
                <w:rPr>
                  <w:rFonts w:ascii="Cambria Math"/>
                  <w:i/>
                </w:rPr>
              </m:ctrlPr>
            </m:sSubPr>
            <m:e>
              <m:r>
                <w:rPr>
                  <w:rFonts w:ascii="Cambria Math"/>
                </w:rPr>
                <m:t>ϵ</m:t>
              </m:r>
            </m:e>
            <m:sub>
              <m:r>
                <w:rPr>
                  <w:rFonts w:ascii="Cambria Math"/>
                </w:rPr>
                <m:t>i,t</m:t>
              </m:r>
            </m:sub>
          </m:sSub>
        </m:oMath>
      </m:oMathPara>
    </w:p>
    <w:p w14:paraId="74ED8C0E" w14:textId="3403618C" w:rsidR="00AF4FCD" w:rsidRDefault="00AF4FCD" w:rsidP="00AF4FCD">
      <w:pPr>
        <w:pStyle w:val="NoSpacing"/>
      </w:pPr>
      <w:r>
        <w:tab/>
        <w:t xml:space="preserve">We only included a single lag term within estimated models. </w:t>
      </w:r>
    </w:p>
    <w:p w14:paraId="30560FE4" w14:textId="77777777" w:rsidR="00AF4FCD" w:rsidRDefault="00AF4FCD" w:rsidP="00AF4FCD">
      <w:pPr>
        <w:pStyle w:val="NoSpacing"/>
      </w:pPr>
    </w:p>
    <w:p w14:paraId="65CCE3D8" w14:textId="3321CBA0" w:rsidR="008556BD" w:rsidRDefault="00AF4FCD" w:rsidP="00AF4FCD">
      <w:pPr>
        <w:pStyle w:val="Heading4"/>
      </w:pPr>
      <w:r>
        <w:t>A</w:t>
      </w:r>
      <w:r>
        <w:t xml:space="preserve">ugmented </w:t>
      </w:r>
      <w:r>
        <w:t>S</w:t>
      </w:r>
      <w:r>
        <w:t xml:space="preserve">ynthetic </w:t>
      </w:r>
      <w:r>
        <w:t>C</w:t>
      </w:r>
      <w:r>
        <w:t xml:space="preserve">ontrol </w:t>
      </w:r>
      <w:r>
        <w:t>M</w:t>
      </w:r>
      <w:r>
        <w:t>odel</w:t>
      </w:r>
    </w:p>
    <w:p w14:paraId="0E9E932A" w14:textId="2B08982B" w:rsidR="00E10788" w:rsidRDefault="002305F4" w:rsidP="002305F4">
      <w:pPr>
        <w:ind w:firstLine="720"/>
      </w:pPr>
      <w:r>
        <w:t xml:space="preserve">We also considered a </w:t>
      </w:r>
      <w:r w:rsidR="00AF4FCD">
        <w:t xml:space="preserve">partially pooled </w:t>
      </w:r>
      <w:r>
        <w:t xml:space="preserve">augmented </w:t>
      </w:r>
      <w:r w:rsidR="00AF4FCD">
        <w:t xml:space="preserve">synthetic control model using staggered </w:t>
      </w:r>
      <w:commentRangeStart w:id="8"/>
      <w:commentRangeStart w:id="9"/>
      <w:r>
        <w:t>adoption</w:t>
      </w:r>
      <w:commentRangeEnd w:id="8"/>
      <w:r>
        <w:rPr>
          <w:rStyle w:val="CommentReference"/>
        </w:rPr>
        <w:commentReference w:id="8"/>
      </w:r>
      <w:commentRangeEnd w:id="9"/>
      <w:r w:rsidR="00B22DC1">
        <w:rPr>
          <w:rStyle w:val="CommentReference"/>
        </w:rPr>
        <w:commentReference w:id="9"/>
      </w:r>
      <w:r>
        <w:t xml:space="preserve"> (ASCM). </w:t>
      </w:r>
      <w:r w:rsidR="00AF4FCD">
        <w:t xml:space="preserve"> </w:t>
      </w:r>
      <w:r w:rsidR="00E10788">
        <w:t xml:space="preserve">ASCM is closely related to the synthetic control method, which uses untreated units to create a weighted synthetic control group that closely matches a single treated unit in pre-treatment outcomes and covariates. ASCM using staggered adoption extends the synthetic control method to settings with multiple treated units and improves the weighting of control units by adding a bias-correction procedure. </w:t>
      </w:r>
    </w:p>
    <w:p w14:paraId="72101C22" w14:textId="769A0C4C" w:rsidR="00AF4FCD" w:rsidRDefault="002305F4" w:rsidP="002305F4">
      <w:pPr>
        <w:ind w:firstLine="720"/>
      </w:pPr>
      <w:r>
        <w:t xml:space="preserve">This approach uses two steps to estimate dynamic treatment effects. First, ASCM </w:t>
      </w:r>
      <w:r w:rsidR="00E10788">
        <w:t xml:space="preserve">estimates </w:t>
      </w:r>
      <w:r w:rsidR="00E77AE3">
        <w:t xml:space="preserve">separate synthetic control units for each treated unit by constructing </w:t>
      </w:r>
      <w:r w:rsidR="00E10788">
        <w:t>weights</w:t>
      </w:r>
      <w:r w:rsidR="00E77AE3">
        <w:t xml:space="preserve">. These weights are </w:t>
      </w:r>
      <w:r w:rsidR="00E77AE3">
        <w:lastRenderedPageBreak/>
        <w:t xml:space="preserve">determined using a partial pooling approach </w:t>
      </w:r>
      <w:r w:rsidR="00E10788">
        <w:t xml:space="preserve">to minimize imbalance between pre-treatment outcomes in treated units and </w:t>
      </w:r>
      <w:r w:rsidR="00E77AE3">
        <w:t xml:space="preserve">the weighted average </w:t>
      </w:r>
      <w:r w:rsidR="00E10788">
        <w:t>control unit</w:t>
      </w:r>
      <w:r w:rsidR="00B22DC1">
        <w:t xml:space="preserve">. </w:t>
      </w:r>
      <w:r w:rsidR="00E77AE3">
        <w:t>Second,</w:t>
      </w:r>
      <w:r w:rsidR="00B22DC1">
        <w:t xml:space="preserve"> </w:t>
      </w:r>
      <w:r w:rsidR="00E77AE3">
        <w:t>using this</w:t>
      </w:r>
      <w:r w:rsidR="00B22DC1">
        <w:t xml:space="preserve"> weighted average </w:t>
      </w:r>
      <w:r w:rsidR="00E77AE3">
        <w:t xml:space="preserve">control unit </w:t>
      </w:r>
      <w:r w:rsidR="00E10788">
        <w:t xml:space="preserve">and additional adjustment covariates, ASCM solves an optimization problem to estimate a </w:t>
      </w:r>
      <w:r w:rsidR="00E77AE3">
        <w:t xml:space="preserve">synthetic </w:t>
      </w:r>
      <w:r w:rsidR="00E10788">
        <w:t>counterfactual outcome under control for each treated unit. This counterfactual outcome is then used to calculate time-varying treatment effects</w:t>
      </w:r>
      <w:r w:rsidR="00E77AE3">
        <w:t xml:space="preserve"> for a given number of post-treatment periods</w:t>
      </w:r>
      <w:r w:rsidR="00E10788">
        <w:t xml:space="preserve">. </w:t>
      </w:r>
      <w:r w:rsidR="00E77AE3">
        <w:t xml:space="preserve">Across synthetic datasets and simulation scenarios, we estimated treatment effects using ASCM for five years after treatment using unemployment rate as an additional adjustment covariate.  </w:t>
      </w:r>
      <w:r w:rsidR="00705887">
        <w:t xml:space="preserve">We used the </w:t>
      </w:r>
      <w:proofErr w:type="spellStart"/>
      <w:r w:rsidR="00705887">
        <w:t>augsynth</w:t>
      </w:r>
      <w:proofErr w:type="spellEnd"/>
      <w:r w:rsidR="00705887">
        <w:t xml:space="preserve"> v0.2 R package for all estimated models.</w:t>
      </w:r>
    </w:p>
    <w:p w14:paraId="08E56D28" w14:textId="6127D302" w:rsidR="00E77AE3" w:rsidRDefault="00E77AE3" w:rsidP="00E77AE3">
      <w:pPr>
        <w:pStyle w:val="Heading4"/>
      </w:pPr>
      <w:r>
        <w:t xml:space="preserve">Callaway and Sant’Anna </w:t>
      </w:r>
    </w:p>
    <w:p w14:paraId="22265B2E" w14:textId="364C4EC1" w:rsidR="00705887" w:rsidRDefault="00E77AE3" w:rsidP="00E77AE3">
      <w:r>
        <w:tab/>
      </w:r>
      <w:r w:rsidR="00E221AD">
        <w:t xml:space="preserve">We examined estimation of time-varying treatment effects using an approach to difference-in-difference analysis suggested by Callaway and Sant’Anna, </w:t>
      </w:r>
      <w:commentRangeStart w:id="10"/>
      <w:r w:rsidR="00E221AD">
        <w:t>2021</w:t>
      </w:r>
      <w:commentRangeEnd w:id="10"/>
      <w:r w:rsidR="00E221AD">
        <w:rPr>
          <w:rStyle w:val="CommentReference"/>
        </w:rPr>
        <w:commentReference w:id="10"/>
      </w:r>
      <w:r w:rsidR="00E221AD">
        <w:t xml:space="preserve">. </w:t>
      </w:r>
      <w:r w:rsidR="00E221AD">
        <w:t xml:space="preserve">This approach comprises </w:t>
      </w:r>
      <w:r w:rsidR="00031E1B">
        <w:t>two</w:t>
      </w:r>
      <w:r w:rsidR="00E221AD">
        <w:t xml:space="preserve"> </w:t>
      </w:r>
      <w:commentRangeStart w:id="11"/>
      <w:r w:rsidR="00E221AD">
        <w:t>steps</w:t>
      </w:r>
      <w:commentRangeEnd w:id="11"/>
      <w:r w:rsidR="00031E1B">
        <w:rPr>
          <w:rStyle w:val="CommentReference"/>
        </w:rPr>
        <w:commentReference w:id="11"/>
      </w:r>
      <w:r w:rsidR="00031E1B">
        <w:t xml:space="preserve"> for estimating an average treatment effect</w:t>
      </w:r>
      <w:r w:rsidR="00E221AD">
        <w:t xml:space="preserve">: (1) </w:t>
      </w:r>
      <w:r w:rsidR="00E221AD">
        <w:t>estimat</w:t>
      </w:r>
      <w:r w:rsidR="00031E1B">
        <w:t xml:space="preserve">ing </w:t>
      </w:r>
      <w:r w:rsidR="008B6505">
        <w:t>cohort</w:t>
      </w:r>
      <w:r w:rsidR="00031E1B">
        <w:t xml:space="preserve"> average</w:t>
      </w:r>
      <w:r w:rsidR="00E221AD">
        <w:t xml:space="preserve"> </w:t>
      </w:r>
      <w:r w:rsidR="00031E1B">
        <w:t xml:space="preserve">treatment effects, (2) aggregating </w:t>
      </w:r>
      <w:r w:rsidR="008B6505">
        <w:t>cohort</w:t>
      </w:r>
      <w:r w:rsidR="00031E1B">
        <w:t xml:space="preserve"> average treatment effects into a measure of the average treatment effect.</w:t>
      </w:r>
      <w:r w:rsidR="00705887">
        <w:t xml:space="preserve"> </w:t>
      </w:r>
      <w:r w:rsidR="008B6505">
        <w:t>Cohort-specific</w:t>
      </w:r>
      <w:r w:rsidR="00705887">
        <w:t xml:space="preserve"> average treatment effects correspond to estimates of the treatment effect for units which received treatment at the same time. </w:t>
      </w:r>
    </w:p>
    <w:p w14:paraId="14C1F774" w14:textId="138EF299" w:rsidR="00E77AE3" w:rsidRDefault="00031E1B" w:rsidP="00705887">
      <w:pPr>
        <w:ind w:firstLine="720"/>
      </w:pPr>
      <w:r>
        <w:t xml:space="preserve">For step one, we employed a </w:t>
      </w:r>
      <w:proofErr w:type="gramStart"/>
      <w:r>
        <w:t>doubly-robust</w:t>
      </w:r>
      <w:proofErr w:type="gramEnd"/>
      <w:r>
        <w:t xml:space="preserve"> </w:t>
      </w:r>
      <w:commentRangeStart w:id="12"/>
      <w:r>
        <w:t>estimator</w:t>
      </w:r>
      <w:commentRangeEnd w:id="12"/>
      <w:r w:rsidR="001B4062">
        <w:rPr>
          <w:rStyle w:val="CommentReference"/>
        </w:rPr>
        <w:commentReference w:id="12"/>
      </w:r>
      <w:r>
        <w:t>.</w:t>
      </w:r>
      <w:r w:rsidR="00705887">
        <w:t xml:space="preserve"> This estimator uses a combination of probability weighting and an outcome regression to construct a consistent estimate of the treatment effect, when either the probability weighting model or outcome regression model is correctly specified.</w:t>
      </w:r>
      <w:r>
        <w:t xml:space="preserve"> </w:t>
      </w:r>
      <w:r w:rsidR="001B4062">
        <w:t>For step two</w:t>
      </w:r>
      <w:r>
        <w:t xml:space="preserve">, </w:t>
      </w:r>
      <w:r w:rsidR="001B4062">
        <w:t xml:space="preserve">we weighted estimated group-time average treatment effects into dynamic treatment effects, </w:t>
      </w:r>
      <w:r w:rsidR="00705887">
        <w:t>following procedures in</w:t>
      </w:r>
      <w:r w:rsidR="001B4062">
        <w:t xml:space="preserve"> </w:t>
      </w:r>
      <w:r w:rsidR="00705887">
        <w:t xml:space="preserve">Callaway and Sant’Anna, </w:t>
      </w:r>
      <w:commentRangeStart w:id="13"/>
      <w:r w:rsidR="00705887">
        <w:t>2021</w:t>
      </w:r>
      <w:commentRangeEnd w:id="13"/>
      <w:r w:rsidR="00705887">
        <w:rPr>
          <w:rStyle w:val="CommentReference"/>
        </w:rPr>
        <w:commentReference w:id="13"/>
      </w:r>
      <w:r w:rsidR="00705887">
        <w:t xml:space="preserve">. We used the DID v2.1.2. package </w:t>
      </w:r>
      <w:r w:rsidR="00975F2B">
        <w:t xml:space="preserve">in R </w:t>
      </w:r>
      <w:r w:rsidR="00705887">
        <w:t>to estimate all models.</w:t>
      </w:r>
    </w:p>
    <w:p w14:paraId="6AC373A6" w14:textId="1328ACC1" w:rsidR="00705887" w:rsidRDefault="00705887" w:rsidP="00705887">
      <w:pPr>
        <w:pStyle w:val="Heading4"/>
      </w:pPr>
      <w:r>
        <w:t>Sun and Abraham event study</w:t>
      </w:r>
    </w:p>
    <w:p w14:paraId="07E0A8E3" w14:textId="7EB4C968" w:rsidR="00705887" w:rsidRDefault="00705887" w:rsidP="00705887">
      <w:r>
        <w:tab/>
        <w:t>Sun and Abraham</w:t>
      </w:r>
      <w:r w:rsidR="00872C88">
        <w:t>, 2021</w:t>
      </w:r>
      <w:r>
        <w:t xml:space="preserve"> </w:t>
      </w:r>
      <w:r w:rsidR="008B6505">
        <w:t>provide</w:t>
      </w:r>
      <w:r>
        <w:t xml:space="preserve"> an alternative </w:t>
      </w:r>
      <w:r w:rsidR="008B6505">
        <w:t xml:space="preserve">two-step </w:t>
      </w:r>
      <w:r>
        <w:t xml:space="preserve">estimation </w:t>
      </w:r>
      <w:r w:rsidR="008B6505">
        <w:t xml:space="preserve">strategy to calculate time-varying treatment </w:t>
      </w:r>
      <w:commentRangeStart w:id="14"/>
      <w:r w:rsidR="008B6505">
        <w:t>effects</w:t>
      </w:r>
      <w:commentRangeEnd w:id="14"/>
      <w:r w:rsidR="00872C88">
        <w:rPr>
          <w:rStyle w:val="CommentReference"/>
        </w:rPr>
        <w:commentReference w:id="14"/>
      </w:r>
      <w:r w:rsidR="008B6505">
        <w:t xml:space="preserve">. In the first step, </w:t>
      </w:r>
      <w:r w:rsidR="00872C88">
        <w:t xml:space="preserve">an event-study design is modified to use cohort-specific interaction terms rather than event-time interaction terms. Then, the estimated cohort-specific interaction estimates are weighted by the relative share of each cohort within an event-time period, then aggregated to construct time-varying treatment </w:t>
      </w:r>
      <w:commentRangeStart w:id="15"/>
      <w:r w:rsidR="00872C88">
        <w:t>effects</w:t>
      </w:r>
      <w:commentRangeEnd w:id="15"/>
      <w:r w:rsidR="00872C88">
        <w:rPr>
          <w:rStyle w:val="CommentReference"/>
        </w:rPr>
        <w:commentReference w:id="15"/>
      </w:r>
      <w:r w:rsidR="00872C88">
        <w:t xml:space="preserve">. </w:t>
      </w:r>
      <w:r w:rsidR="00975F2B">
        <w:t xml:space="preserve">We estimated Sun and Abraham event study models using the </w:t>
      </w:r>
      <w:proofErr w:type="spellStart"/>
      <w:r w:rsidR="00975F2B">
        <w:t>Fixest</w:t>
      </w:r>
      <w:proofErr w:type="spellEnd"/>
      <w:r w:rsidR="00975F2B">
        <w:t xml:space="preserve"> v0.11.1 package in R.</w:t>
      </w:r>
    </w:p>
    <w:p w14:paraId="0FAAB368" w14:textId="2C47A773" w:rsidR="00872C88" w:rsidRDefault="00872C88" w:rsidP="00C76B65">
      <w:pPr>
        <w:pStyle w:val="Heading4"/>
      </w:pPr>
      <w:r w:rsidRPr="00872C88">
        <w:t xml:space="preserve">Two-Stage </w:t>
      </w:r>
      <w:r w:rsidR="00C76B65">
        <w:t>Difference-in-Differences</w:t>
      </w:r>
    </w:p>
    <w:p w14:paraId="606AAD83" w14:textId="5AA11CC7" w:rsidR="00C76B65" w:rsidRDefault="00C76B65" w:rsidP="00C76B65">
      <w:r>
        <w:tab/>
        <w:t xml:space="preserve">We estimated an additional set of models using the two-stage difference-in-difference design adapted to event-studies, as proposed by Gardner, </w:t>
      </w:r>
      <w:commentRangeStart w:id="16"/>
      <w:r>
        <w:t>202</w:t>
      </w:r>
      <w:r w:rsidR="00975F2B">
        <w:t>2</w:t>
      </w:r>
      <w:commentRangeEnd w:id="16"/>
      <w:r w:rsidR="00975F2B">
        <w:rPr>
          <w:rStyle w:val="CommentReference"/>
        </w:rPr>
        <w:commentReference w:id="16"/>
      </w:r>
      <w:r>
        <w:t xml:space="preserve">. This approach, as the name suggests, uses two steps to estimate time-varying treatment effects. However, this approach differs from Callaway and Sant’Anna, and Sun and Abraham by instead estimating an “imputed” treatment effect for untreated groups, rather than weighting estimated treatment effects of various treated groups. </w:t>
      </w:r>
    </w:p>
    <w:p w14:paraId="7542DCF1" w14:textId="280F9FDA" w:rsidR="00C76B65" w:rsidRDefault="00C76B65" w:rsidP="00C76B65">
      <w:pPr>
        <w:ind w:firstLine="720"/>
      </w:pPr>
      <w:r>
        <w:t xml:space="preserve">In the first stage, two-stage difference-in-difference </w:t>
      </w:r>
      <w:r w:rsidR="00975F2B">
        <w:t xml:space="preserve">constructs </w:t>
      </w:r>
      <w:r w:rsidR="00944174">
        <w:t xml:space="preserve">an outcome model </w:t>
      </w:r>
      <w:r w:rsidR="00944174">
        <w:t xml:space="preserve">using only </w:t>
      </w:r>
      <w:r w:rsidR="00975F2B">
        <w:t>untreated observations (both control units and before-treatment units)</w:t>
      </w:r>
      <w:r w:rsidR="00944174">
        <w:t xml:space="preserve"> </w:t>
      </w:r>
      <w:r w:rsidR="00975F2B">
        <w:t>to</w:t>
      </w:r>
      <w:r w:rsidR="00944174">
        <w:t xml:space="preserve"> </w:t>
      </w:r>
      <w:r w:rsidR="00975F2B">
        <w:t xml:space="preserve">estimate </w:t>
      </w:r>
      <w:r>
        <w:t xml:space="preserve">fixed effects for group and </w:t>
      </w:r>
      <w:r w:rsidR="00944174">
        <w:t xml:space="preserve">time. </w:t>
      </w:r>
      <w:r>
        <w:t xml:space="preserve"> </w:t>
      </w:r>
      <w:r w:rsidR="00975F2B">
        <w:t xml:space="preserve">Then the estimated fixed effects are subtracted from observed outcomes and the adjusted outcome is regressed on </w:t>
      </w:r>
      <w:r w:rsidR="00A15D25">
        <w:t>event-time indicator variables to estimate time-varying treatment effects.</w:t>
      </w:r>
    </w:p>
    <w:p w14:paraId="547BD24F" w14:textId="6FF090E6" w:rsidR="00A15D25" w:rsidRDefault="00A15D25" w:rsidP="00A15D25">
      <w:pPr>
        <w:pStyle w:val="Heading4"/>
      </w:pPr>
      <w:r>
        <w:lastRenderedPageBreak/>
        <w:t xml:space="preserve">Difference-in-Difference </w:t>
      </w:r>
      <w:commentRangeStart w:id="17"/>
      <w:r>
        <w:t>Imputation Estimator</w:t>
      </w:r>
      <w:commentRangeEnd w:id="17"/>
      <w:r w:rsidR="00C62030">
        <w:rPr>
          <w:rStyle w:val="CommentReference"/>
          <w:rFonts w:asciiTheme="minorHAnsi" w:eastAsiaTheme="minorHAnsi" w:hAnsiTheme="minorHAnsi" w:cstheme="minorBidi"/>
          <w:i w:val="0"/>
          <w:iCs w:val="0"/>
          <w:color w:val="auto"/>
        </w:rPr>
        <w:commentReference w:id="17"/>
      </w:r>
    </w:p>
    <w:p w14:paraId="72D92AF3" w14:textId="17D78765" w:rsidR="00A15D25" w:rsidRPr="00A15D25" w:rsidRDefault="00A15D25" w:rsidP="00A15D25">
      <w:r>
        <w:tab/>
        <w:t xml:space="preserve">The last model </w:t>
      </w:r>
      <w:r w:rsidR="00C62030">
        <w:t xml:space="preserve">we </w:t>
      </w:r>
      <w:r>
        <w:t xml:space="preserve">estimated across simulation scenarios was a difference-in-difference estimator using an imputation </w:t>
      </w:r>
      <w:commentRangeStart w:id="18"/>
      <w:r>
        <w:t>form</w:t>
      </w:r>
      <w:commentRangeEnd w:id="18"/>
      <w:r>
        <w:rPr>
          <w:rStyle w:val="CommentReference"/>
        </w:rPr>
        <w:commentReference w:id="18"/>
      </w:r>
      <w:r>
        <w:t xml:space="preserve">. </w:t>
      </w:r>
      <w:r w:rsidR="00C62030">
        <w:t xml:space="preserve">This estimator follows a similar strategy to two-stage difference-in-differences, starting with an outcome model </w:t>
      </w:r>
      <w:r w:rsidR="008807E7">
        <w:t>which uses</w:t>
      </w:r>
      <w:r w:rsidR="00C62030">
        <w:t xml:space="preserve"> untreated observations </w:t>
      </w:r>
      <w:r w:rsidR="008807E7">
        <w:t xml:space="preserve">to estimate fixed effects for group and </w:t>
      </w:r>
      <w:commentRangeStart w:id="19"/>
      <w:r w:rsidR="008807E7">
        <w:t>time</w:t>
      </w:r>
      <w:commentRangeEnd w:id="19"/>
      <w:r w:rsidR="008807E7">
        <w:rPr>
          <w:rStyle w:val="CommentReference"/>
        </w:rPr>
        <w:commentReference w:id="19"/>
      </w:r>
      <w:r w:rsidR="008807E7">
        <w:t xml:space="preserve">.  However, rather than adjusting the outcome variable using these fixed effects, instead this approach predicts (“imputes”) a counterfactual untreated outcome based on the fixed effect parameters. Then for each treated unit and time, the counterfactual outcome is subtracted from the observed outcome to obtain unit-time-specific treatment effect. Lastly, the unit-time treatment effects are averaged by event-time to construct average event-time treatment </w:t>
      </w:r>
      <w:commentRangeStart w:id="20"/>
      <w:r w:rsidR="008807E7">
        <w:t>effects</w:t>
      </w:r>
      <w:commentRangeEnd w:id="20"/>
      <w:r w:rsidR="00046924">
        <w:rPr>
          <w:rStyle w:val="CommentReference"/>
        </w:rPr>
        <w:commentReference w:id="20"/>
      </w:r>
      <w:r w:rsidR="008807E7">
        <w:t xml:space="preserve">. </w:t>
      </w:r>
    </w:p>
    <w:p w14:paraId="4B674197" w14:textId="534C1DB0" w:rsidR="00705887" w:rsidRPr="00705887" w:rsidRDefault="00523D0B" w:rsidP="00705887">
      <w:pPr>
        <w:pStyle w:val="Heading3"/>
      </w:pPr>
      <w:r>
        <w:t>Performance Metrics</w:t>
      </w:r>
    </w:p>
    <w:p w14:paraId="691331FD" w14:textId="7EC3DDF7" w:rsidR="00B54D2B" w:rsidRDefault="00B54D2B" w:rsidP="00847C9B">
      <w:r>
        <w:tab/>
      </w:r>
      <w:r w:rsidR="00AE3B86">
        <w:t>For each empirical dataset and simulation scenario, we calculated performance metrics across simulations to assess average standardized bias, average effect variance, root mean squared error across simulations, and coverage. More formally,</w:t>
      </w:r>
    </w:p>
    <w:p w14:paraId="1BCF34C5" w14:textId="00F6F152" w:rsidR="00246DE6" w:rsidRPr="00246DE6" w:rsidRDefault="00AE3B86" w:rsidP="00246DE6">
      <w:pPr>
        <w:pStyle w:val="ListParagraph"/>
        <w:numPr>
          <w:ilvl w:val="0"/>
          <w:numId w:val="1"/>
        </w:numPr>
        <w:rPr>
          <w:rFonts w:eastAsiaTheme="minorEastAsia"/>
        </w:rPr>
      </w:pPr>
      <w:r>
        <w:rPr>
          <w:i/>
          <w:iCs/>
        </w:rPr>
        <w:t xml:space="preserve">Average Standardized </w:t>
      </w:r>
      <w:r w:rsidR="00991361">
        <w:rPr>
          <w:i/>
          <w:iCs/>
        </w:rPr>
        <w:t xml:space="preserve">Simulation </w:t>
      </w:r>
      <w:r>
        <w:rPr>
          <w:i/>
          <w:iCs/>
        </w:rPr>
        <w:t xml:space="preserve">Bias. </w:t>
      </w:r>
      <w:r>
        <w:t xml:space="preserve">For each empirical method, we calculated the average difference across simulations between the estimated effect and the true effect. To ensure bias was on a similar scale independent of differing effect sizes by time-since-treatment scenario, we report standardized bias by dividing estimated bias by the estimated standard deviation of the outcome within a given simulation iteration. So, </w:t>
      </w:r>
      <m:oMath>
        <m:r>
          <w:rPr>
            <w:rFonts w:ascii="Cambria Math" w:hAnsi="Cambria Math"/>
          </w:rPr>
          <m:t>Bia</m:t>
        </m:r>
        <m:sSub>
          <m:sSubPr>
            <m:ctrlPr>
              <w:rPr>
                <w:rFonts w:ascii="Cambria Math" w:hAnsi="Cambria Math"/>
                <w:i/>
              </w:rPr>
            </m:ctrlPr>
          </m:sSubPr>
          <m:e>
            <m:r>
              <w:rPr>
                <w:rFonts w:ascii="Cambria Math" w:hAnsi="Cambria Math"/>
              </w:rPr>
              <m:t>s</m:t>
            </m:r>
          </m:e>
          <m:sub>
            <m:sSub>
              <m:sSubPr>
                <m:ctrlPr>
                  <w:rPr>
                    <w:rFonts w:ascii="Cambria Math" w:hAnsi="Cambria Math"/>
                    <w:i/>
                  </w:rPr>
                </m:ctrlPr>
              </m:sSubPr>
              <m:e>
                <m:r>
                  <m:rPr>
                    <m:sty m:val="p"/>
                  </m:rPr>
                  <w:rPr>
                    <w:rFonts w:ascii="Cambria Math" w:hAnsi="Cambria Math"/>
                  </w:rPr>
                  <m:t>α</m:t>
                </m:r>
              </m:e>
              <m:sub>
                <m:r>
                  <w:rPr>
                    <w:rFonts w:ascii="Cambria Math" w:hAnsi="Cambria Math"/>
                  </w:rPr>
                  <m:t>t</m:t>
                </m:r>
              </m:sub>
            </m:sSub>
          </m:sub>
        </m:sSub>
        <m:r>
          <w:rPr>
            <w:rFonts w:ascii="Cambria Math" w:hAnsi="Cambria Math"/>
          </w:rPr>
          <m:t>=</m:t>
        </m:r>
        <m:nary>
          <m:naryPr>
            <m:chr m:val="∑"/>
            <m:limLoc m:val="undOvr"/>
            <m:ctrlPr>
              <w:rPr>
                <w:rFonts w:ascii="Cambria Math" w:eastAsiaTheme="minorEastAsia" w:hAnsi="Cambria Math"/>
                <w:i/>
              </w:rPr>
            </m:ctrlPr>
          </m:naryPr>
          <m:sub>
            <m:r>
              <w:rPr>
                <w:rFonts w:ascii="Cambria Math" w:eastAsiaTheme="minorEastAsia" w:hAnsi="Cambria Math"/>
              </w:rPr>
              <m:t>k=1</m:t>
            </m:r>
          </m:sub>
          <m:sup>
            <m:r>
              <w:rPr>
                <w:rFonts w:ascii="Cambria Math" w:eastAsiaTheme="minorEastAsia" w:hAnsi="Cambria Math"/>
              </w:rPr>
              <m:t>1000</m:t>
            </m:r>
          </m:sup>
          <m:e>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acc>
                      <m:accPr>
                        <m:ctrlPr>
                          <w:rPr>
                            <w:rFonts w:ascii="Cambria Math" w:eastAsiaTheme="minorEastAsia" w:hAnsi="Cambria Math"/>
                            <w:i/>
                          </w:rPr>
                        </m:ctrlPr>
                      </m:accPr>
                      <m:e>
                        <m:r>
                          <w:rPr>
                            <w:rFonts w:ascii="Cambria Math" w:eastAsiaTheme="minorEastAsia" w:hAnsi="Cambria Math"/>
                          </w:rPr>
                          <m:t>α</m:t>
                        </m:r>
                      </m:e>
                    </m:acc>
                  </m:e>
                  <m:sub>
                    <m:r>
                      <w:rPr>
                        <w:rFonts w:ascii="Cambria Math" w:eastAsiaTheme="minorEastAsia" w:hAnsi="Cambria Math"/>
                      </w:rPr>
                      <m:t>t,k</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t</m:t>
                    </m:r>
                  </m:sub>
                </m:sSub>
                <m:r>
                  <w:rPr>
                    <w:rFonts w:ascii="Cambria Math" w:eastAsiaTheme="minorEastAsia" w:hAnsi="Cambria Math"/>
                  </w:rPr>
                  <m:t>|</m:t>
                </m:r>
              </m:num>
              <m:den>
                <m:r>
                  <w:rPr>
                    <w:rFonts w:ascii="Cambria Math" w:eastAsiaTheme="minorEastAsia" w:hAnsi="Cambria Math"/>
                  </w:rPr>
                  <m:t>1000*sd(</m:t>
                </m:r>
                <m:sSub>
                  <m:sSubPr>
                    <m:ctrlPr>
                      <w:rPr>
                        <w:rFonts w:ascii="Cambria Math" w:eastAsiaTheme="minorEastAsia" w:hAnsi="Cambria Math"/>
                        <w:i/>
                      </w:rPr>
                    </m:ctrlPr>
                  </m:sSubPr>
                  <m:e>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m:t>
                        </m:r>
                      </m:sup>
                    </m:sSup>
                  </m:e>
                  <m:sub>
                    <m:r>
                      <w:rPr>
                        <w:rFonts w:ascii="Cambria Math" w:eastAsiaTheme="minorEastAsia" w:hAnsi="Cambria Math"/>
                      </w:rPr>
                      <m:t>i,t</m:t>
                    </m:r>
                  </m:sub>
                </m:sSub>
                <m:r>
                  <w:rPr>
                    <w:rFonts w:ascii="Cambria Math" w:eastAsiaTheme="minorEastAsia" w:hAnsi="Cambria Math"/>
                  </w:rPr>
                  <m:t>)</m:t>
                </m:r>
              </m:den>
            </m:f>
          </m:e>
        </m:nary>
      </m:oMath>
      <w:r w:rsidR="00046924">
        <w:rPr>
          <w:rFonts w:eastAsiaTheme="minorEastAsia"/>
        </w:rPr>
        <w:t xml:space="preserve"> </w:t>
      </w:r>
    </w:p>
    <w:p w14:paraId="01404EB6" w14:textId="1D9B28C0" w:rsidR="005440BD" w:rsidRPr="00246DE6" w:rsidRDefault="00046924" w:rsidP="00246DE6">
      <w:pPr>
        <w:pStyle w:val="ListParagraph"/>
        <w:numPr>
          <w:ilvl w:val="0"/>
          <w:numId w:val="1"/>
        </w:numPr>
        <w:rPr>
          <w:rFonts w:eastAsiaTheme="minorEastAsia"/>
        </w:rPr>
      </w:pPr>
      <w:r>
        <w:rPr>
          <w:rFonts w:eastAsiaTheme="minorEastAsia"/>
          <w:i/>
          <w:iCs/>
        </w:rPr>
        <w:t>Average</w:t>
      </w:r>
      <w:r w:rsidR="00991361">
        <w:rPr>
          <w:rFonts w:eastAsiaTheme="minorEastAsia"/>
          <w:i/>
          <w:iCs/>
        </w:rPr>
        <w:t xml:space="preserve"> simulation</w:t>
      </w:r>
      <w:r>
        <w:rPr>
          <w:rFonts w:eastAsiaTheme="minorEastAsia"/>
          <w:i/>
          <w:iCs/>
        </w:rPr>
        <w:t xml:space="preserve"> variance</w:t>
      </w:r>
      <w:r w:rsidR="00991361">
        <w:rPr>
          <w:rFonts w:eastAsiaTheme="minorEastAsia"/>
          <w:i/>
          <w:iCs/>
        </w:rPr>
        <w:t>.</w:t>
      </w:r>
      <w:r>
        <w:rPr>
          <w:rFonts w:eastAsiaTheme="minorEastAsia"/>
          <w:i/>
          <w:iCs/>
        </w:rPr>
        <w:t xml:space="preserve"> </w:t>
      </w:r>
      <w:r>
        <w:rPr>
          <w:rFonts w:eastAsiaTheme="minorEastAsia"/>
        </w:rPr>
        <w:t xml:space="preserve">We also calculated the average variance of estimated effects across simulations to interpret the precision of included methods. </w:t>
      </w:r>
      <w:commentRangeStart w:id="21"/>
      <m:oMath>
        <m:acc>
          <m:accPr>
            <m:chr m:val="̅"/>
            <m:ctrlPr>
              <w:rPr>
                <w:rFonts w:ascii="Cambria Math" w:eastAsiaTheme="minorEastAsia" w:hAnsi="Cambria Math"/>
                <w:i/>
              </w:rPr>
            </m:ctrlPr>
          </m:accPr>
          <m:e>
            <m:r>
              <w:rPr>
                <w:rFonts w:ascii="Cambria Math" w:eastAsiaTheme="minorEastAsia" w:hAnsi="Cambria Math"/>
              </w:rPr>
              <m:t>v</m:t>
            </m:r>
            <m:r>
              <w:rPr>
                <w:rFonts w:ascii="Cambria Math" w:eastAsiaTheme="minorEastAsia" w:hAnsi="Cambria Math"/>
              </w:rPr>
              <m:t>a</m:t>
            </m:r>
            <m:sSub>
              <m:sSubPr>
                <m:ctrlPr>
                  <w:rPr>
                    <w:rFonts w:ascii="Cambria Math" w:eastAsiaTheme="minorEastAsia" w:hAnsi="Cambria Math"/>
                    <w:i/>
                  </w:rPr>
                </m:ctrlPr>
              </m:sSubPr>
              <m:e>
                <m:r>
                  <w:rPr>
                    <w:rFonts w:ascii="Cambria Math" w:eastAsiaTheme="minorEastAsia" w:hAnsi="Cambria Math"/>
                  </w:rPr>
                  <m:t>r</m:t>
                </m:r>
              </m:e>
              <m:sub>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t</m:t>
                    </m:r>
                  </m:sub>
                </m:sSub>
              </m:sub>
            </m:sSub>
          </m:e>
        </m:acc>
        <m:r>
          <w:rPr>
            <w:rFonts w:ascii="Cambria Math" w:eastAsiaTheme="minorEastAsia" w:hAnsi="Cambria Math"/>
          </w:rPr>
          <m:t>=</m:t>
        </m:r>
        <m:nary>
          <m:naryPr>
            <m:chr m:val="∑"/>
            <m:limLoc m:val="undOvr"/>
            <m:ctrlPr>
              <w:rPr>
                <w:rFonts w:ascii="Cambria Math" w:eastAsiaTheme="minorEastAsia" w:hAnsi="Cambria Math"/>
                <w:i/>
              </w:rPr>
            </m:ctrlPr>
          </m:naryPr>
          <m:sub>
            <m:r>
              <w:rPr>
                <w:rFonts w:ascii="Cambria Math" w:eastAsiaTheme="minorEastAsia" w:hAnsi="Cambria Math"/>
              </w:rPr>
              <m:t>k=1</m:t>
            </m:r>
          </m:sub>
          <m:sup>
            <m:r>
              <w:rPr>
                <w:rFonts w:ascii="Cambria Math" w:eastAsiaTheme="minorEastAsia" w:hAnsi="Cambria Math"/>
              </w:rPr>
              <m:t>1000</m:t>
            </m:r>
          </m:sup>
          <m:e>
            <m:r>
              <w:rPr>
                <w:rFonts w:ascii="Cambria Math" w:eastAsiaTheme="minorEastAsia" w:hAnsi="Cambria Math"/>
              </w:rPr>
              <m:t>var(</m:t>
            </m:r>
            <m:sSub>
              <m:sSubPr>
                <m:ctrlPr>
                  <w:rPr>
                    <w:rFonts w:ascii="Cambria Math" w:eastAsiaTheme="minorEastAsia" w:hAnsi="Cambria Math"/>
                    <w:i/>
                  </w:rPr>
                </m:ctrlPr>
              </m:sSubPr>
              <m:e>
                <m:acc>
                  <m:accPr>
                    <m:ctrlPr>
                      <w:rPr>
                        <w:rFonts w:ascii="Cambria Math" w:eastAsiaTheme="minorEastAsia" w:hAnsi="Cambria Math"/>
                        <w:i/>
                      </w:rPr>
                    </m:ctrlPr>
                  </m:accPr>
                  <m:e>
                    <m:r>
                      <w:rPr>
                        <w:rFonts w:ascii="Cambria Math" w:eastAsiaTheme="minorEastAsia" w:hAnsi="Cambria Math"/>
                      </w:rPr>
                      <m:t>α</m:t>
                    </m:r>
                  </m:e>
                </m:acc>
              </m:e>
              <m:sub>
                <m:r>
                  <w:rPr>
                    <w:rFonts w:ascii="Cambria Math" w:eastAsiaTheme="minorEastAsia" w:hAnsi="Cambria Math"/>
                  </w:rPr>
                  <m:t>t,k</m:t>
                </m:r>
              </m:sub>
            </m:sSub>
            <m:r>
              <w:rPr>
                <w:rFonts w:ascii="Cambria Math" w:eastAsiaTheme="minorEastAsia" w:hAnsi="Cambria Math"/>
              </w:rPr>
              <m:t>)</m:t>
            </m:r>
          </m:e>
        </m:nary>
        <w:commentRangeEnd w:id="21"/>
        <m:r>
          <m:rPr>
            <m:sty m:val="p"/>
          </m:rPr>
          <w:rPr>
            <w:rStyle w:val="CommentReference"/>
          </w:rPr>
          <w:commentReference w:id="21"/>
        </m:r>
      </m:oMath>
    </w:p>
    <w:p w14:paraId="5D96744A" w14:textId="49D4C593" w:rsidR="00991361" w:rsidRPr="00991361" w:rsidRDefault="00991361" w:rsidP="00991361">
      <w:pPr>
        <w:pStyle w:val="ListParagraph"/>
        <w:numPr>
          <w:ilvl w:val="0"/>
          <w:numId w:val="1"/>
        </w:numPr>
        <w:rPr>
          <w:rFonts w:eastAsiaTheme="minorEastAsia"/>
          <w:i/>
          <w:iCs/>
        </w:rPr>
      </w:pPr>
      <w:r w:rsidRPr="00991361">
        <w:rPr>
          <w:rFonts w:eastAsiaTheme="minorEastAsia"/>
          <w:i/>
          <w:iCs/>
        </w:rPr>
        <w:t>Variance</w:t>
      </w:r>
      <w:r w:rsidR="00B51F7C">
        <w:rPr>
          <w:rFonts w:eastAsiaTheme="minorEastAsia"/>
          <w:i/>
          <w:iCs/>
        </w:rPr>
        <w:t xml:space="preserve"> of mean simulation effects</w:t>
      </w:r>
      <w:r>
        <w:rPr>
          <w:rFonts w:eastAsiaTheme="minorEastAsia"/>
          <w:i/>
          <w:iCs/>
        </w:rPr>
        <w:t xml:space="preserve">. </w:t>
      </w:r>
      <w:r>
        <w:rPr>
          <w:rFonts w:eastAsiaTheme="minorEastAsia"/>
        </w:rPr>
        <w:t xml:space="preserve">In addition to summarizing the variance of estimated effects, we summarized the variance of mean estimated effects across simulations. </w:t>
      </w:r>
      <m:oMath>
        <m:r>
          <w:rPr>
            <w:rFonts w:ascii="Cambria Math" w:eastAsiaTheme="minorEastAsia" w:hAnsi="Cambria Math"/>
          </w:rPr>
          <m:t>Va</m:t>
        </m:r>
        <m:sSub>
          <m:sSubPr>
            <m:ctrlPr>
              <w:rPr>
                <w:rFonts w:ascii="Cambria Math" w:eastAsiaTheme="minorEastAsia" w:hAnsi="Cambria Math"/>
                <w:i/>
              </w:rPr>
            </m:ctrlPr>
          </m:sSubPr>
          <m:e>
            <m:r>
              <w:rPr>
                <w:rFonts w:ascii="Cambria Math" w:eastAsiaTheme="minorEastAsia" w:hAnsi="Cambria Math"/>
              </w:rPr>
              <m:t>r</m:t>
            </m:r>
          </m:e>
          <m:sub>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t</m:t>
                </m:r>
              </m:sub>
            </m:sSub>
          </m:sub>
        </m:sSub>
        <m:r>
          <w:rPr>
            <w:rFonts w:ascii="Cambria Math" w:eastAsiaTheme="minorEastAsia" w:hAnsi="Cambria Math"/>
          </w:rPr>
          <m:t>=</m:t>
        </m:r>
        <m:nary>
          <m:naryPr>
            <m:chr m:val="∑"/>
            <m:limLoc m:val="undOvr"/>
            <m:ctrlPr>
              <w:rPr>
                <w:rFonts w:ascii="Cambria Math" w:eastAsiaTheme="minorEastAsia" w:hAnsi="Cambria Math"/>
                <w:i/>
              </w:rPr>
            </m:ctrlPr>
          </m:naryPr>
          <m:sub>
            <m:r>
              <w:rPr>
                <w:rFonts w:ascii="Cambria Math" w:eastAsiaTheme="minorEastAsia" w:hAnsi="Cambria Math"/>
              </w:rPr>
              <m:t>k=1</m:t>
            </m:r>
          </m:sub>
          <m:sup>
            <m:r>
              <w:rPr>
                <w:rFonts w:ascii="Cambria Math" w:eastAsiaTheme="minorEastAsia" w:hAnsi="Cambria Math"/>
              </w:rPr>
              <m:t>1000</m:t>
            </m:r>
          </m:sup>
          <m:e>
            <m:f>
              <m:fPr>
                <m:ctrlPr>
                  <w:rPr>
                    <w:rFonts w:ascii="Cambria Math" w:eastAsiaTheme="minorEastAsia" w:hAnsi="Cambria Math"/>
                    <w:i/>
                  </w:rPr>
                </m:ctrlPr>
              </m:fPr>
              <m:num>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acc>
                              <m:accPr>
                                <m:ctrlPr>
                                  <w:rPr>
                                    <w:rFonts w:ascii="Cambria Math" w:eastAsiaTheme="minorEastAsia" w:hAnsi="Cambria Math"/>
                                    <w:i/>
                                  </w:rPr>
                                </m:ctrlPr>
                              </m:accPr>
                              <m:e>
                                <m:r>
                                  <w:rPr>
                                    <w:rFonts w:ascii="Cambria Math" w:eastAsiaTheme="minorEastAsia" w:hAnsi="Cambria Math"/>
                                  </w:rPr>
                                  <m:t>α</m:t>
                                </m:r>
                              </m:e>
                            </m:acc>
                          </m:e>
                          <m:sub>
                            <m:r>
                              <w:rPr>
                                <w:rFonts w:ascii="Cambria Math" w:eastAsiaTheme="minorEastAsia" w:hAnsi="Cambria Math"/>
                              </w:rPr>
                              <m:t>t,k</m:t>
                            </m:r>
                          </m:sub>
                        </m:sSub>
                        <m:r>
                          <w:rPr>
                            <w:rFonts w:ascii="Cambria Math" w:eastAsiaTheme="minorEastAsia" w:hAnsi="Cambria Math"/>
                          </w:rPr>
                          <m:t>-mean</m:t>
                        </m:r>
                        <m:d>
                          <m:dPr>
                            <m:ctrlPr>
                              <w:rPr>
                                <w:rFonts w:ascii="Cambria Math" w:eastAsiaTheme="minorEastAsia" w:hAnsi="Cambria Math"/>
                                <w:i/>
                              </w:rPr>
                            </m:ctrlPr>
                          </m:dPr>
                          <m:e>
                            <m:sSub>
                              <m:sSubPr>
                                <m:ctrlPr>
                                  <w:rPr>
                                    <w:rFonts w:ascii="Cambria Math" w:eastAsiaTheme="minorEastAsia" w:hAnsi="Cambria Math"/>
                                    <w:i/>
                                  </w:rPr>
                                </m:ctrlPr>
                              </m:sSubPr>
                              <m:e>
                                <m:acc>
                                  <m:accPr>
                                    <m:ctrlPr>
                                      <w:rPr>
                                        <w:rFonts w:ascii="Cambria Math" w:eastAsiaTheme="minorEastAsia" w:hAnsi="Cambria Math"/>
                                        <w:i/>
                                      </w:rPr>
                                    </m:ctrlPr>
                                  </m:accPr>
                                  <m:e>
                                    <m:r>
                                      <w:rPr>
                                        <w:rFonts w:ascii="Cambria Math" w:eastAsiaTheme="minorEastAsia" w:hAnsi="Cambria Math"/>
                                      </w:rPr>
                                      <m:t>α</m:t>
                                    </m:r>
                                  </m:e>
                                </m:acc>
                              </m:e>
                              <m:sub>
                                <m:r>
                                  <w:rPr>
                                    <w:rFonts w:ascii="Cambria Math" w:eastAsiaTheme="minorEastAsia" w:hAnsi="Cambria Math"/>
                                  </w:rPr>
                                  <m:t>t,k</m:t>
                                </m:r>
                              </m:sub>
                            </m:sSub>
                          </m:e>
                        </m:d>
                      </m:e>
                    </m:d>
                  </m:e>
                  <m:sup>
                    <m:r>
                      <w:rPr>
                        <w:rFonts w:ascii="Cambria Math" w:eastAsiaTheme="minorEastAsia" w:hAnsi="Cambria Math"/>
                      </w:rPr>
                      <m:t>2</m:t>
                    </m:r>
                  </m:sup>
                </m:sSup>
              </m:num>
              <m:den>
                <m:r>
                  <w:rPr>
                    <w:rFonts w:ascii="Cambria Math" w:eastAsiaTheme="minorEastAsia" w:hAnsi="Cambria Math"/>
                  </w:rPr>
                  <m:t>1000</m:t>
                </m:r>
              </m:den>
            </m:f>
          </m:e>
        </m:nary>
      </m:oMath>
    </w:p>
    <w:p w14:paraId="27CB70CD" w14:textId="66D9E653" w:rsidR="00246DE6" w:rsidRPr="00575469" w:rsidRDefault="00575469" w:rsidP="00AE3B86">
      <w:pPr>
        <w:pStyle w:val="ListParagraph"/>
        <w:numPr>
          <w:ilvl w:val="0"/>
          <w:numId w:val="1"/>
        </w:numPr>
        <w:rPr>
          <w:rFonts w:eastAsiaTheme="minorEastAsia"/>
          <w:i/>
          <w:iCs/>
        </w:rPr>
      </w:pPr>
      <w:r w:rsidRPr="00575469">
        <w:rPr>
          <w:rFonts w:eastAsiaTheme="minorEastAsia"/>
          <w:i/>
          <w:iCs/>
        </w:rPr>
        <w:t>Root Mean Squared Simulation Error</w:t>
      </w:r>
      <w:r>
        <w:rPr>
          <w:rFonts w:eastAsiaTheme="minorEastAsia"/>
          <w:i/>
          <w:iCs/>
        </w:rPr>
        <w:t xml:space="preserve">. </w:t>
      </w:r>
      <w:r>
        <w:rPr>
          <w:rFonts w:eastAsiaTheme="minorEastAsia"/>
        </w:rPr>
        <w:t xml:space="preserve">We calculated RMSE quantify the simulation error of modeling procedures considering bias and variance in tandem, calculated as follows: </w:t>
      </w:r>
      <m:oMath>
        <m:r>
          <w:rPr>
            <w:rFonts w:ascii="Cambria Math" w:eastAsiaTheme="minorEastAsia" w:hAnsi="Cambria Math"/>
          </w:rPr>
          <m:t>RMS</m:t>
        </m:r>
        <m:sSub>
          <m:sSubPr>
            <m:ctrlPr>
              <w:rPr>
                <w:rFonts w:ascii="Cambria Math" w:eastAsiaTheme="minorEastAsia" w:hAnsi="Cambria Math"/>
                <w:i/>
              </w:rPr>
            </m:ctrlPr>
          </m:sSubPr>
          <m:e>
            <m:r>
              <w:rPr>
                <w:rFonts w:ascii="Cambria Math" w:eastAsiaTheme="minorEastAsia" w:hAnsi="Cambria Math"/>
              </w:rPr>
              <m:t>E</m:t>
            </m:r>
          </m:e>
          <m:sub>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t</m:t>
                </m:r>
              </m:sub>
            </m:sSub>
          </m:sub>
        </m:sSub>
        <m:r>
          <w:rPr>
            <w:rFonts w:ascii="Cambria Math" w:eastAsiaTheme="minorEastAsia" w:hAnsi="Cambria Math"/>
          </w:rPr>
          <m:t xml:space="preserve">= </m:t>
        </m:r>
        <m:rad>
          <m:radPr>
            <m:degHide m:val="1"/>
            <m:ctrlPr>
              <w:rPr>
                <w:rFonts w:ascii="Cambria Math" w:eastAsiaTheme="minorEastAsia" w:hAnsi="Cambria Math"/>
                <w:i/>
              </w:rPr>
            </m:ctrlPr>
          </m:radPr>
          <m:deg/>
          <m:e>
            <m:nary>
              <m:naryPr>
                <m:chr m:val="∑"/>
                <m:limLoc m:val="undOvr"/>
                <m:ctrlPr>
                  <w:rPr>
                    <w:rFonts w:ascii="Cambria Math" w:eastAsiaTheme="minorEastAsia" w:hAnsi="Cambria Math"/>
                    <w:i/>
                  </w:rPr>
                </m:ctrlPr>
              </m:naryPr>
              <m:sub>
                <m:r>
                  <w:rPr>
                    <w:rFonts w:ascii="Cambria Math" w:eastAsiaTheme="minorEastAsia" w:hAnsi="Cambria Math"/>
                  </w:rPr>
                  <m:t>k=1</m:t>
                </m:r>
              </m:sub>
              <m:sup>
                <m:r>
                  <w:rPr>
                    <w:rFonts w:ascii="Cambria Math" w:eastAsiaTheme="minorEastAsia" w:hAnsi="Cambria Math"/>
                  </w:rPr>
                  <m:t>1000</m:t>
                </m:r>
              </m:sup>
              <m:e>
                <m:f>
                  <m:fPr>
                    <m:ctrlPr>
                      <w:rPr>
                        <w:rFonts w:ascii="Cambria Math" w:eastAsiaTheme="minorEastAsia" w:hAnsi="Cambria Math"/>
                        <w:i/>
                      </w:rPr>
                    </m:ctrlPr>
                  </m:fPr>
                  <m:num>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acc>
                                  <m:accPr>
                                    <m:ctrlPr>
                                      <w:rPr>
                                        <w:rFonts w:ascii="Cambria Math" w:eastAsiaTheme="minorEastAsia" w:hAnsi="Cambria Math"/>
                                        <w:i/>
                                      </w:rPr>
                                    </m:ctrlPr>
                                  </m:accPr>
                                  <m:e>
                                    <m:r>
                                      <w:rPr>
                                        <w:rFonts w:ascii="Cambria Math" w:eastAsiaTheme="minorEastAsia" w:hAnsi="Cambria Math"/>
                                      </w:rPr>
                                      <m:t>α</m:t>
                                    </m:r>
                                  </m:e>
                                </m:acc>
                              </m:e>
                              <m:sub>
                                <m:r>
                                  <w:rPr>
                                    <w:rFonts w:ascii="Cambria Math" w:eastAsiaTheme="minorEastAsia" w:hAnsi="Cambria Math"/>
                                  </w:rPr>
                                  <m:t>t,k</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t</m:t>
                                </m:r>
                              </m:sub>
                            </m:sSub>
                          </m:e>
                        </m:d>
                      </m:e>
                      <m:sup>
                        <m:r>
                          <w:rPr>
                            <w:rFonts w:ascii="Cambria Math" w:eastAsiaTheme="minorEastAsia" w:hAnsi="Cambria Math"/>
                          </w:rPr>
                          <m:t>2</m:t>
                        </m:r>
                      </m:sup>
                    </m:sSup>
                  </m:num>
                  <m:den>
                    <m:r>
                      <w:rPr>
                        <w:rFonts w:ascii="Cambria Math" w:eastAsiaTheme="minorEastAsia" w:hAnsi="Cambria Math"/>
                      </w:rPr>
                      <m:t>1000</m:t>
                    </m:r>
                  </m:den>
                </m:f>
              </m:e>
            </m:nary>
          </m:e>
        </m:rad>
      </m:oMath>
      <w:r>
        <w:rPr>
          <w:rFonts w:eastAsiaTheme="minorEastAsia"/>
        </w:rPr>
        <w:t xml:space="preserve"> </w:t>
      </w:r>
    </w:p>
    <w:p w14:paraId="6A3FA637" w14:textId="027B1C85" w:rsidR="00AE3B86" w:rsidRPr="00575469" w:rsidRDefault="00575469" w:rsidP="00AE3B86">
      <w:pPr>
        <w:pStyle w:val="ListParagraph"/>
        <w:numPr>
          <w:ilvl w:val="0"/>
          <w:numId w:val="1"/>
        </w:numPr>
        <w:rPr>
          <w:rFonts w:eastAsiaTheme="minorEastAsia"/>
          <w:i/>
          <w:iCs/>
        </w:rPr>
      </w:pPr>
      <w:r w:rsidRPr="00575469">
        <w:rPr>
          <w:rFonts w:eastAsiaTheme="minorEastAsia"/>
          <w:i/>
          <w:iCs/>
        </w:rPr>
        <w:t>Coverage</w:t>
      </w:r>
      <w:r>
        <w:rPr>
          <w:rFonts w:eastAsiaTheme="minorEastAsia"/>
          <w:i/>
          <w:iCs/>
        </w:rPr>
        <w:t xml:space="preserve">: </w:t>
      </w:r>
      <w:r>
        <w:rPr>
          <w:rFonts w:eastAsiaTheme="minorEastAsia"/>
        </w:rPr>
        <w:t>Lastly, we calculated the percentage of iterations by method procedure in which the 95% confidence interval of the estimated event-time contained the true policy effect.</w:t>
      </w:r>
    </w:p>
    <w:p w14:paraId="172D1CBD" w14:textId="4662FF15" w:rsidR="005440BD" w:rsidRPr="00575469" w:rsidRDefault="00575469" w:rsidP="00575469">
      <w:pPr>
        <w:ind w:firstLine="360"/>
        <w:rPr>
          <w:rFonts w:eastAsiaTheme="minorEastAsia"/>
          <w:i/>
          <w:iCs/>
        </w:rPr>
      </w:pPr>
      <w:r>
        <w:rPr>
          <w:rFonts w:eastAsiaTheme="minorEastAsia"/>
        </w:rPr>
        <w:t xml:space="preserve">All simulations were conducted in the OPTIC v1.0.1. package in R. Code for reproducing the simulations, as well as the empirical data is available in </w:t>
      </w:r>
      <w:proofErr w:type="spellStart"/>
      <w:r>
        <w:rPr>
          <w:rFonts w:eastAsiaTheme="minorEastAsia"/>
        </w:rPr>
        <w:t>Github</w:t>
      </w:r>
      <w:proofErr w:type="spellEnd"/>
      <w:r>
        <w:rPr>
          <w:rFonts w:eastAsiaTheme="minorEastAsia"/>
        </w:rPr>
        <w:t>.</w:t>
      </w:r>
    </w:p>
    <w:p w14:paraId="2E794F17" w14:textId="7EDBDFDF" w:rsidR="0019713C" w:rsidRPr="0019713C" w:rsidRDefault="0019713C" w:rsidP="0019713C">
      <w:pPr>
        <w:pStyle w:val="Heading2"/>
      </w:pPr>
      <w:r>
        <w:t>Bibliography</w:t>
      </w:r>
    </w:p>
    <w:p w14:paraId="18511559" w14:textId="79ACAD21" w:rsidR="0019713C" w:rsidRPr="0019713C" w:rsidRDefault="0019713C" w:rsidP="0019713C">
      <w:pPr>
        <w:rPr>
          <w:rFonts w:cstheme="minorHAnsi"/>
          <w:color w:val="222222"/>
          <w:shd w:val="clear" w:color="auto" w:fill="FFFFFF"/>
        </w:rPr>
      </w:pPr>
      <w:r w:rsidRPr="0019713C">
        <w:rPr>
          <w:rFonts w:cstheme="minorHAnsi"/>
          <w:color w:val="222222"/>
          <w:shd w:val="clear" w:color="auto" w:fill="FFFFFF"/>
        </w:rPr>
        <w:t>Cohen, J. (2013). </w:t>
      </w:r>
      <w:r w:rsidRPr="0019713C">
        <w:rPr>
          <w:rFonts w:cstheme="minorHAnsi"/>
          <w:i/>
          <w:iCs/>
          <w:color w:val="222222"/>
          <w:shd w:val="clear" w:color="auto" w:fill="FFFFFF"/>
        </w:rPr>
        <w:t>Statistical power analysis for the behavioral sciences</w:t>
      </w:r>
      <w:r w:rsidRPr="0019713C">
        <w:rPr>
          <w:rFonts w:cstheme="minorHAnsi"/>
          <w:color w:val="222222"/>
          <w:shd w:val="clear" w:color="auto" w:fill="FFFFFF"/>
        </w:rPr>
        <w:t>. Academic press.</w:t>
      </w:r>
    </w:p>
    <w:tbl>
      <w:tblPr>
        <w:tblW w:w="6564" w:type="dxa"/>
        <w:shd w:val="clear" w:color="auto" w:fill="FFFFFF"/>
        <w:tblCellMar>
          <w:left w:w="0" w:type="dxa"/>
          <w:right w:w="0" w:type="dxa"/>
        </w:tblCellMar>
        <w:tblLook w:val="04A0" w:firstRow="1" w:lastRow="0" w:firstColumn="1" w:lastColumn="0" w:noHBand="0" w:noVBand="1"/>
      </w:tblPr>
      <w:tblGrid>
        <w:gridCol w:w="6564"/>
      </w:tblGrid>
      <w:tr w:rsidR="0019713C" w:rsidRPr="0019713C" w14:paraId="7BD0BE35" w14:textId="77777777" w:rsidTr="0019713C">
        <w:tc>
          <w:tcPr>
            <w:tcW w:w="0" w:type="auto"/>
            <w:shd w:val="clear" w:color="auto" w:fill="FFFFFF"/>
            <w:vAlign w:val="center"/>
            <w:hideMark/>
          </w:tcPr>
          <w:p w14:paraId="6922EC51" w14:textId="77777777" w:rsidR="0019713C" w:rsidRPr="0019713C" w:rsidRDefault="0019713C" w:rsidP="0019713C">
            <w:pPr>
              <w:spacing w:after="0" w:line="240" w:lineRule="auto"/>
              <w:rPr>
                <w:rFonts w:eastAsia="Times New Roman" w:cstheme="minorHAnsi"/>
                <w:kern w:val="0"/>
                <w14:ligatures w14:val="none"/>
              </w:rPr>
            </w:pPr>
          </w:p>
        </w:tc>
      </w:tr>
    </w:tbl>
    <w:p w14:paraId="634435CB" w14:textId="1449E83E" w:rsidR="0019713C" w:rsidRDefault="0019713C" w:rsidP="0019713C">
      <w:pPr>
        <w:rPr>
          <w:rFonts w:cstheme="minorHAnsi"/>
          <w:color w:val="222222"/>
          <w:shd w:val="clear" w:color="auto" w:fill="FFFFFF"/>
        </w:rPr>
      </w:pPr>
      <w:r w:rsidRPr="0019713C">
        <w:rPr>
          <w:rFonts w:cstheme="minorHAnsi"/>
          <w:color w:val="222222"/>
          <w:shd w:val="clear" w:color="auto" w:fill="FFFFFF"/>
        </w:rPr>
        <w:t xml:space="preserve">Griffin, </w:t>
      </w:r>
      <w:r>
        <w:rPr>
          <w:rFonts w:cstheme="minorHAnsi"/>
          <w:color w:val="222222"/>
          <w:shd w:val="clear" w:color="auto" w:fill="FFFFFF"/>
        </w:rPr>
        <w:t>B</w:t>
      </w:r>
      <w:r w:rsidR="00AD35BB">
        <w:rPr>
          <w:rFonts w:cstheme="minorHAnsi"/>
          <w:color w:val="222222"/>
          <w:shd w:val="clear" w:color="auto" w:fill="FFFFFF"/>
        </w:rPr>
        <w:t>.</w:t>
      </w:r>
      <w:r>
        <w:rPr>
          <w:rFonts w:cstheme="minorHAnsi"/>
          <w:color w:val="222222"/>
          <w:shd w:val="clear" w:color="auto" w:fill="FFFFFF"/>
        </w:rPr>
        <w:t>A</w:t>
      </w:r>
      <w:r w:rsidR="00AD35BB">
        <w:rPr>
          <w:rFonts w:cstheme="minorHAnsi"/>
          <w:color w:val="222222"/>
          <w:shd w:val="clear" w:color="auto" w:fill="FFFFFF"/>
        </w:rPr>
        <w:t>.</w:t>
      </w:r>
      <w:r w:rsidRPr="0019713C">
        <w:rPr>
          <w:rFonts w:cstheme="minorHAnsi"/>
          <w:color w:val="222222"/>
          <w:shd w:val="clear" w:color="auto" w:fill="FFFFFF"/>
        </w:rPr>
        <w:t>, Schuler,</w:t>
      </w:r>
      <w:r>
        <w:rPr>
          <w:rFonts w:cstheme="minorHAnsi"/>
          <w:color w:val="222222"/>
          <w:shd w:val="clear" w:color="auto" w:fill="FFFFFF"/>
        </w:rPr>
        <w:t xml:space="preserve"> M</w:t>
      </w:r>
      <w:r w:rsidR="00AD35BB">
        <w:rPr>
          <w:rFonts w:cstheme="minorHAnsi"/>
          <w:color w:val="222222"/>
          <w:shd w:val="clear" w:color="auto" w:fill="FFFFFF"/>
        </w:rPr>
        <w:t>.</w:t>
      </w:r>
      <w:r>
        <w:rPr>
          <w:rFonts w:cstheme="minorHAnsi"/>
          <w:color w:val="222222"/>
          <w:shd w:val="clear" w:color="auto" w:fill="FFFFFF"/>
        </w:rPr>
        <w:t>S</w:t>
      </w:r>
      <w:r w:rsidR="00AD35BB">
        <w:rPr>
          <w:rFonts w:cstheme="minorHAnsi"/>
          <w:color w:val="222222"/>
          <w:shd w:val="clear" w:color="auto" w:fill="FFFFFF"/>
        </w:rPr>
        <w:t>.</w:t>
      </w:r>
      <w:r>
        <w:rPr>
          <w:rFonts w:cstheme="minorHAnsi"/>
          <w:color w:val="222222"/>
          <w:shd w:val="clear" w:color="auto" w:fill="FFFFFF"/>
        </w:rPr>
        <w:t xml:space="preserve">, </w:t>
      </w:r>
      <w:r w:rsidRPr="0019713C">
        <w:rPr>
          <w:rFonts w:cstheme="minorHAnsi"/>
          <w:color w:val="222222"/>
          <w:shd w:val="clear" w:color="auto" w:fill="FFFFFF"/>
        </w:rPr>
        <w:t xml:space="preserve">Stuart, </w:t>
      </w:r>
      <w:r>
        <w:rPr>
          <w:rFonts w:cstheme="minorHAnsi"/>
          <w:color w:val="222222"/>
          <w:shd w:val="clear" w:color="auto" w:fill="FFFFFF"/>
        </w:rPr>
        <w:t>E</w:t>
      </w:r>
      <w:r w:rsidR="00F80895">
        <w:rPr>
          <w:rFonts w:cstheme="minorHAnsi"/>
          <w:color w:val="222222"/>
          <w:shd w:val="clear" w:color="auto" w:fill="FFFFFF"/>
        </w:rPr>
        <w:t>.</w:t>
      </w:r>
      <w:r>
        <w:rPr>
          <w:rFonts w:cstheme="minorHAnsi"/>
          <w:color w:val="222222"/>
          <w:shd w:val="clear" w:color="auto" w:fill="FFFFFF"/>
        </w:rPr>
        <w:t>A</w:t>
      </w:r>
      <w:r w:rsidR="00F80895">
        <w:rPr>
          <w:rFonts w:cstheme="minorHAnsi"/>
          <w:color w:val="222222"/>
          <w:shd w:val="clear" w:color="auto" w:fill="FFFFFF"/>
        </w:rPr>
        <w:t>.</w:t>
      </w:r>
      <w:r>
        <w:rPr>
          <w:rFonts w:cstheme="minorHAnsi"/>
          <w:color w:val="222222"/>
          <w:shd w:val="clear" w:color="auto" w:fill="FFFFFF"/>
        </w:rPr>
        <w:t>,</w:t>
      </w:r>
      <w:r w:rsidRPr="0019713C">
        <w:rPr>
          <w:rFonts w:cstheme="minorHAnsi"/>
          <w:color w:val="222222"/>
          <w:shd w:val="clear" w:color="auto" w:fill="FFFFFF"/>
        </w:rPr>
        <w:t xml:space="preserve"> Patrick</w:t>
      </w:r>
      <w:r>
        <w:rPr>
          <w:rFonts w:cstheme="minorHAnsi"/>
          <w:color w:val="222222"/>
          <w:shd w:val="clear" w:color="auto" w:fill="FFFFFF"/>
        </w:rPr>
        <w:t xml:space="preserve"> S.</w:t>
      </w:r>
      <w:r w:rsidRPr="0019713C">
        <w:rPr>
          <w:rFonts w:cstheme="minorHAnsi"/>
          <w:color w:val="222222"/>
          <w:shd w:val="clear" w:color="auto" w:fill="FFFFFF"/>
        </w:rPr>
        <w:t>, McNeer</w:t>
      </w:r>
      <w:r>
        <w:rPr>
          <w:rFonts w:cstheme="minorHAnsi"/>
          <w:color w:val="222222"/>
          <w:shd w:val="clear" w:color="auto" w:fill="FFFFFF"/>
        </w:rPr>
        <w:t>, E</w:t>
      </w:r>
      <w:r w:rsidR="00F80895">
        <w:rPr>
          <w:rFonts w:cstheme="minorHAnsi"/>
          <w:color w:val="222222"/>
          <w:shd w:val="clear" w:color="auto" w:fill="FFFFFF"/>
        </w:rPr>
        <w:t>.</w:t>
      </w:r>
      <w:r w:rsidRPr="0019713C">
        <w:rPr>
          <w:rFonts w:cstheme="minorHAnsi"/>
          <w:color w:val="222222"/>
          <w:shd w:val="clear" w:color="auto" w:fill="FFFFFF"/>
        </w:rPr>
        <w:t>, Smart,</w:t>
      </w:r>
      <w:r>
        <w:rPr>
          <w:rFonts w:cstheme="minorHAnsi"/>
          <w:color w:val="222222"/>
          <w:shd w:val="clear" w:color="auto" w:fill="FFFFFF"/>
        </w:rPr>
        <w:t xml:space="preserve"> R</w:t>
      </w:r>
      <w:r w:rsidR="00F80895">
        <w:rPr>
          <w:rFonts w:cstheme="minorHAnsi"/>
          <w:color w:val="222222"/>
          <w:shd w:val="clear" w:color="auto" w:fill="FFFFFF"/>
        </w:rPr>
        <w:t>.,</w:t>
      </w:r>
      <w:r w:rsidRPr="0019713C">
        <w:rPr>
          <w:rFonts w:cstheme="minorHAnsi"/>
          <w:color w:val="222222"/>
          <w:shd w:val="clear" w:color="auto" w:fill="FFFFFF"/>
        </w:rPr>
        <w:t xml:space="preserve"> Powell, </w:t>
      </w:r>
      <w:r>
        <w:rPr>
          <w:rFonts w:cstheme="minorHAnsi"/>
          <w:color w:val="222222"/>
          <w:shd w:val="clear" w:color="auto" w:fill="FFFFFF"/>
        </w:rPr>
        <w:t>D</w:t>
      </w:r>
      <w:r w:rsidR="00F80895">
        <w:rPr>
          <w:rFonts w:cstheme="minorHAnsi"/>
          <w:color w:val="222222"/>
          <w:shd w:val="clear" w:color="auto" w:fill="FFFFFF"/>
        </w:rPr>
        <w:t>.</w:t>
      </w:r>
      <w:r>
        <w:rPr>
          <w:rFonts w:cstheme="minorHAnsi"/>
          <w:color w:val="222222"/>
          <w:shd w:val="clear" w:color="auto" w:fill="FFFFFF"/>
        </w:rPr>
        <w:t xml:space="preserve">, </w:t>
      </w:r>
      <w:r w:rsidRPr="0019713C">
        <w:rPr>
          <w:rFonts w:cstheme="minorHAnsi"/>
          <w:color w:val="222222"/>
          <w:shd w:val="clear" w:color="auto" w:fill="FFFFFF"/>
        </w:rPr>
        <w:t>Stei</w:t>
      </w:r>
      <w:r w:rsidR="00A96F90">
        <w:rPr>
          <w:rFonts w:cstheme="minorHAnsi"/>
          <w:color w:val="222222"/>
          <w:shd w:val="clear" w:color="auto" w:fill="FFFFFF"/>
        </w:rPr>
        <w:t>n</w:t>
      </w:r>
      <w:r w:rsidRPr="0019713C">
        <w:rPr>
          <w:rFonts w:cstheme="minorHAnsi"/>
          <w:color w:val="222222"/>
          <w:shd w:val="clear" w:color="auto" w:fill="FFFFFF"/>
        </w:rPr>
        <w:t xml:space="preserve">, </w:t>
      </w:r>
      <w:r w:rsidR="00A96F90">
        <w:rPr>
          <w:rFonts w:cstheme="minorHAnsi"/>
          <w:color w:val="222222"/>
          <w:shd w:val="clear" w:color="auto" w:fill="FFFFFF"/>
        </w:rPr>
        <w:t>B</w:t>
      </w:r>
      <w:r w:rsidR="00AE4E2E">
        <w:rPr>
          <w:rFonts w:cstheme="minorHAnsi"/>
          <w:color w:val="222222"/>
          <w:shd w:val="clear" w:color="auto" w:fill="FFFFFF"/>
        </w:rPr>
        <w:t>.</w:t>
      </w:r>
      <w:r w:rsidR="00A96F90">
        <w:rPr>
          <w:rFonts w:cstheme="minorHAnsi"/>
          <w:color w:val="222222"/>
          <w:shd w:val="clear" w:color="auto" w:fill="FFFFFF"/>
        </w:rPr>
        <w:t>D</w:t>
      </w:r>
      <w:r w:rsidR="00AE4E2E">
        <w:rPr>
          <w:rFonts w:cstheme="minorHAnsi"/>
          <w:color w:val="222222"/>
          <w:shd w:val="clear" w:color="auto" w:fill="FFFFFF"/>
        </w:rPr>
        <w:t>.</w:t>
      </w:r>
      <w:r w:rsidR="00A96F90">
        <w:rPr>
          <w:rFonts w:cstheme="minorHAnsi"/>
          <w:color w:val="222222"/>
          <w:shd w:val="clear" w:color="auto" w:fill="FFFFFF"/>
        </w:rPr>
        <w:t xml:space="preserve">, </w:t>
      </w:r>
      <w:r w:rsidRPr="0019713C">
        <w:rPr>
          <w:rFonts w:cstheme="minorHAnsi"/>
          <w:color w:val="222222"/>
          <w:shd w:val="clear" w:color="auto" w:fill="FFFFFF"/>
        </w:rPr>
        <w:t xml:space="preserve">Schell, </w:t>
      </w:r>
      <w:r w:rsidR="00A96F90">
        <w:rPr>
          <w:rFonts w:cstheme="minorHAnsi"/>
          <w:color w:val="222222"/>
          <w:shd w:val="clear" w:color="auto" w:fill="FFFFFF"/>
        </w:rPr>
        <w:t>T</w:t>
      </w:r>
      <w:r w:rsidR="00B21D6D">
        <w:rPr>
          <w:rFonts w:cstheme="minorHAnsi"/>
          <w:color w:val="222222"/>
          <w:shd w:val="clear" w:color="auto" w:fill="FFFFFF"/>
        </w:rPr>
        <w:t>.</w:t>
      </w:r>
      <w:r w:rsidR="00A96F90">
        <w:rPr>
          <w:rFonts w:cstheme="minorHAnsi"/>
          <w:color w:val="222222"/>
          <w:shd w:val="clear" w:color="auto" w:fill="FFFFFF"/>
        </w:rPr>
        <w:t>L</w:t>
      </w:r>
      <w:r w:rsidR="00B21D6D">
        <w:rPr>
          <w:rFonts w:cstheme="minorHAnsi"/>
          <w:color w:val="222222"/>
          <w:shd w:val="clear" w:color="auto" w:fill="FFFFFF"/>
        </w:rPr>
        <w:t>.</w:t>
      </w:r>
      <w:r w:rsidR="00A96F90">
        <w:rPr>
          <w:rFonts w:cstheme="minorHAnsi"/>
          <w:color w:val="222222"/>
          <w:shd w:val="clear" w:color="auto" w:fill="FFFFFF"/>
        </w:rPr>
        <w:t xml:space="preserve">, </w:t>
      </w:r>
      <w:r w:rsidR="00B21D6D">
        <w:rPr>
          <w:rFonts w:cstheme="minorHAnsi"/>
          <w:color w:val="222222"/>
          <w:shd w:val="clear" w:color="auto" w:fill="FFFFFF"/>
        </w:rPr>
        <w:t>&amp;</w:t>
      </w:r>
      <w:r w:rsidRPr="0019713C">
        <w:rPr>
          <w:rFonts w:cstheme="minorHAnsi"/>
          <w:color w:val="222222"/>
          <w:shd w:val="clear" w:color="auto" w:fill="FFFFFF"/>
        </w:rPr>
        <w:t xml:space="preserve"> Pacula</w:t>
      </w:r>
      <w:r w:rsidR="00A96F90">
        <w:rPr>
          <w:rFonts w:cstheme="minorHAnsi"/>
          <w:color w:val="222222"/>
          <w:shd w:val="clear" w:color="auto" w:fill="FFFFFF"/>
        </w:rPr>
        <w:t>, R</w:t>
      </w:r>
      <w:r w:rsidR="00B21D6D">
        <w:rPr>
          <w:rFonts w:cstheme="minorHAnsi"/>
          <w:color w:val="222222"/>
          <w:shd w:val="clear" w:color="auto" w:fill="FFFFFF"/>
        </w:rPr>
        <w:t>.</w:t>
      </w:r>
      <w:r w:rsidR="00A96F90">
        <w:rPr>
          <w:rFonts w:cstheme="minorHAnsi"/>
          <w:color w:val="222222"/>
          <w:shd w:val="clear" w:color="auto" w:fill="FFFFFF"/>
        </w:rPr>
        <w:t>L</w:t>
      </w:r>
      <w:r w:rsidRPr="0019713C">
        <w:rPr>
          <w:rFonts w:cstheme="minorHAnsi"/>
          <w:color w:val="222222"/>
          <w:shd w:val="clear" w:color="auto" w:fill="FFFFFF"/>
        </w:rPr>
        <w:t xml:space="preserve">. (2021). </w:t>
      </w:r>
      <w:r w:rsidRPr="0019713C">
        <w:rPr>
          <w:rFonts w:cstheme="minorHAnsi"/>
          <w:i/>
          <w:iCs/>
          <w:color w:val="222222"/>
          <w:shd w:val="clear" w:color="auto" w:fill="FFFFFF"/>
        </w:rPr>
        <w:t xml:space="preserve">Moving beyond the classic difference-in-differences model: a simulation study comparing statistical methods for estimating effectiveness of state-level policies. </w:t>
      </w:r>
      <w:r w:rsidRPr="0019713C">
        <w:rPr>
          <w:rFonts w:cstheme="minorHAnsi"/>
          <w:color w:val="222222"/>
          <w:shd w:val="clear" w:color="auto" w:fill="FFFFFF"/>
        </w:rPr>
        <w:t>BMC medical research methodology 1-19.</w:t>
      </w:r>
    </w:p>
    <w:p w14:paraId="45B65ABF" w14:textId="53E20A41" w:rsidR="0019713C" w:rsidRPr="0019713C" w:rsidRDefault="0019713C" w:rsidP="0019713C">
      <w:pPr>
        <w:rPr>
          <w:rFonts w:cstheme="minorHAnsi"/>
          <w:color w:val="222222"/>
          <w:shd w:val="clear" w:color="auto" w:fill="FFFFFF"/>
        </w:rPr>
      </w:pPr>
      <w:r w:rsidRPr="0019713C">
        <w:rPr>
          <w:rFonts w:cstheme="minorHAnsi"/>
          <w:color w:val="222222"/>
          <w:shd w:val="clear" w:color="auto" w:fill="FFFFFF"/>
        </w:rPr>
        <w:lastRenderedPageBreak/>
        <w:t xml:space="preserve">Griffin, </w:t>
      </w:r>
      <w:r w:rsidR="00A96F90">
        <w:rPr>
          <w:rFonts w:cstheme="minorHAnsi"/>
          <w:color w:val="222222"/>
          <w:shd w:val="clear" w:color="auto" w:fill="FFFFFF"/>
        </w:rPr>
        <w:t>B.A.</w:t>
      </w:r>
      <w:r w:rsidRPr="0019713C">
        <w:rPr>
          <w:rFonts w:cstheme="minorHAnsi"/>
          <w:color w:val="222222"/>
          <w:shd w:val="clear" w:color="auto" w:fill="FFFFFF"/>
        </w:rPr>
        <w:t>, Schuler,</w:t>
      </w:r>
      <w:r w:rsidR="00A96F90">
        <w:rPr>
          <w:rFonts w:cstheme="minorHAnsi"/>
          <w:color w:val="222222"/>
          <w:shd w:val="clear" w:color="auto" w:fill="FFFFFF"/>
        </w:rPr>
        <w:t xml:space="preserve"> M.S.,</w:t>
      </w:r>
      <w:r w:rsidRPr="0019713C">
        <w:rPr>
          <w:rFonts w:cstheme="minorHAnsi"/>
          <w:color w:val="222222"/>
          <w:shd w:val="clear" w:color="auto" w:fill="FFFFFF"/>
        </w:rPr>
        <w:t xml:space="preserve"> Stone,</w:t>
      </w:r>
      <w:r w:rsidR="00A96F90">
        <w:rPr>
          <w:rFonts w:cstheme="minorHAnsi"/>
          <w:color w:val="222222"/>
          <w:shd w:val="clear" w:color="auto" w:fill="FFFFFF"/>
        </w:rPr>
        <w:t xml:space="preserve"> E.M.,</w:t>
      </w:r>
      <w:r w:rsidRPr="0019713C">
        <w:rPr>
          <w:rFonts w:cstheme="minorHAnsi"/>
          <w:color w:val="222222"/>
          <w:shd w:val="clear" w:color="auto" w:fill="FFFFFF"/>
        </w:rPr>
        <w:t xml:space="preserve"> Patrick,</w:t>
      </w:r>
      <w:r w:rsidR="00A96F90">
        <w:rPr>
          <w:rFonts w:cstheme="minorHAnsi"/>
          <w:color w:val="222222"/>
          <w:shd w:val="clear" w:color="auto" w:fill="FFFFFF"/>
        </w:rPr>
        <w:t xml:space="preserve"> S.W.,</w:t>
      </w:r>
      <w:r w:rsidRPr="0019713C">
        <w:rPr>
          <w:rFonts w:cstheme="minorHAnsi"/>
          <w:color w:val="222222"/>
          <w:shd w:val="clear" w:color="auto" w:fill="FFFFFF"/>
        </w:rPr>
        <w:t xml:space="preserve"> Stein, </w:t>
      </w:r>
      <w:r w:rsidR="00A96F90">
        <w:rPr>
          <w:rFonts w:cstheme="minorHAnsi"/>
          <w:color w:val="222222"/>
          <w:shd w:val="clear" w:color="auto" w:fill="FFFFFF"/>
        </w:rPr>
        <w:t xml:space="preserve">B.D., </w:t>
      </w:r>
      <w:r w:rsidRPr="0019713C">
        <w:rPr>
          <w:rFonts w:cstheme="minorHAnsi"/>
          <w:color w:val="222222"/>
          <w:shd w:val="clear" w:color="auto" w:fill="FFFFFF"/>
        </w:rPr>
        <w:t>Lima,</w:t>
      </w:r>
      <w:r w:rsidR="00A96F90">
        <w:rPr>
          <w:rFonts w:cstheme="minorHAnsi"/>
          <w:color w:val="222222"/>
          <w:shd w:val="clear" w:color="auto" w:fill="FFFFFF"/>
        </w:rPr>
        <w:t xml:space="preserve"> P.N.D.,</w:t>
      </w:r>
      <w:r w:rsidRPr="0019713C">
        <w:rPr>
          <w:rFonts w:cstheme="minorHAnsi"/>
          <w:color w:val="222222"/>
          <w:shd w:val="clear" w:color="auto" w:fill="FFFFFF"/>
        </w:rPr>
        <w:t xml:space="preserve"> Griswold,</w:t>
      </w:r>
      <w:r w:rsidR="00A96F90">
        <w:rPr>
          <w:rFonts w:cstheme="minorHAnsi"/>
          <w:color w:val="222222"/>
          <w:shd w:val="clear" w:color="auto" w:fill="FFFFFF"/>
        </w:rPr>
        <w:t xml:space="preserve"> M., </w:t>
      </w:r>
      <w:r w:rsidRPr="0019713C">
        <w:rPr>
          <w:rFonts w:cstheme="minorHAnsi"/>
          <w:color w:val="222222"/>
          <w:shd w:val="clear" w:color="auto" w:fill="FFFFFF"/>
        </w:rPr>
        <w:t>Scherling,</w:t>
      </w:r>
      <w:r w:rsidR="00A96F90">
        <w:rPr>
          <w:rFonts w:cstheme="minorHAnsi"/>
          <w:color w:val="222222"/>
          <w:shd w:val="clear" w:color="auto" w:fill="FFFFFF"/>
        </w:rPr>
        <w:t xml:space="preserve"> A.,</w:t>
      </w:r>
      <w:r w:rsidRPr="0019713C">
        <w:rPr>
          <w:rFonts w:cstheme="minorHAnsi"/>
          <w:color w:val="222222"/>
          <w:shd w:val="clear" w:color="auto" w:fill="FFFFFF"/>
        </w:rPr>
        <w:t xml:space="preserve"> </w:t>
      </w:r>
      <w:r w:rsidR="00A96F90">
        <w:rPr>
          <w:rFonts w:cstheme="minorHAnsi"/>
          <w:color w:val="222222"/>
          <w:shd w:val="clear" w:color="auto" w:fill="FFFFFF"/>
        </w:rPr>
        <w:t>&amp;</w:t>
      </w:r>
      <w:r w:rsidRPr="0019713C">
        <w:rPr>
          <w:rFonts w:cstheme="minorHAnsi"/>
          <w:color w:val="222222"/>
          <w:shd w:val="clear" w:color="auto" w:fill="FFFFFF"/>
        </w:rPr>
        <w:t xml:space="preserve"> Stuart</w:t>
      </w:r>
      <w:r w:rsidR="00A96F90">
        <w:rPr>
          <w:rFonts w:cstheme="minorHAnsi"/>
          <w:color w:val="222222"/>
          <w:shd w:val="clear" w:color="auto" w:fill="FFFFFF"/>
        </w:rPr>
        <w:t>, E.A</w:t>
      </w:r>
      <w:r w:rsidRPr="0019713C">
        <w:rPr>
          <w:rFonts w:cstheme="minorHAnsi"/>
          <w:color w:val="222222"/>
          <w:shd w:val="clear" w:color="auto" w:fill="FFFFFF"/>
        </w:rPr>
        <w:t>.</w:t>
      </w:r>
      <w:r>
        <w:rPr>
          <w:rFonts w:cstheme="minorHAnsi"/>
          <w:color w:val="222222"/>
          <w:shd w:val="clear" w:color="auto" w:fill="FFFFFF"/>
        </w:rPr>
        <w:t xml:space="preserve"> (2023).</w:t>
      </w:r>
      <w:r w:rsidRPr="0019713C">
        <w:rPr>
          <w:rFonts w:cstheme="minorHAnsi"/>
          <w:color w:val="222222"/>
          <w:shd w:val="clear" w:color="auto" w:fill="FFFFFF"/>
        </w:rPr>
        <w:t xml:space="preserve"> </w:t>
      </w:r>
      <w:r w:rsidRPr="0019713C">
        <w:rPr>
          <w:rFonts w:cstheme="minorHAnsi"/>
          <w:i/>
          <w:iCs/>
          <w:color w:val="222222"/>
          <w:shd w:val="clear" w:color="auto" w:fill="FFFFFF"/>
        </w:rPr>
        <w:t>Identifying Optimal Methods for Addressing Confounding Bias When Estimating the Effects of State-level Policies. </w:t>
      </w:r>
      <w:r w:rsidRPr="0019713C">
        <w:rPr>
          <w:rFonts w:cstheme="minorHAnsi"/>
          <w:color w:val="222222"/>
          <w:shd w:val="clear" w:color="auto" w:fill="FFFFFF"/>
        </w:rPr>
        <w:t>Epidemiology 34, no. 6</w:t>
      </w:r>
      <w:r>
        <w:rPr>
          <w:rFonts w:cstheme="minorHAnsi"/>
          <w:color w:val="222222"/>
          <w:shd w:val="clear" w:color="auto" w:fill="FFFFFF"/>
        </w:rPr>
        <w:t xml:space="preserve">. </w:t>
      </w:r>
      <w:r w:rsidRPr="0019713C">
        <w:rPr>
          <w:rFonts w:cstheme="minorHAnsi"/>
          <w:color w:val="222222"/>
          <w:shd w:val="clear" w:color="auto" w:fill="FFFFFF"/>
        </w:rPr>
        <w:t>856-864.</w:t>
      </w:r>
    </w:p>
    <w:p w14:paraId="3166A5CA" w14:textId="58781169" w:rsidR="0019713C" w:rsidRPr="0019713C" w:rsidRDefault="0019713C" w:rsidP="0019713C">
      <w:pPr>
        <w:rPr>
          <w:rFonts w:cstheme="minorHAnsi"/>
        </w:rPr>
      </w:pPr>
      <w:r w:rsidRPr="0019713C">
        <w:rPr>
          <w:rFonts w:cstheme="minorHAnsi"/>
          <w:color w:val="222222"/>
          <w:shd w:val="clear" w:color="auto" w:fill="FFFFFF"/>
        </w:rPr>
        <w:t xml:space="preserve">Schell, T. L., Griffin, B. A., &amp; Morral, A. R. (2018). </w:t>
      </w:r>
      <w:r w:rsidRPr="0019713C">
        <w:rPr>
          <w:rFonts w:cstheme="minorHAnsi"/>
          <w:i/>
          <w:iCs/>
          <w:color w:val="222222"/>
          <w:shd w:val="clear" w:color="auto" w:fill="FFFFFF"/>
        </w:rPr>
        <w:t>Evaluating methods to estimate the effect of state laws on firearm deaths: A simulation study</w:t>
      </w:r>
      <w:r w:rsidRPr="0019713C">
        <w:rPr>
          <w:rFonts w:cstheme="minorHAnsi"/>
          <w:color w:val="222222"/>
          <w:shd w:val="clear" w:color="auto" w:fill="FFFFFF"/>
        </w:rPr>
        <w:t>.</w:t>
      </w:r>
    </w:p>
    <w:sectPr w:rsidR="0019713C" w:rsidRPr="0019713C">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Max Griswold" w:date="2023-11-29T11:52:00Z" w:initials="MG">
    <w:p w14:paraId="00CF2785" w14:textId="77777777" w:rsidR="008256A1" w:rsidRDefault="008256A1">
      <w:pPr>
        <w:pStyle w:val="CommentText"/>
      </w:pPr>
      <w:r>
        <w:rPr>
          <w:rStyle w:val="CommentReference"/>
        </w:rPr>
        <w:annotationRef/>
      </w:r>
      <w:r>
        <w:t>Maybe we should revise models to not include any time-varying covariates, given papers like Zeldow &amp; Hatfield. Or only include in supplemental simulations?</w:t>
      </w:r>
    </w:p>
    <w:p w14:paraId="262BB7F7" w14:textId="77777777" w:rsidR="008256A1" w:rsidRDefault="008256A1">
      <w:pPr>
        <w:pStyle w:val="CommentText"/>
      </w:pPr>
    </w:p>
    <w:p w14:paraId="257993CC" w14:textId="77777777" w:rsidR="008256A1" w:rsidRDefault="008256A1" w:rsidP="005440BD">
      <w:pPr>
        <w:pStyle w:val="CommentText"/>
      </w:pPr>
      <w:r>
        <w:t>The concerns in Zeldow &amp; Hatfield don't apply to our approach since we're synthetically creating treatment? However, maybe we don't want to include since they're not adding much to interpreting the simulation results (besides maybe improving precision?).</w:t>
      </w:r>
    </w:p>
  </w:comment>
  <w:comment w:id="1" w:author="Max Griswold" w:date="2023-11-29T11:56:00Z" w:initials="MG">
    <w:p w14:paraId="77961ADF" w14:textId="77777777" w:rsidR="008256A1" w:rsidRDefault="008256A1" w:rsidP="005440BD">
      <w:pPr>
        <w:pStyle w:val="CommentText"/>
      </w:pPr>
      <w:r>
        <w:rPr>
          <w:rStyle w:val="CommentReference"/>
        </w:rPr>
        <w:annotationRef/>
      </w:r>
      <w:r>
        <w:t xml:space="preserve">Griffin BA, Schuler MS, Stuart EA, et al. Moving beyond the classic difference-indifferences model: A simulation study comparing statistical methods for estimating effectiveness of state-level policies. BMC Med Res Methodol. 2021;21(1):279. </w:t>
      </w:r>
      <w:r>
        <w:br/>
      </w:r>
      <w:r>
        <w:br/>
      </w:r>
      <w:r>
        <w:rPr>
          <w:color w:val="222222"/>
          <w:highlight w:val="white"/>
        </w:rPr>
        <w:t>Griffin, B. A., Schuler, M. S., Stone, E. M., Patrick, S. W., Stein, B. D., De Lima, P. N., ... &amp; Stuart, E. A. (2023). Identifying Optimal Methods for Addressing Confounding Bias When Estimating the Effects of State-level Policies. </w:t>
      </w:r>
      <w:r>
        <w:rPr>
          <w:i/>
          <w:iCs/>
          <w:color w:val="222222"/>
          <w:highlight w:val="white"/>
        </w:rPr>
        <w:t>Epidemiology</w:t>
      </w:r>
      <w:r>
        <w:rPr>
          <w:color w:val="222222"/>
          <w:highlight w:val="white"/>
        </w:rPr>
        <w:t>, </w:t>
      </w:r>
      <w:r>
        <w:rPr>
          <w:i/>
          <w:iCs/>
          <w:color w:val="222222"/>
          <w:highlight w:val="white"/>
        </w:rPr>
        <w:t>34</w:t>
      </w:r>
      <w:r>
        <w:rPr>
          <w:color w:val="222222"/>
          <w:highlight w:val="white"/>
        </w:rPr>
        <w:t>(6), 856-864.</w:t>
      </w:r>
      <w:r>
        <w:t xml:space="preserve"> </w:t>
      </w:r>
    </w:p>
  </w:comment>
  <w:comment w:id="2" w:author="Max Griswold" w:date="2023-11-29T12:03:00Z" w:initials="MG">
    <w:p w14:paraId="05B121A6" w14:textId="77777777" w:rsidR="00EB03A5" w:rsidRDefault="00EB03A5">
      <w:pPr>
        <w:pStyle w:val="CommentText"/>
      </w:pPr>
      <w:r>
        <w:rPr>
          <w:rStyle w:val="CommentReference"/>
        </w:rPr>
        <w:annotationRef/>
      </w:r>
      <w:r>
        <w:t xml:space="preserve">I diverged from previous OPTIC approaches. Rather than select a month, then apply partial treatment status, in the time-varying models I only applied treatment starting in Jan1st of a given year. </w:t>
      </w:r>
    </w:p>
    <w:p w14:paraId="7764A382" w14:textId="77777777" w:rsidR="00EB03A5" w:rsidRDefault="00EB03A5">
      <w:pPr>
        <w:pStyle w:val="CommentText"/>
      </w:pPr>
    </w:p>
    <w:p w14:paraId="5CA3889A" w14:textId="77777777" w:rsidR="00EB03A5" w:rsidRDefault="00EB03A5" w:rsidP="005440BD">
      <w:pPr>
        <w:pStyle w:val="CommentText"/>
      </w:pPr>
      <w:r>
        <w:t>So the treatment indicator is only binary and there are no partial treatment periods.</w:t>
      </w:r>
    </w:p>
  </w:comment>
  <w:comment w:id="3" w:author="Max Griswold" w:date="2023-11-29T16:50:00Z" w:initials="MG">
    <w:p w14:paraId="4C435616" w14:textId="77777777" w:rsidR="00AE3B86" w:rsidRDefault="00AE3B86">
      <w:pPr>
        <w:pStyle w:val="CommentText"/>
      </w:pPr>
      <w:r>
        <w:rPr>
          <w:rStyle w:val="CommentReference"/>
        </w:rPr>
        <w:annotationRef/>
      </w:r>
      <w:r>
        <w:t>I need to revise this and break this out into a separate paragraph, describing examples of policy's which would follow these scenarios:</w:t>
      </w:r>
    </w:p>
    <w:p w14:paraId="4E4A6601" w14:textId="77777777" w:rsidR="00AE3B86" w:rsidRDefault="00AE3B86">
      <w:pPr>
        <w:pStyle w:val="CommentText"/>
      </w:pPr>
    </w:p>
    <w:p w14:paraId="1738104E" w14:textId="77777777" w:rsidR="00AE3B86" w:rsidRDefault="00AE3B86">
      <w:pPr>
        <w:pStyle w:val="CommentText"/>
      </w:pPr>
      <w:r>
        <w:t>Ramp up: Medicare Advantage</w:t>
      </w:r>
    </w:p>
    <w:p w14:paraId="5CD62EF1" w14:textId="77777777" w:rsidR="00AE3B86" w:rsidRDefault="00AE3B86">
      <w:pPr>
        <w:pStyle w:val="CommentText"/>
      </w:pPr>
      <w:r>
        <w:t>Ramp down: Child Tax Care Credit (probably a better example out there; Eviction Moratoria?)</w:t>
      </w:r>
    </w:p>
    <w:p w14:paraId="1FD3ACA5" w14:textId="77777777" w:rsidR="00AE3B86" w:rsidRDefault="00AE3B86">
      <w:pPr>
        <w:pStyle w:val="CommentText"/>
      </w:pPr>
      <w:r>
        <w:t>Instant plateau: TARP (2008 financial crisis)</w:t>
      </w:r>
    </w:p>
    <w:p w14:paraId="1692E84C" w14:textId="77777777" w:rsidR="00AE3B86" w:rsidRDefault="00AE3B86">
      <w:pPr>
        <w:pStyle w:val="CommentText"/>
      </w:pPr>
      <w:r>
        <w:t>Ramp up/ramp down: Any number of COVID policies, like PPP.</w:t>
      </w:r>
    </w:p>
    <w:p w14:paraId="1CE6617C" w14:textId="77777777" w:rsidR="00AE3B86" w:rsidRDefault="00AE3B86">
      <w:pPr>
        <w:pStyle w:val="CommentText"/>
      </w:pPr>
    </w:p>
    <w:p w14:paraId="7CCABDD7" w14:textId="77777777" w:rsidR="00AE3B86" w:rsidRDefault="00AE3B86" w:rsidP="005440BD">
      <w:pPr>
        <w:pStyle w:val="CommentText"/>
      </w:pPr>
      <w:r>
        <w:t xml:space="preserve">Ideally, these would correspond to state-level opioid policies or other health policies. MA was the only one that come to mind; maybe a COVID policy for sunset (free vaccines?). </w:t>
      </w:r>
    </w:p>
  </w:comment>
  <w:comment w:id="4" w:author="Max Griswold" w:date="2023-12-21T16:12:00Z" w:initials="MG">
    <w:p w14:paraId="400D6790" w14:textId="77777777" w:rsidR="00830E8F" w:rsidRDefault="00830E8F" w:rsidP="005644EF">
      <w:pPr>
        <w:pStyle w:val="CommentText"/>
      </w:pPr>
      <w:r>
        <w:rPr>
          <w:rStyle w:val="CommentReference"/>
        </w:rPr>
        <w:annotationRef/>
      </w:r>
      <w:r>
        <w:t>I'm leaving a note to myself to replace this with the new policy scenario in the bottom-left corner.</w:t>
      </w:r>
    </w:p>
  </w:comment>
  <w:comment w:id="5" w:author="Max Griswold" w:date="2023-12-20T12:55:00Z" w:initials="MG">
    <w:p w14:paraId="127F2A95" w14:textId="315579C2" w:rsidR="00DE6137" w:rsidRDefault="00DE6137" w:rsidP="001E49B1">
      <w:pPr>
        <w:pStyle w:val="CommentText"/>
      </w:pPr>
      <w:r>
        <w:rPr>
          <w:rStyle w:val="CommentReference"/>
        </w:rPr>
        <w:annotationRef/>
      </w:r>
      <w:r>
        <w:rPr>
          <w:color w:val="222222"/>
          <w:highlight w:val="white"/>
        </w:rPr>
        <w:t>Miller, D. L. (2023). An Introductory Guide to Event Study Models. </w:t>
      </w:r>
      <w:r>
        <w:rPr>
          <w:i/>
          <w:iCs/>
          <w:color w:val="222222"/>
          <w:highlight w:val="white"/>
        </w:rPr>
        <w:t>Journal of Economic Perspectives</w:t>
      </w:r>
      <w:r>
        <w:rPr>
          <w:color w:val="222222"/>
          <w:highlight w:val="white"/>
        </w:rPr>
        <w:t>, </w:t>
      </w:r>
      <w:r>
        <w:rPr>
          <w:i/>
          <w:iCs/>
          <w:color w:val="222222"/>
          <w:highlight w:val="white"/>
        </w:rPr>
        <w:t>37</w:t>
      </w:r>
      <w:r>
        <w:rPr>
          <w:color w:val="222222"/>
          <w:highlight w:val="white"/>
        </w:rPr>
        <w:t>(2), 203-230.</w:t>
      </w:r>
      <w:r>
        <w:t xml:space="preserve"> </w:t>
      </w:r>
    </w:p>
  </w:comment>
  <w:comment w:id="6" w:author="Max Griswold" w:date="2023-12-20T13:57:00Z" w:initials="MG">
    <w:p w14:paraId="66715E3B" w14:textId="77777777" w:rsidR="008556BD" w:rsidRDefault="008556BD" w:rsidP="000B394F">
      <w:pPr>
        <w:pStyle w:val="CommentText"/>
      </w:pPr>
      <w:r>
        <w:rPr>
          <w:rStyle w:val="CommentReference"/>
        </w:rPr>
        <w:annotationRef/>
      </w:r>
      <w:r>
        <w:t>I dropped the g() notation, compared to the confounding paper, since  I only estimated models with the assumption the outcome is normally distributed. It's not clear to me if all these designs would work in GLM land?</w:t>
      </w:r>
    </w:p>
  </w:comment>
  <w:comment w:id="7" w:author="Max Griswold" w:date="2023-12-20T13:54:00Z" w:initials="MG">
    <w:p w14:paraId="418744FA" w14:textId="3D7F79A1" w:rsidR="008556BD" w:rsidRDefault="008556BD" w:rsidP="000024F8">
      <w:pPr>
        <w:pStyle w:val="CommentText"/>
      </w:pPr>
      <w:r>
        <w:rPr>
          <w:rStyle w:val="CommentReference"/>
        </w:rPr>
        <w:annotationRef/>
      </w:r>
      <w:r>
        <w:t>Beth Ann - could you beef up the intuition and motivation for this section a little bit? In the confounding paper, you argued for this approach by saying it was "highly rated in prior simulation studies". Maybe you have a better explanation for this approach now?</w:t>
      </w:r>
    </w:p>
  </w:comment>
  <w:comment w:id="8" w:author="Max Griswold" w:date="2023-12-20T14:45:00Z" w:initials="MG">
    <w:p w14:paraId="1656A0FB" w14:textId="77777777" w:rsidR="002305F4" w:rsidRDefault="002305F4" w:rsidP="00C17AB0">
      <w:pPr>
        <w:pStyle w:val="CommentText"/>
      </w:pPr>
      <w:r>
        <w:rPr>
          <w:rStyle w:val="CommentReference"/>
        </w:rPr>
        <w:annotationRef/>
      </w:r>
      <w:r>
        <w:rPr>
          <w:color w:val="222222"/>
          <w:highlight w:val="white"/>
        </w:rPr>
        <w:t>Ben-Michael, E., Feller, A., &amp; Rothstein, J. (2021). The augmented synthetic control method. </w:t>
      </w:r>
      <w:r>
        <w:rPr>
          <w:i/>
          <w:iCs/>
          <w:color w:val="222222"/>
          <w:highlight w:val="white"/>
        </w:rPr>
        <w:t>Journal of the American Statistical Association</w:t>
      </w:r>
      <w:r>
        <w:rPr>
          <w:color w:val="222222"/>
          <w:highlight w:val="white"/>
        </w:rPr>
        <w:t>, </w:t>
      </w:r>
      <w:r>
        <w:rPr>
          <w:i/>
          <w:iCs/>
          <w:color w:val="222222"/>
          <w:highlight w:val="white"/>
        </w:rPr>
        <w:t>116</w:t>
      </w:r>
      <w:r>
        <w:rPr>
          <w:color w:val="222222"/>
          <w:highlight w:val="white"/>
        </w:rPr>
        <w:t>(536), 1789-1803.</w:t>
      </w:r>
      <w:r>
        <w:t xml:space="preserve"> </w:t>
      </w:r>
    </w:p>
  </w:comment>
  <w:comment w:id="9" w:author="Max Griswold" w:date="2023-12-20T14:56:00Z" w:initials="MG">
    <w:p w14:paraId="52E4EDD4" w14:textId="77777777" w:rsidR="00B22DC1" w:rsidRDefault="00B22DC1" w:rsidP="0064042A">
      <w:pPr>
        <w:pStyle w:val="CommentText"/>
      </w:pPr>
      <w:r>
        <w:rPr>
          <w:rStyle w:val="CommentReference"/>
        </w:rPr>
        <w:annotationRef/>
      </w:r>
      <w:r>
        <w:rPr>
          <w:color w:val="222222"/>
          <w:highlight w:val="white"/>
        </w:rPr>
        <w:t>Ben-Michael, E., Feller, A., &amp; Rothstein, J. (2022). Synthetic controls with staggered adoption. </w:t>
      </w:r>
      <w:r>
        <w:rPr>
          <w:i/>
          <w:iCs/>
          <w:color w:val="222222"/>
          <w:highlight w:val="white"/>
        </w:rPr>
        <w:t>Journal of the Royal Statistical Society Series B: Statistical Methodology</w:t>
      </w:r>
      <w:r>
        <w:rPr>
          <w:color w:val="222222"/>
          <w:highlight w:val="white"/>
        </w:rPr>
        <w:t>, </w:t>
      </w:r>
      <w:r>
        <w:rPr>
          <w:i/>
          <w:iCs/>
          <w:color w:val="222222"/>
          <w:highlight w:val="white"/>
        </w:rPr>
        <w:t>84</w:t>
      </w:r>
      <w:r>
        <w:rPr>
          <w:color w:val="222222"/>
          <w:highlight w:val="white"/>
        </w:rPr>
        <w:t>(2), 351-381.</w:t>
      </w:r>
      <w:r>
        <w:t xml:space="preserve"> </w:t>
      </w:r>
    </w:p>
  </w:comment>
  <w:comment w:id="10" w:author="Max Griswold" w:date="2023-12-21T11:50:00Z" w:initials="MG">
    <w:p w14:paraId="23957124" w14:textId="77777777" w:rsidR="00E221AD" w:rsidRDefault="00E221AD" w:rsidP="00142433">
      <w:pPr>
        <w:pStyle w:val="CommentText"/>
      </w:pPr>
      <w:r>
        <w:rPr>
          <w:rStyle w:val="CommentReference"/>
        </w:rPr>
        <w:annotationRef/>
      </w:r>
      <w:r>
        <w:rPr>
          <w:color w:val="222222"/>
          <w:highlight w:val="white"/>
        </w:rPr>
        <w:t>Callaway, B., &amp; Sant’Anna, P. H. (2021). Difference-in-differences with multiple time periods. </w:t>
      </w:r>
      <w:r>
        <w:rPr>
          <w:i/>
          <w:iCs/>
          <w:color w:val="222222"/>
          <w:highlight w:val="white"/>
        </w:rPr>
        <w:t>Journal of econometrics</w:t>
      </w:r>
      <w:r>
        <w:rPr>
          <w:color w:val="222222"/>
          <w:highlight w:val="white"/>
        </w:rPr>
        <w:t>, </w:t>
      </w:r>
      <w:r>
        <w:rPr>
          <w:i/>
          <w:iCs/>
          <w:color w:val="222222"/>
          <w:highlight w:val="white"/>
        </w:rPr>
        <w:t>225</w:t>
      </w:r>
      <w:r>
        <w:rPr>
          <w:color w:val="222222"/>
          <w:highlight w:val="white"/>
        </w:rPr>
        <w:t>(2), 200-230.</w:t>
      </w:r>
      <w:r>
        <w:t xml:space="preserve"> </w:t>
      </w:r>
    </w:p>
  </w:comment>
  <w:comment w:id="11" w:author="Max Griswold" w:date="2023-12-21T11:55:00Z" w:initials="MG">
    <w:p w14:paraId="780B1C5D" w14:textId="77777777" w:rsidR="00031E1B" w:rsidRDefault="00031E1B" w:rsidP="00ED62BE">
      <w:pPr>
        <w:pStyle w:val="CommentText"/>
      </w:pPr>
      <w:r>
        <w:rPr>
          <w:rStyle w:val="CommentReference"/>
        </w:rPr>
        <w:annotationRef/>
      </w:r>
      <w:r>
        <w:t>Relying on section 4 of Callaway and Sant'Anna for this.</w:t>
      </w:r>
    </w:p>
  </w:comment>
  <w:comment w:id="12" w:author="Max Griswold" w:date="2023-12-21T12:03:00Z" w:initials="MG">
    <w:p w14:paraId="4DD718AD" w14:textId="77777777" w:rsidR="001B4062" w:rsidRDefault="001B4062" w:rsidP="00AF6C10">
      <w:pPr>
        <w:pStyle w:val="CommentText"/>
      </w:pPr>
      <w:r>
        <w:rPr>
          <w:rStyle w:val="CommentReference"/>
        </w:rPr>
        <w:annotationRef/>
      </w:r>
      <w:hyperlink r:id="rId1" w:history="1">
        <w:r w:rsidRPr="00AF6C10">
          <w:rPr>
            <w:rStyle w:val="Hyperlink"/>
          </w:rPr>
          <w:t>https://www.sciencedirect.com/science/article/pii/S0304407620301901</w:t>
        </w:r>
      </w:hyperlink>
    </w:p>
  </w:comment>
  <w:comment w:id="13" w:author="Max Griswold" w:date="2023-12-21T11:50:00Z" w:initials="MG">
    <w:p w14:paraId="6E86273E" w14:textId="77777777" w:rsidR="00705887" w:rsidRDefault="00705887" w:rsidP="00705887">
      <w:pPr>
        <w:pStyle w:val="CommentText"/>
      </w:pPr>
      <w:r>
        <w:rPr>
          <w:rStyle w:val="CommentReference"/>
        </w:rPr>
        <w:annotationRef/>
      </w:r>
      <w:r>
        <w:rPr>
          <w:color w:val="222222"/>
          <w:highlight w:val="white"/>
        </w:rPr>
        <w:t>Callaway, B., &amp; Sant’Anna, P. H. (2021). Difference-in-differences with multiple time periods. </w:t>
      </w:r>
      <w:r>
        <w:rPr>
          <w:i/>
          <w:iCs/>
          <w:color w:val="222222"/>
          <w:highlight w:val="white"/>
        </w:rPr>
        <w:t>Journal of econometrics</w:t>
      </w:r>
      <w:r>
        <w:rPr>
          <w:color w:val="222222"/>
          <w:highlight w:val="white"/>
        </w:rPr>
        <w:t>, </w:t>
      </w:r>
      <w:r>
        <w:rPr>
          <w:i/>
          <w:iCs/>
          <w:color w:val="222222"/>
          <w:highlight w:val="white"/>
        </w:rPr>
        <w:t>225</w:t>
      </w:r>
      <w:r>
        <w:rPr>
          <w:color w:val="222222"/>
          <w:highlight w:val="white"/>
        </w:rPr>
        <w:t>(2), 200-230.</w:t>
      </w:r>
      <w:r>
        <w:t xml:space="preserve"> </w:t>
      </w:r>
    </w:p>
  </w:comment>
  <w:comment w:id="14" w:author="Max Griswold" w:date="2023-12-21T12:37:00Z" w:initials="MG">
    <w:p w14:paraId="397B2117" w14:textId="77777777" w:rsidR="00872C88" w:rsidRDefault="00872C88" w:rsidP="00C31662">
      <w:pPr>
        <w:pStyle w:val="CommentText"/>
      </w:pPr>
      <w:r>
        <w:rPr>
          <w:rStyle w:val="CommentReference"/>
        </w:rPr>
        <w:annotationRef/>
      </w:r>
      <w:r>
        <w:rPr>
          <w:color w:val="222222"/>
          <w:highlight w:val="white"/>
        </w:rPr>
        <w:t>Sun, L., &amp; Abraham, S. (2021). Estimating dynamic treatment effects in event studies with heterogeneous treatment effects. </w:t>
      </w:r>
      <w:r>
        <w:rPr>
          <w:i/>
          <w:iCs/>
          <w:color w:val="222222"/>
          <w:highlight w:val="white"/>
        </w:rPr>
        <w:t>Journal of Econometrics</w:t>
      </w:r>
      <w:r>
        <w:rPr>
          <w:color w:val="222222"/>
          <w:highlight w:val="white"/>
        </w:rPr>
        <w:t>, </w:t>
      </w:r>
      <w:r>
        <w:rPr>
          <w:i/>
          <w:iCs/>
          <w:color w:val="222222"/>
          <w:highlight w:val="white"/>
        </w:rPr>
        <w:t>225</w:t>
      </w:r>
      <w:r>
        <w:rPr>
          <w:color w:val="222222"/>
          <w:highlight w:val="white"/>
        </w:rPr>
        <w:t>(2), 175-199.</w:t>
      </w:r>
      <w:r>
        <w:t xml:space="preserve"> </w:t>
      </w:r>
    </w:p>
  </w:comment>
  <w:comment w:id="15" w:author="Max Griswold" w:date="2023-12-21T12:41:00Z" w:initials="MG">
    <w:p w14:paraId="4B014E96" w14:textId="77777777" w:rsidR="00872C88" w:rsidRDefault="00872C88" w:rsidP="005C507C">
      <w:pPr>
        <w:pStyle w:val="CommentText"/>
      </w:pPr>
      <w:r>
        <w:rPr>
          <w:rStyle w:val="CommentReference"/>
        </w:rPr>
        <w:annotationRef/>
      </w:r>
      <w:r>
        <w:t>I'm trying to refer to step 2 of the estimation strategy, described, very briefly, in section 4.1 of Sun and Abraham, 2021.</w:t>
      </w:r>
    </w:p>
  </w:comment>
  <w:comment w:id="16" w:author="Max Griswold" w:date="2023-12-21T14:00:00Z" w:initials="MG">
    <w:p w14:paraId="71D9EAA3" w14:textId="77777777" w:rsidR="00975F2B" w:rsidRDefault="00975F2B" w:rsidP="00D925D4">
      <w:pPr>
        <w:pStyle w:val="CommentText"/>
      </w:pPr>
      <w:r>
        <w:rPr>
          <w:rStyle w:val="CommentReference"/>
        </w:rPr>
        <w:annotationRef/>
      </w:r>
      <w:r>
        <w:rPr>
          <w:color w:val="222222"/>
          <w:highlight w:val="white"/>
        </w:rPr>
        <w:t>Gardner, J. (2022). Two-stage differences in differences. </w:t>
      </w:r>
      <w:r>
        <w:rPr>
          <w:i/>
          <w:iCs/>
          <w:color w:val="222222"/>
          <w:highlight w:val="white"/>
        </w:rPr>
        <w:t>arXiv preprint arXiv:2207.05943</w:t>
      </w:r>
      <w:r>
        <w:rPr>
          <w:color w:val="222222"/>
          <w:highlight w:val="white"/>
        </w:rPr>
        <w:t>.</w:t>
      </w:r>
      <w:r>
        <w:t xml:space="preserve"> </w:t>
      </w:r>
    </w:p>
  </w:comment>
  <w:comment w:id="17" w:author="Max Griswold" w:date="2023-12-21T14:12:00Z" w:initials="MG">
    <w:p w14:paraId="786429C4" w14:textId="77777777" w:rsidR="00C62030" w:rsidRDefault="00C62030" w:rsidP="00BE0D77">
      <w:pPr>
        <w:pStyle w:val="CommentText"/>
      </w:pPr>
      <w:r>
        <w:rPr>
          <w:rStyle w:val="CommentReference"/>
        </w:rPr>
        <w:annotationRef/>
      </w:r>
      <w:r>
        <w:t>Putting this comment here so I can remember to come back to this later: Borusyak, Jaravel, and Spiess note in the introduction that: "Third, in dynamic specifications, implicit assumptions about treatment effect homogeneity across groups first treated at different times lead to the spurious identification of long-run treatment effects for which no DiD comparisons valid under heterogeneous treatment effects are available. "</w:t>
      </w:r>
      <w:r>
        <w:br/>
      </w:r>
      <w:r>
        <w:br/>
        <w:t>I should dig into this argument more to beef up the introduction to this paper with additional details on time-varying specific problems (rather than just "forbidden comparison" problem).</w:t>
      </w:r>
      <w:r>
        <w:br/>
      </w:r>
      <w:r>
        <w:br/>
        <w:t>Also: "From the above discussion, the reader should not conclude that event study designs are plagued by fundamental problems. On the contrary, these challenges only arise due to a mismatch between treatment effect heterogeneity and specifications which restrict it. "</w:t>
      </w:r>
    </w:p>
  </w:comment>
  <w:comment w:id="18" w:author="Max Griswold" w:date="2023-12-21T14:06:00Z" w:initials="MG">
    <w:p w14:paraId="5452692E" w14:textId="47ED0761" w:rsidR="00A15D25" w:rsidRDefault="00A15D25" w:rsidP="00CF2C31">
      <w:pPr>
        <w:pStyle w:val="CommentText"/>
      </w:pPr>
      <w:r>
        <w:rPr>
          <w:rStyle w:val="CommentReference"/>
        </w:rPr>
        <w:annotationRef/>
      </w:r>
      <w:r>
        <w:rPr>
          <w:color w:val="222222"/>
          <w:highlight w:val="white"/>
        </w:rPr>
        <w:t>Borusyak, K., Jaravel, X., &amp; Spiess, J. (2021). Revisiting event study designs: Robust and efficient estimation. </w:t>
      </w:r>
      <w:r>
        <w:rPr>
          <w:i/>
          <w:iCs/>
          <w:color w:val="222222"/>
          <w:highlight w:val="white"/>
        </w:rPr>
        <w:t>arXiv preprint arXiv:2108.12419</w:t>
      </w:r>
      <w:r>
        <w:rPr>
          <w:color w:val="222222"/>
          <w:highlight w:val="white"/>
        </w:rPr>
        <w:t>.</w:t>
      </w:r>
      <w:r>
        <w:t xml:space="preserve"> </w:t>
      </w:r>
    </w:p>
  </w:comment>
  <w:comment w:id="19" w:author="Max Griswold" w:date="2023-12-21T14:23:00Z" w:initials="MG">
    <w:p w14:paraId="4D5EBCE1" w14:textId="77777777" w:rsidR="008807E7" w:rsidRDefault="008807E7" w:rsidP="006731E6">
      <w:pPr>
        <w:pStyle w:val="CommentText"/>
      </w:pPr>
      <w:r>
        <w:rPr>
          <w:rStyle w:val="CommentReference"/>
        </w:rPr>
        <w:annotationRef/>
      </w:r>
      <w:r>
        <w:t>I might want to go back through the paper and change this to "period" rather than "time". I also might want to change the language for "time-varying treatment" to "dynamic effects" (though I find that phrasing a bit abstract, though it seems to be more commonly used)?</w:t>
      </w:r>
    </w:p>
  </w:comment>
  <w:comment w:id="20" w:author="Max Griswold" w:date="2023-12-21T14:37:00Z" w:initials="MG">
    <w:p w14:paraId="5FB69FF2" w14:textId="77777777" w:rsidR="00046924" w:rsidRDefault="00046924" w:rsidP="00291C10">
      <w:pPr>
        <w:pStyle w:val="CommentText"/>
      </w:pPr>
      <w:r>
        <w:rPr>
          <w:rStyle w:val="CommentReference"/>
        </w:rPr>
        <w:annotationRef/>
      </w:r>
      <w:r>
        <w:t xml:space="preserve">The math for both ATT and outcome models is fairly easy to replicate across the above models. However, the math for augsynth and callaway and sant'anna can get a little gnarly. So for most of these methods, I opted to describe the approach using text, though for these simpler methods, I think the text is a bit clunky. </w:t>
      </w:r>
      <w:r>
        <w:br/>
      </w:r>
      <w:r>
        <w:br/>
        <w:t xml:space="preserve">In general, I was trying to follow the level of description offered in the confounding paper. </w:t>
      </w:r>
    </w:p>
  </w:comment>
  <w:comment w:id="21" w:author="Max Griswold" w:date="2023-12-21T16:03:00Z" w:initials="MG">
    <w:p w14:paraId="7BC2E72B" w14:textId="77777777" w:rsidR="00575469" w:rsidRDefault="00575469" w:rsidP="00A2616B">
      <w:pPr>
        <w:pStyle w:val="CommentText"/>
      </w:pPr>
      <w:r>
        <w:rPr>
          <w:rStyle w:val="CommentReference"/>
        </w:rPr>
        <w:annotationRef/>
      </w:r>
      <w:r>
        <w:t>Not the best notation and I would appreciate help on improving it. I'm using this statistic to scatter mean bias v. mean variance to help build intuition on the coverage plot later. This differs from (3) which describes the variance of simulated mean effects, rather than the mean of simulated effect variance.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57993CC" w15:done="0"/>
  <w15:commentEx w15:paraId="77961ADF" w15:done="0"/>
  <w15:commentEx w15:paraId="5CA3889A" w15:done="0"/>
  <w15:commentEx w15:paraId="7CCABDD7" w15:done="0"/>
  <w15:commentEx w15:paraId="400D6790" w15:done="0"/>
  <w15:commentEx w15:paraId="127F2A95" w15:done="0"/>
  <w15:commentEx w15:paraId="66715E3B" w15:done="0"/>
  <w15:commentEx w15:paraId="418744FA" w15:done="0"/>
  <w15:commentEx w15:paraId="1656A0FB" w15:done="0"/>
  <w15:commentEx w15:paraId="52E4EDD4" w15:paraIdParent="1656A0FB" w15:done="0"/>
  <w15:commentEx w15:paraId="23957124" w15:done="0"/>
  <w15:commentEx w15:paraId="780B1C5D" w15:done="0"/>
  <w15:commentEx w15:paraId="4DD718AD" w15:done="0"/>
  <w15:commentEx w15:paraId="6E86273E" w15:done="0"/>
  <w15:commentEx w15:paraId="397B2117" w15:done="0"/>
  <w15:commentEx w15:paraId="4B014E96" w15:done="0"/>
  <w15:commentEx w15:paraId="71D9EAA3" w15:done="0"/>
  <w15:commentEx w15:paraId="786429C4" w15:done="0"/>
  <w15:commentEx w15:paraId="5452692E" w15:done="0"/>
  <w15:commentEx w15:paraId="4D5EBCE1" w15:done="0"/>
  <w15:commentEx w15:paraId="5FB69FF2" w15:done="0"/>
  <w15:commentEx w15:paraId="7BC2E72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911A48E" w16cex:dateUtc="2023-11-29T19:52:00Z"/>
  <w16cex:commentExtensible w16cex:durableId="2911A582" w16cex:dateUtc="2023-11-29T19:56:00Z"/>
  <w16cex:commentExtensible w16cex:durableId="2911A70F" w16cex:dateUtc="2023-11-29T20:03:00Z"/>
  <w16cex:commentExtensible w16cex:durableId="2911EA43" w16cex:dateUtc="2023-11-30T00:50:00Z"/>
  <w16cex:commentExtensible w16cex:durableId="5ADF3CF0" w16cex:dateUtc="2023-12-22T00:12:00Z"/>
  <w16cex:commentExtensible w16cex:durableId="61235480" w16cex:dateUtc="2023-12-20T20:55:00Z"/>
  <w16cex:commentExtensible w16cex:durableId="709D19B6" w16cex:dateUtc="2023-12-20T21:57:00Z"/>
  <w16cex:commentExtensible w16cex:durableId="21D9A5C0" w16cex:dateUtc="2023-12-20T21:54:00Z"/>
  <w16cex:commentExtensible w16cex:durableId="212CB39A" w16cex:dateUtc="2023-12-20T22:45:00Z"/>
  <w16cex:commentExtensible w16cex:durableId="091064A7" w16cex:dateUtc="2023-12-20T22:56:00Z"/>
  <w16cex:commentExtensible w16cex:durableId="417C4178" w16cex:dateUtc="2023-12-21T19:50:00Z"/>
  <w16cex:commentExtensible w16cex:durableId="75B433AD" w16cex:dateUtc="2023-12-21T19:55:00Z"/>
  <w16cex:commentExtensible w16cex:durableId="51C5DDC9" w16cex:dateUtc="2023-12-21T20:03:00Z"/>
  <w16cex:commentExtensible w16cex:durableId="1E0C0C5A" w16cex:dateUtc="2023-12-21T19:50:00Z"/>
  <w16cex:commentExtensible w16cex:durableId="1305F524" w16cex:dateUtc="2023-12-21T20:37:00Z"/>
  <w16cex:commentExtensible w16cex:durableId="678E6925" w16cex:dateUtc="2023-12-21T20:41:00Z"/>
  <w16cex:commentExtensible w16cex:durableId="7CE95F9A" w16cex:dateUtc="2023-12-21T22:00:00Z"/>
  <w16cex:commentExtensible w16cex:durableId="415196E7" w16cex:dateUtc="2023-12-21T22:12:00Z"/>
  <w16cex:commentExtensible w16cex:durableId="4E37C60B" w16cex:dateUtc="2023-12-21T22:06:00Z"/>
  <w16cex:commentExtensible w16cex:durableId="302B9318" w16cex:dateUtc="2023-12-21T22:23:00Z"/>
  <w16cex:commentExtensible w16cex:durableId="1DB04198" w16cex:dateUtc="2023-12-21T22:37:00Z"/>
  <w16cex:commentExtensible w16cex:durableId="7CDB7B83" w16cex:dateUtc="2023-12-22T00: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57993CC" w16cid:durableId="2911A48E"/>
  <w16cid:commentId w16cid:paraId="77961ADF" w16cid:durableId="2911A582"/>
  <w16cid:commentId w16cid:paraId="5CA3889A" w16cid:durableId="2911A70F"/>
  <w16cid:commentId w16cid:paraId="7CCABDD7" w16cid:durableId="2911EA43"/>
  <w16cid:commentId w16cid:paraId="400D6790" w16cid:durableId="5ADF3CF0"/>
  <w16cid:commentId w16cid:paraId="127F2A95" w16cid:durableId="61235480"/>
  <w16cid:commentId w16cid:paraId="66715E3B" w16cid:durableId="709D19B6"/>
  <w16cid:commentId w16cid:paraId="418744FA" w16cid:durableId="21D9A5C0"/>
  <w16cid:commentId w16cid:paraId="1656A0FB" w16cid:durableId="212CB39A"/>
  <w16cid:commentId w16cid:paraId="52E4EDD4" w16cid:durableId="091064A7"/>
  <w16cid:commentId w16cid:paraId="23957124" w16cid:durableId="417C4178"/>
  <w16cid:commentId w16cid:paraId="780B1C5D" w16cid:durableId="75B433AD"/>
  <w16cid:commentId w16cid:paraId="4DD718AD" w16cid:durableId="51C5DDC9"/>
  <w16cid:commentId w16cid:paraId="6E86273E" w16cid:durableId="1E0C0C5A"/>
  <w16cid:commentId w16cid:paraId="397B2117" w16cid:durableId="1305F524"/>
  <w16cid:commentId w16cid:paraId="4B014E96" w16cid:durableId="678E6925"/>
  <w16cid:commentId w16cid:paraId="71D9EAA3" w16cid:durableId="7CE95F9A"/>
  <w16cid:commentId w16cid:paraId="786429C4" w16cid:durableId="415196E7"/>
  <w16cid:commentId w16cid:paraId="5452692E" w16cid:durableId="4E37C60B"/>
  <w16cid:commentId w16cid:paraId="4D5EBCE1" w16cid:durableId="302B9318"/>
  <w16cid:commentId w16cid:paraId="5FB69FF2" w16cid:durableId="1DB04198"/>
  <w16cid:commentId w16cid:paraId="7BC2E72B" w16cid:durableId="7CDB7B8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26792E"/>
    <w:multiLevelType w:val="hybridMultilevel"/>
    <w:tmpl w:val="0A2C927E"/>
    <w:lvl w:ilvl="0" w:tplc="04DA8B0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3353234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ax Griswold">
    <w15:presenceInfo w15:providerId="AD" w15:userId="S::griswold@rand.org::25b1f3f4-c65a-47f3-97d4-2b50f7f6ea6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140405"/>
    <w:rsid w:val="00031E1B"/>
    <w:rsid w:val="00046924"/>
    <w:rsid w:val="000C53B5"/>
    <w:rsid w:val="00140405"/>
    <w:rsid w:val="0019713C"/>
    <w:rsid w:val="001B4062"/>
    <w:rsid w:val="00212920"/>
    <w:rsid w:val="002305F4"/>
    <w:rsid w:val="00246DE6"/>
    <w:rsid w:val="002E0CE2"/>
    <w:rsid w:val="00336A23"/>
    <w:rsid w:val="00341688"/>
    <w:rsid w:val="0039388A"/>
    <w:rsid w:val="003A64E5"/>
    <w:rsid w:val="00482B41"/>
    <w:rsid w:val="00523D0B"/>
    <w:rsid w:val="00541606"/>
    <w:rsid w:val="005440BD"/>
    <w:rsid w:val="00575469"/>
    <w:rsid w:val="00670086"/>
    <w:rsid w:val="006F5A03"/>
    <w:rsid w:val="00705887"/>
    <w:rsid w:val="008256A1"/>
    <w:rsid w:val="00830E8F"/>
    <w:rsid w:val="00847C9B"/>
    <w:rsid w:val="008556BD"/>
    <w:rsid w:val="00872C88"/>
    <w:rsid w:val="008807E7"/>
    <w:rsid w:val="008A1212"/>
    <w:rsid w:val="008B6505"/>
    <w:rsid w:val="00944174"/>
    <w:rsid w:val="00975F2B"/>
    <w:rsid w:val="00991361"/>
    <w:rsid w:val="00A15D25"/>
    <w:rsid w:val="00A34365"/>
    <w:rsid w:val="00A42A5E"/>
    <w:rsid w:val="00A437EB"/>
    <w:rsid w:val="00A96F90"/>
    <w:rsid w:val="00AB0262"/>
    <w:rsid w:val="00AD35BB"/>
    <w:rsid w:val="00AE3B86"/>
    <w:rsid w:val="00AE4E2E"/>
    <w:rsid w:val="00AF4FCD"/>
    <w:rsid w:val="00B15D03"/>
    <w:rsid w:val="00B21D6D"/>
    <w:rsid w:val="00B22DC1"/>
    <w:rsid w:val="00B51F7C"/>
    <w:rsid w:val="00B54D2B"/>
    <w:rsid w:val="00BB2531"/>
    <w:rsid w:val="00BE1F68"/>
    <w:rsid w:val="00C62030"/>
    <w:rsid w:val="00C76B65"/>
    <w:rsid w:val="00DE6137"/>
    <w:rsid w:val="00E10788"/>
    <w:rsid w:val="00E221AD"/>
    <w:rsid w:val="00E77AE3"/>
    <w:rsid w:val="00EB03A5"/>
    <w:rsid w:val="00EE693C"/>
    <w:rsid w:val="00F4163C"/>
    <w:rsid w:val="00F808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431B9"/>
  <w15:docId w15:val="{3CA7F0C3-EAE5-4F14-A12C-991A8538FA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56BD"/>
  </w:style>
  <w:style w:type="paragraph" w:styleId="Heading1">
    <w:name w:val="heading 1"/>
    <w:basedOn w:val="Normal"/>
    <w:next w:val="Normal"/>
    <w:link w:val="Heading1Char"/>
    <w:uiPriority w:val="9"/>
    <w:qFormat/>
    <w:rsid w:val="0014040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47C9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847C9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DE6137"/>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0405"/>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847C9B"/>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847C9B"/>
    <w:rPr>
      <w:rFonts w:asciiTheme="majorHAnsi" w:eastAsiaTheme="majorEastAsia" w:hAnsiTheme="majorHAnsi" w:cstheme="majorBidi"/>
      <w:color w:val="1F3763" w:themeColor="accent1" w:themeShade="7F"/>
      <w:sz w:val="24"/>
      <w:szCs w:val="24"/>
    </w:rPr>
  </w:style>
  <w:style w:type="character" w:styleId="CommentReference">
    <w:name w:val="annotation reference"/>
    <w:basedOn w:val="DefaultParagraphFont"/>
    <w:uiPriority w:val="99"/>
    <w:semiHidden/>
    <w:unhideWhenUsed/>
    <w:rsid w:val="00847C9B"/>
    <w:rPr>
      <w:sz w:val="16"/>
      <w:szCs w:val="16"/>
    </w:rPr>
  </w:style>
  <w:style w:type="paragraph" w:styleId="CommentText">
    <w:name w:val="annotation text"/>
    <w:basedOn w:val="Normal"/>
    <w:link w:val="CommentTextChar"/>
    <w:uiPriority w:val="99"/>
    <w:unhideWhenUsed/>
    <w:rsid w:val="00847C9B"/>
    <w:pPr>
      <w:spacing w:line="240" w:lineRule="auto"/>
    </w:pPr>
    <w:rPr>
      <w:sz w:val="20"/>
      <w:szCs w:val="20"/>
    </w:rPr>
  </w:style>
  <w:style w:type="character" w:customStyle="1" w:styleId="CommentTextChar">
    <w:name w:val="Comment Text Char"/>
    <w:basedOn w:val="DefaultParagraphFont"/>
    <w:link w:val="CommentText"/>
    <w:uiPriority w:val="99"/>
    <w:rsid w:val="00847C9B"/>
    <w:rPr>
      <w:sz w:val="20"/>
      <w:szCs w:val="20"/>
    </w:rPr>
  </w:style>
  <w:style w:type="paragraph" w:styleId="CommentSubject">
    <w:name w:val="annotation subject"/>
    <w:basedOn w:val="CommentText"/>
    <w:next w:val="CommentText"/>
    <w:link w:val="CommentSubjectChar"/>
    <w:uiPriority w:val="99"/>
    <w:semiHidden/>
    <w:unhideWhenUsed/>
    <w:rsid w:val="00847C9B"/>
    <w:rPr>
      <w:b/>
      <w:bCs/>
    </w:rPr>
  </w:style>
  <w:style w:type="character" w:customStyle="1" w:styleId="CommentSubjectChar">
    <w:name w:val="Comment Subject Char"/>
    <w:basedOn w:val="CommentTextChar"/>
    <w:link w:val="CommentSubject"/>
    <w:uiPriority w:val="99"/>
    <w:semiHidden/>
    <w:rsid w:val="00847C9B"/>
    <w:rPr>
      <w:b/>
      <w:bCs/>
      <w:sz w:val="20"/>
      <w:szCs w:val="20"/>
    </w:rPr>
  </w:style>
  <w:style w:type="character" w:styleId="PlaceholderText">
    <w:name w:val="Placeholder Text"/>
    <w:basedOn w:val="DefaultParagraphFont"/>
    <w:uiPriority w:val="99"/>
    <w:semiHidden/>
    <w:rsid w:val="00EB03A5"/>
    <w:rPr>
      <w:color w:val="808080"/>
    </w:rPr>
  </w:style>
  <w:style w:type="paragraph" w:styleId="Caption">
    <w:name w:val="caption"/>
    <w:basedOn w:val="Normal"/>
    <w:next w:val="Normal"/>
    <w:uiPriority w:val="35"/>
    <w:unhideWhenUsed/>
    <w:qFormat/>
    <w:rsid w:val="0019713C"/>
    <w:pPr>
      <w:spacing w:after="200" w:line="240" w:lineRule="auto"/>
    </w:pPr>
    <w:rPr>
      <w:i/>
      <w:iCs/>
      <w:color w:val="44546A" w:themeColor="text2"/>
      <w:sz w:val="18"/>
      <w:szCs w:val="18"/>
    </w:rPr>
  </w:style>
  <w:style w:type="character" w:customStyle="1" w:styleId="cf01">
    <w:name w:val="cf01"/>
    <w:basedOn w:val="DefaultParagraphFont"/>
    <w:rsid w:val="0019713C"/>
    <w:rPr>
      <w:rFonts w:ascii="Segoe UI" w:hAnsi="Segoe UI" w:cs="Segoe UI" w:hint="default"/>
      <w:sz w:val="18"/>
      <w:szCs w:val="18"/>
    </w:rPr>
  </w:style>
  <w:style w:type="paragraph" w:styleId="ListParagraph">
    <w:name w:val="List Paragraph"/>
    <w:basedOn w:val="Normal"/>
    <w:uiPriority w:val="34"/>
    <w:qFormat/>
    <w:rsid w:val="00AE3B86"/>
    <w:pPr>
      <w:ind w:left="720"/>
      <w:contextualSpacing/>
    </w:pPr>
  </w:style>
  <w:style w:type="character" w:customStyle="1" w:styleId="Heading4Char">
    <w:name w:val="Heading 4 Char"/>
    <w:basedOn w:val="DefaultParagraphFont"/>
    <w:link w:val="Heading4"/>
    <w:uiPriority w:val="9"/>
    <w:rsid w:val="00DE6137"/>
    <w:rPr>
      <w:rFonts w:asciiTheme="majorHAnsi" w:eastAsiaTheme="majorEastAsia" w:hAnsiTheme="majorHAnsi" w:cstheme="majorBidi"/>
      <w:i/>
      <w:iCs/>
      <w:color w:val="2F5496" w:themeColor="accent1" w:themeShade="BF"/>
    </w:rPr>
  </w:style>
  <w:style w:type="paragraph" w:styleId="NoSpacing">
    <w:name w:val="No Spacing"/>
    <w:uiPriority w:val="1"/>
    <w:qFormat/>
    <w:rsid w:val="00AF4FCD"/>
    <w:pPr>
      <w:spacing w:after="0" w:line="240" w:lineRule="auto"/>
    </w:pPr>
  </w:style>
  <w:style w:type="character" w:styleId="Hyperlink">
    <w:name w:val="Hyperlink"/>
    <w:basedOn w:val="DefaultParagraphFont"/>
    <w:uiPriority w:val="99"/>
    <w:unhideWhenUsed/>
    <w:rsid w:val="001B4062"/>
    <w:rPr>
      <w:color w:val="0563C1" w:themeColor="hyperlink"/>
      <w:u w:val="single"/>
    </w:rPr>
  </w:style>
  <w:style w:type="character" w:styleId="UnresolvedMention">
    <w:name w:val="Unresolved Mention"/>
    <w:basedOn w:val="DefaultParagraphFont"/>
    <w:uiPriority w:val="99"/>
    <w:semiHidden/>
    <w:unhideWhenUsed/>
    <w:rsid w:val="001B40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14840280">
      <w:bodyDiv w:val="1"/>
      <w:marLeft w:val="0"/>
      <w:marRight w:val="0"/>
      <w:marTop w:val="0"/>
      <w:marBottom w:val="0"/>
      <w:divBdr>
        <w:top w:val="none" w:sz="0" w:space="0" w:color="auto"/>
        <w:left w:val="none" w:sz="0" w:space="0" w:color="auto"/>
        <w:bottom w:val="none" w:sz="0" w:space="0" w:color="auto"/>
        <w:right w:val="none" w:sz="0" w:space="0" w:color="auto"/>
      </w:divBdr>
      <w:divsChild>
        <w:div w:id="1744404432">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comments.xml.rels><?xml version="1.0" encoding="UTF-8" standalone="yes"?>
<Relationships xmlns="http://schemas.openxmlformats.org/package/2006/relationships"><Relationship Id="rId1" Type="http://schemas.openxmlformats.org/officeDocument/2006/relationships/hyperlink" Target="https://www.sciencedirect.com/science/article/pii/S0304407620301901" TargetMode="External"/></Relationship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theme" Target="theme/theme1.xml"/><Relationship Id="rId3" Type="http://schemas.openxmlformats.org/officeDocument/2006/relationships/styles" Target="styles.xml"/><Relationship Id="rId7" Type="http://schemas.microsoft.com/office/2011/relationships/commentsExtended" Target="commentsExtended.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3A4E48-8D34-4A05-AC8C-9EF7E8F7A4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2076</TotalTime>
  <Pages>6</Pages>
  <Words>2012</Words>
  <Characters>11470</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 Griswold</dc:creator>
  <cp:keywords/>
  <dc:description/>
  <cp:lastModifiedBy>Max Griswold</cp:lastModifiedBy>
  <cp:revision>3</cp:revision>
  <dcterms:created xsi:type="dcterms:W3CDTF">2023-11-29T19:10:00Z</dcterms:created>
  <dcterms:modified xsi:type="dcterms:W3CDTF">2023-12-22T00:19:00Z</dcterms:modified>
</cp:coreProperties>
</file>