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A3C5E" w:color="auto" w:val="clear"/>
            <w:tcMar>
              <w:top w:type="dxa" w:w="283"/>
              <w:left w:type="dxa" w:w="396"/>
              <w:bottom w:type="dxa" w:w="283"/>
              <w:right w:type="dxa" w:w="396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7AABDB"/>
                <w:sz w:val="18"/>
                <w:szCs w:val="18"/>
              </w:rPr>
              <w:t xml:space="preserve">RANNIX Consulting  ·  IRP — IWOL Resource Planning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Renovación de Contratos — Procedimiento Interno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A8C4DC"/>
                <w:sz w:val="18"/>
                <w:szCs w:val="18"/>
              </w:rPr>
              <w:t xml:space="preserve">Plaza IWOL  ·  Inmobiliaria Alcedines del Norte  ·  Versión 1.0  ·  2026</w:t>
            </w:r>
          </w:p>
        </w:tc>
      </w:tr>
    </w:tbl>
    <w:p>
      <w:pPr>
        <w:spacing w:after="340" w:before="0"/>
      </w:pPr>
    </w:p>
    <w:tbl>
      <w:tblPr>
        <w:tblW w:type="pct" w:w="100%"/>
        <w:tblBorders>
          <w:top w:val="single" w:color="DDE5F0" w:sz="1"/>
          <w:left w:val="none"/>
          <w:bottom w:val="single" w:color="DDE5F0" w:sz="1"/>
          <w:right w:val="single" w:color="DDE5F0" w:sz="1"/>
          <w:insideH w:val="single" w:color="auto" w:sz="4"/>
          <w:insideV w:val="single" w:color="auto" w:sz="4"/>
        </w:tblBorders>
      </w:tblPr>
      <w:tblGrid>
        <w:gridCol w:w="793"/>
        <w:gridCol w:w="8220"/>
      </w:tblGrid>
      <w:tr>
        <w:tc>
          <w:tcPr>
            <w:tcW w:type="dxa" w:w="793"/>
            <w:shd w:fill="0A66C2" w:color="auto" w:val="clear"/>
            <w:tcMar>
              <w:top w:type="dxa" w:w="170"/>
              <w:left w:type="dxa" w:w="226"/>
              <w:bottom w:type="dxa" w:w="170"/>
              <w:right w:type="dxa" w:w="226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shd w:fill="EBF3FC" w:color="auto" w:val="clear"/>
            <w:tcMar>
              <w:top w:type="dxa" w:w="170"/>
              <w:left w:type="dxa" w:w="283"/>
              <w:bottom w:type="dxa" w:w="170"/>
              <w:right w:type="dxa" w:w="283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aps/>
                <w:color w:val="0A66C2"/>
                <w:sz w:val="16"/>
                <w:szCs w:val="16"/>
              </w:rPr>
              <w:t xml:space="preserve">Etapa 1 · Automático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3C5E"/>
                <w:sz w:val="26"/>
                <w:szCs w:val="26"/>
              </w:rPr>
              <w:t xml:space="preserve">Detección del vencimiento</w:t>
            </w:r>
          </w:p>
        </w:tc>
      </w:tr>
      <w:tr>
        <w:tc>
          <w:tcPr>
            <w:shd w:fill="0A66C2" w:color="auto" w:val="clear"/>
          </w:tcPr>
          <w:p/>
        </w:tc>
        <w:tc>
          <w:tcPr>
            <w:tcMar>
              <w:top w:type="dxa" w:w="226"/>
              <w:left w:type="dxa" w:w="283"/>
              <w:bottom w:type="dxa" w:w="226"/>
              <w:right w:type="dxa" w:w="283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B72"/>
                <w:sz w:val="20"/>
                <w:szCs w:val="20"/>
              </w:rPr>
              <w:t xml:space="preserve">IRP genera alerta 60 días antes del vencimiento. El contrato entra al panel Renovaciones con estatus EN RENOVACIÓN. Si el inquilino sigue pagando, el proceso aplica igual — la revisión documental protege ante problemas financieros no declarados.</w:t>
            </w:r>
          </w:p>
        </w:tc>
      </w:tr>
    </w:tbl>
    <w:p>
      <w:pPr>
        <w:spacing w:after="226" w:before="0"/>
      </w:pPr>
    </w:p>
    <w:tbl>
      <w:tblPr>
        <w:tblW w:type="pct" w:w="100%"/>
        <w:tblBorders>
          <w:top w:val="single" w:color="DDE5F0" w:sz="1"/>
          <w:left w:val="none"/>
          <w:bottom w:val="single" w:color="DDE5F0" w:sz="1"/>
          <w:right w:val="single" w:color="DDE5F0" w:sz="1"/>
          <w:insideH w:val="single" w:color="auto" w:sz="4"/>
          <w:insideV w:val="single" w:color="auto" w:sz="4"/>
        </w:tblBorders>
      </w:tblPr>
      <w:tblGrid>
        <w:gridCol w:w="793"/>
        <w:gridCol w:w="8220"/>
      </w:tblGrid>
      <w:tr>
        <w:tc>
          <w:tcPr>
            <w:tcW w:type="dxa" w:w="793"/>
            <w:shd w:fill="5B2D9E" w:color="auto" w:val="clear"/>
            <w:tcMar>
              <w:top w:type="dxa" w:w="170"/>
              <w:left w:type="dxa" w:w="226"/>
              <w:bottom w:type="dxa" w:w="170"/>
              <w:right w:type="dxa" w:w="226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shd w:fill="F2ECFB" w:color="auto" w:val="clear"/>
            <w:tcMar>
              <w:top w:type="dxa" w:w="170"/>
              <w:left w:type="dxa" w:w="283"/>
              <w:bottom w:type="dxa" w:w="170"/>
              <w:right w:type="dxa" w:w="283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aps/>
                <w:color w:val="5B2D9E"/>
                <w:sz w:val="16"/>
                <w:szCs w:val="16"/>
              </w:rPr>
              <w:t xml:space="preserve">Etapa 2 · Contacto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3C5E"/>
                <w:sz w:val="26"/>
                <w:szCs w:val="26"/>
              </w:rPr>
              <w:t xml:space="preserve">Solicitud de documentación actualizada</w:t>
            </w:r>
          </w:p>
        </w:tc>
      </w:tr>
      <w:tr>
        <w:tc>
          <w:tcPr>
            <w:shd w:fill="5B2D9E" w:color="auto" w:val="clear"/>
          </w:tcPr>
          <w:p/>
        </w:tc>
        <w:tc>
          <w:tcPr>
            <w:tcMar>
              <w:top w:type="dxa" w:w="226"/>
              <w:left w:type="dxa" w:w="283"/>
              <w:bottom w:type="dxa" w:w="226"/>
              <w:right w:type="dxa" w:w="283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4A5B72"/>
                <w:sz w:val="20"/>
                <w:szCs w:val="20"/>
              </w:rPr>
              <w:t xml:space="preserve">Se notifica al inquilino y se envía listado de documentos requeridos. Puede subirlos desde el portal con su enlace personal (Magic Link) o entregarlos físicamente.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Documentos requeridos:</w:t>
            </w:r>
          </w:p>
          <w:p>
            <w:pPr>
              <w:spacing w:after="40"/>
              <w:ind w:left="226"/>
            </w:pPr>
            <w:r>
              <w:rPr>
                <w:rFonts w:ascii="Arial" w:cs="Arial" w:eastAsia="Arial" w:hAnsi="Arial"/>
                <w:color w:val="4A5B72"/>
                <w:sz w:val="20"/>
                <w:szCs w:val="20"/>
              </w:rPr>
              <w:t xml:space="preserve">• Credencial vigente (INE)</w:t>
            </w:r>
          </w:p>
          <w:p>
            <w:pPr>
              <w:spacing w:after="40"/>
              <w:ind w:left="226"/>
            </w:pPr>
            <w:r>
              <w:rPr>
                <w:rFonts w:ascii="Arial" w:cs="Arial" w:eastAsia="Arial" w:hAnsi="Arial"/>
                <w:color w:val="4A5B72"/>
                <w:sz w:val="20"/>
                <w:szCs w:val="20"/>
              </w:rPr>
              <w:t xml:space="preserve">• Comprobante de domicilio</w:t>
            </w:r>
          </w:p>
          <w:p>
            <w:pPr>
              <w:spacing w:after="40"/>
              <w:ind w:left="226"/>
            </w:pPr>
            <w:r>
              <w:rPr>
                <w:rFonts w:ascii="Arial" w:cs="Arial" w:eastAsia="Arial" w:hAnsi="Arial"/>
                <w:color w:val="4A5B72"/>
                <w:sz w:val="20"/>
                <w:szCs w:val="20"/>
              </w:rPr>
              <w:t xml:space="preserve">• Documentación del aval / fiador</w:t>
            </w:r>
          </w:p>
          <w:p>
            <w:pPr>
              <w:spacing w:after="40"/>
              <w:ind w:left="226"/>
            </w:pPr>
            <w:r>
              <w:rPr>
                <w:rFonts w:ascii="Arial" w:cs="Arial" w:eastAsia="Arial" w:hAnsi="Arial"/>
                <w:color w:val="4A5B72"/>
                <w:sz w:val="20"/>
                <w:szCs w:val="20"/>
              </w:rPr>
              <w:t xml:space="preserve">• Comprobante de ingresos (estados de cuenta, nómina, etc.)</w:t>
            </w:r>
          </w:p>
          <w:p>
            <w:pPr>
              <w:spacing w:after="40"/>
              <w:ind w:left="226"/>
            </w:pPr>
            <w:r>
              <w:rPr>
                <w:rFonts w:ascii="Arial" w:cs="Arial" w:eastAsia="Arial" w:hAnsi="Arial"/>
                <w:color w:val="4A5B72"/>
                <w:sz w:val="20"/>
                <w:szCs w:val="20"/>
              </w:rPr>
              <w:t xml:space="preserve">• Esquela o carta de referencia</w:t>
            </w:r>
          </w:p>
        </w:tc>
      </w:tr>
    </w:tbl>
    <w:p>
      <w:pPr>
        <w:spacing w:after="226" w:before="0"/>
      </w:pPr>
    </w:p>
    <w:tbl>
      <w:tblPr>
        <w:tblW w:type="pct" w:w="100%"/>
        <w:tblBorders>
          <w:top w:val="single" w:color="DDE5F0" w:sz="1"/>
          <w:left w:val="none"/>
          <w:bottom w:val="single" w:color="DDE5F0" w:sz="1"/>
          <w:right w:val="single" w:color="DDE5F0" w:sz="1"/>
          <w:insideH w:val="single" w:color="auto" w:sz="4"/>
          <w:insideV w:val="single" w:color="auto" w:sz="4"/>
        </w:tblBorders>
      </w:tblPr>
      <w:tblGrid>
        <w:gridCol w:w="793"/>
        <w:gridCol w:w="8220"/>
      </w:tblGrid>
      <w:tr>
        <w:tc>
          <w:tcPr>
            <w:tcW w:type="dxa" w:w="793"/>
            <w:shd w:fill="C8881A" w:color="auto" w:val="clear"/>
            <w:tcMar>
              <w:top w:type="dxa" w:w="170"/>
              <w:left w:type="dxa" w:w="226"/>
              <w:bottom w:type="dxa" w:w="170"/>
              <w:right w:type="dxa" w:w="226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shd w:fill="FDF5E6" w:color="auto" w:val="clear"/>
            <w:tcMar>
              <w:top w:type="dxa" w:w="170"/>
              <w:left w:type="dxa" w:w="283"/>
              <w:bottom w:type="dxa" w:w="170"/>
              <w:right w:type="dxa" w:w="283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aps/>
                <w:color w:val="C8881A"/>
                <w:sz w:val="16"/>
                <w:szCs w:val="16"/>
              </w:rPr>
              <w:t xml:space="preserve">Etapa 3 · Revisión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3C5E"/>
                <w:sz w:val="26"/>
                <w:szCs w:val="26"/>
              </w:rPr>
              <w:t xml:space="preserve">Recepción y verificación del expediente</w:t>
            </w:r>
          </w:p>
        </w:tc>
      </w:tr>
      <w:tr>
        <w:tc>
          <w:tcPr>
            <w:shd w:fill="C8881A" w:color="auto" w:val="clear"/>
          </w:tcPr>
          <w:p/>
        </w:tc>
        <w:tc>
          <w:tcPr>
            <w:tcMar>
              <w:top w:type="dxa" w:w="226"/>
              <w:left w:type="dxa" w:w="283"/>
              <w:bottom w:type="dxa" w:w="226"/>
              <w:right w:type="dxa" w:w="283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B72"/>
                <w:sz w:val="20"/>
                <w:szCs w:val="20"/>
              </w:rPr>
              <w:t xml:space="preserve">Admin verifica que todos los documentos estén presentes, vigentes y legibles. El sistema muestra semáforo por documento. No se avanza hasta tener el expediente completo.</w:t>
            </w:r>
          </w:p>
          <w:p>
            <w:pPr>
              <w:spacing w:after="80"/>
            </w:pPr>
          </w:p>
          <w:p>
            <w:pPr>
              <w:spacing w:after="60"/>
              <w:ind w:left="226"/>
            </w:pPr>
            <w:r>
              <w:rPr>
                <w:rFonts w:ascii="Arial" w:cs="Arial" w:eastAsia="Arial" w:hAnsi="Arial"/>
                <w:color w:val="057642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b/>
                <w:bCs/>
                <w:color w:val="057642"/>
                <w:sz w:val="18"/>
                <w:szCs w:val="18"/>
              </w:rPr>
              <w:t xml:space="preserve">Completo — continúa al siguiente paso</w:t>
            </w:r>
          </w:p>
          <w:p>
            <w:pPr>
              <w:spacing w:after="60"/>
              <w:ind w:left="226"/>
            </w:pPr>
            <w:r>
              <w:rPr>
                <w:rFonts w:ascii="Arial" w:cs="Arial" w:eastAsia="Arial" w:hAnsi="Arial"/>
                <w:color w:val="C8881A"/>
                <w:sz w:val="18"/>
                <w:szCs w:val="18"/>
              </w:rPr>
              <w:t xml:space="preserve">⚠  </w:t>
            </w:r>
            <w:r>
              <w:rPr>
                <w:rFonts w:ascii="Arial" w:cs="Arial" w:eastAsia="Arial" w:hAnsi="Arial"/>
                <w:b/>
                <w:bCs/>
                <w:color w:val="C8881A"/>
                <w:sz w:val="18"/>
                <w:szCs w:val="18"/>
              </w:rPr>
              <w:t xml:space="preserve">Pendiente — se solicita nuevamente</w:t>
            </w:r>
          </w:p>
          <w:p>
            <w:pPr>
              <w:spacing w:after="60"/>
              <w:ind w:left="226"/>
            </w:pPr>
            <w:r>
              <w:rPr>
                <w:rFonts w:ascii="Arial" w:cs="Arial" w:eastAsia="Arial" w:hAnsi="Arial"/>
                <w:color w:val="A02820"/>
                <w:sz w:val="18"/>
                <w:szCs w:val="18"/>
              </w:rPr>
              <w:t xml:space="preserve">✗  </w:t>
            </w:r>
            <w:r>
              <w:rPr>
                <w:rFonts w:ascii="Arial" w:cs="Arial" w:eastAsia="Arial" w:hAnsi="Arial"/>
                <w:b/>
                <w:bCs/>
                <w:color w:val="A02820"/>
                <w:sz w:val="18"/>
                <w:szCs w:val="18"/>
              </w:rPr>
              <w:t xml:space="preserve">Faltante — proceso bloqueado</w:t>
            </w:r>
          </w:p>
        </w:tc>
      </w:tr>
    </w:tbl>
    <w:p>
      <w:pPr>
        <w:spacing w:after="226" w:before="0"/>
      </w:pPr>
    </w:p>
    <w:tbl>
      <w:tblPr>
        <w:tblW w:type="pct" w:w="100%"/>
        <w:tblBorders>
          <w:top w:val="single" w:color="DDE5F0" w:sz="1"/>
          <w:left w:val="none"/>
          <w:bottom w:val="single" w:color="DDE5F0" w:sz="1"/>
          <w:right w:val="single" w:color="DDE5F0" w:sz="1"/>
          <w:insideH w:val="single" w:color="auto" w:sz="4"/>
          <w:insideV w:val="single" w:color="auto" w:sz="4"/>
        </w:tblBorders>
      </w:tblPr>
      <w:tblGrid>
        <w:gridCol w:w="793"/>
        <w:gridCol w:w="8220"/>
      </w:tblGrid>
      <w:tr>
        <w:tc>
          <w:tcPr>
            <w:tcW w:type="dxa" w:w="793"/>
            <w:shd w:fill="A02820" w:color="auto" w:val="clear"/>
            <w:tcMar>
              <w:top w:type="dxa" w:w="170"/>
              <w:left w:type="dxa" w:w="226"/>
              <w:bottom w:type="dxa" w:w="170"/>
              <w:right w:type="dxa" w:w="226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shd w:fill="FAECEA" w:color="auto" w:val="clear"/>
            <w:tcMar>
              <w:top w:type="dxa" w:w="170"/>
              <w:left w:type="dxa" w:w="283"/>
              <w:bottom w:type="dxa" w:w="170"/>
              <w:right w:type="dxa" w:w="283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aps/>
                <w:color w:val="A02820"/>
                <w:sz w:val="16"/>
                <w:szCs w:val="16"/>
              </w:rPr>
              <w:t xml:space="preserve">Etapa 4 · Investigación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3C5E"/>
                <w:sz w:val="26"/>
                <w:szCs w:val="26"/>
              </w:rPr>
              <w:t xml:space="preserve">Validación y análisis de riesgo</w:t>
            </w:r>
          </w:p>
        </w:tc>
      </w:tr>
      <w:tr>
        <w:tc>
          <w:tcPr>
            <w:shd w:fill="A02820" w:color="auto" w:val="clear"/>
          </w:tcPr>
          <w:p/>
        </w:tc>
        <w:tc>
          <w:tcPr>
            <w:tcMar>
              <w:top w:type="dxa" w:w="226"/>
              <w:left w:type="dxa" w:w="283"/>
              <w:bottom w:type="dxa" w:w="226"/>
              <w:right w:type="dxa" w:w="283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B72"/>
                <w:sz w:val="20"/>
                <w:szCs w:val="20"/>
              </w:rPr>
              <w:t xml:space="preserve">Revisión interna del expediente. Se envía al despacho jurídico cuando aplique. Visita física para confirmar domicilio del inquilino y del aval. Los estados de cuenta revelan problemas financieros que no se declaran voluntariamente.</w:t>
            </w:r>
          </w:p>
          <w:p>
            <w:pPr>
              <w:spacing w:after="80"/>
            </w:pPr>
          </w:p>
          <w:p>
            <w:pPr>
              <w:spacing w:after="60"/>
              <w:ind w:left="226"/>
            </w:pPr>
            <w:r>
              <w:rPr>
                <w:rFonts w:ascii="Arial" w:cs="Arial" w:eastAsia="Arial" w:hAnsi="Arial"/>
                <w:color w:val="057642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b/>
                <w:bCs/>
                <w:color w:val="057642"/>
                <w:sz w:val="18"/>
                <w:szCs w:val="18"/>
              </w:rPr>
              <w:t xml:space="preserve">Sin observaciones — continúa</w:t>
            </w:r>
          </w:p>
          <w:p>
            <w:pPr>
              <w:spacing w:after="60"/>
              <w:ind w:left="226"/>
            </w:pPr>
            <w:r>
              <w:rPr>
                <w:rFonts w:ascii="Arial" w:cs="Arial" w:eastAsia="Arial" w:hAnsi="Arial"/>
                <w:color w:val="A02820"/>
                <w:sz w:val="18"/>
                <w:szCs w:val="18"/>
              </w:rPr>
              <w:t xml:space="preserve">✗  </w:t>
            </w:r>
            <w:r>
              <w:rPr>
                <w:rFonts w:ascii="Arial" w:cs="Arial" w:eastAsia="Arial" w:hAnsi="Arial"/>
                <w:b/>
                <w:bCs/>
                <w:color w:val="A02820"/>
                <w:sz w:val="18"/>
                <w:szCs w:val="18"/>
              </w:rPr>
              <w:t xml:space="preserve">Riesgo detectado — renegociar o rechazar renovación</w:t>
            </w:r>
          </w:p>
        </w:tc>
      </w:tr>
    </w:tbl>
    <w:p>
      <w:pPr>
        <w:spacing w:after="226" w:before="0"/>
      </w:pPr>
    </w:p>
    <w:tbl>
      <w:tblPr>
        <w:tblW w:type="pct" w:w="100%"/>
        <w:tblBorders>
          <w:top w:val="single" w:color="DDE5F0" w:sz="1"/>
          <w:left w:val="none"/>
          <w:bottom w:val="single" w:color="DDE5F0" w:sz="1"/>
          <w:right w:val="single" w:color="DDE5F0" w:sz="1"/>
          <w:insideH w:val="single" w:color="auto" w:sz="4"/>
          <w:insideV w:val="single" w:color="auto" w:sz="4"/>
        </w:tblBorders>
      </w:tblPr>
      <w:tblGrid>
        <w:gridCol w:w="793"/>
        <w:gridCol w:w="8220"/>
      </w:tblGrid>
      <w:tr>
        <w:tc>
          <w:tcPr>
            <w:tcW w:type="dxa" w:w="793"/>
            <w:shd w:fill="057642" w:color="auto" w:val="clear"/>
            <w:tcMar>
              <w:top w:type="dxa" w:w="170"/>
              <w:left w:type="dxa" w:w="226"/>
              <w:bottom w:type="dxa" w:w="170"/>
              <w:right w:type="dxa" w:w="226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shd w:fill="EBF7F1" w:color="auto" w:val="clear"/>
            <w:tcMar>
              <w:top w:type="dxa" w:w="170"/>
              <w:left w:type="dxa" w:w="283"/>
              <w:bottom w:type="dxa" w:w="170"/>
              <w:right w:type="dxa" w:w="283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aps/>
                <w:color w:val="057642"/>
                <w:sz w:val="16"/>
                <w:szCs w:val="16"/>
              </w:rPr>
              <w:t xml:space="preserve">Etapa 5 · Cierre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3C5E"/>
                <w:sz w:val="26"/>
                <w:szCs w:val="26"/>
              </w:rPr>
              <w:t xml:space="preserve">Elaboración y firma del contrato</w:t>
            </w:r>
          </w:p>
        </w:tc>
      </w:tr>
      <w:tr>
        <w:tc>
          <w:tcPr>
            <w:shd w:fill="057642" w:color="auto" w:val="clear"/>
          </w:tcPr>
          <w:p/>
        </w:tc>
        <w:tc>
          <w:tcPr>
            <w:tcMar>
              <w:top w:type="dxa" w:w="226"/>
              <w:left w:type="dxa" w:w="283"/>
              <w:bottom w:type="dxa" w:w="226"/>
              <w:right w:type="dxa" w:w="283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5B72"/>
                <w:sz w:val="20"/>
                <w:szCs w:val="20"/>
              </w:rPr>
              <w:t xml:space="preserve">Con el expediente aprobado, IRP genera el nuevo contrato con las condiciones acordadas: renta, depósito, plazo, pagarés. Se firma, se adjunta el PDF al sistema y el contrato anterior queda marcado como TERMINADO.</w:t>
            </w:r>
          </w:p>
        </w:tc>
      </w:tr>
    </w:tbl>
    <w:p>
      <w:pPr>
        <w:spacing w:after="340" w:before="0"/>
      </w:pPr>
    </w:p>
    <w:tbl>
      <w:tblPr>
        <w:tblW w:type="pct" w:w="100%"/>
        <w:tblBorders>
          <w:top w:val="single" w:color="057642" w:sz="4"/>
          <w:left w:val="single" w:color="057642" w:sz="4"/>
          <w:bottom w:val="single" w:color="057642" w:sz="4"/>
          <w:right w:val="single" w:color="057642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BF7F1" w:color="auto" w:val="clear"/>
            <w:tcMar>
              <w:top w:type="dxa" w:w="283"/>
              <w:left w:type="dxa" w:w="396"/>
              <w:bottom w:type="dxa" w:w="283"/>
              <w:right w:type="dxa" w:w="396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57642"/>
                <w:sz w:val="26"/>
                <w:szCs w:val="26"/>
              </w:rPr>
              <w:t xml:space="preserve">✓  Contrato Renovado — EN EJECUCIÓN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064E3B"/>
                <w:sz w:val="20"/>
                <w:szCs w:val="20"/>
              </w:rPr>
              <w:t xml:space="preserve">Sale del panel Renovaciones. El nuevo contrato entra como VIGENTE. La cobranza automática reinicia el día 1 del nuevo período. El expediente actualizado queda archivado con historial completo en IRP.</w:t>
            </w:r>
          </w:p>
        </w:tc>
      </w:tr>
    </w:tbl>
    <w:p>
      <w:pPr>
        <w:spacing w:after="340" w:before="0"/>
      </w:pPr>
    </w:p>
    <w:p>
      <w:pPr>
        <w:spacing w:after="80"/>
      </w:pPr>
      <w:r>
        <w:rPr>
          <w:rFonts w:ascii="Arial" w:cs="Arial" w:eastAsia="Arial" w:hAnsi="Arial"/>
          <w:b/>
          <w:bCs/>
          <w:caps/>
          <w:color w:val="4A5B72"/>
          <w:sz w:val="18"/>
          <w:szCs w:val="18"/>
        </w:rPr>
        <w:t xml:space="preserve">CONSIDERACIONES</w:t>
      </w:r>
    </w:p>
    <w:tbl>
      <w:tblPr>
        <w:tblW w:type="pct" w:w="100%"/>
        <w:tblBorders>
          <w:top w:val="single" w:color="DDE5F0" w:sz="1"/>
          <w:left w:val="single" w:color="DDE5F0" w:sz="1"/>
          <w:bottom w:val="single" w:color="DDE5F0" w:sz="1"/>
          <w:right w:val="single" w:color="DDE5F0" w:sz="1"/>
          <w:insideH w:val="single" w:color="auto" w:sz="4"/>
          <w:insideV w:val="single" w:color="auto" w:sz="4"/>
        </w:tblBorders>
      </w:tblPr>
      <w:tblGrid>
        <w:gridCol w:w="4535"/>
        <w:gridCol w:w="4478"/>
      </w:tblGrid>
      <w:tr>
        <w:tc>
          <w:tcPr>
            <w:shd w:fill="F5F7FA" w:color="auto" w:val="clear"/>
            <w:tcMar>
              <w:top w:type="dxa" w:w="226"/>
              <w:left w:type="dxa" w:w="283"/>
              <w:bottom w:type="dxa" w:w="226"/>
              <w:right w:type="dxa" w:w="283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aps/>
                <w:color w:val="4A5B72"/>
                <w:sz w:val="16"/>
                <w:szCs w:val="16"/>
              </w:rPr>
              <w:t xml:space="preserve">INQUILINOS CON HISTORIAL CUMPLIDO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4A5B72"/>
                <w:sz w:val="18"/>
                <w:szCs w:val="18"/>
              </w:rPr>
              <w:t xml:space="preserve">El proceso aplica igual, pero la revisión puede ser más ágil. El historial de pagos en IRP respalda la decisión. Aun así la documentación se actualiza: un problema financiero actual no siempre se refleja en el historial pasado.</w:t>
            </w:r>
          </w:p>
        </w:tc>
        <w:tc>
          <w:tcPr>
            <w:shd w:fill="F5F7FA" w:color="auto" w:val="clear"/>
            <w:tcMar>
              <w:top w:type="dxa" w:w="226"/>
              <w:left w:type="dxa" w:w="283"/>
              <w:bottom w:type="dxa" w:w="226"/>
              <w:right w:type="dxa" w:w="283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aps/>
                <w:color w:val="4A5B72"/>
                <w:sz w:val="16"/>
                <w:szCs w:val="16"/>
              </w:rPr>
              <w:t xml:space="preserve">DESPACHO JURÍDICO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4A5B72"/>
                <w:sz w:val="18"/>
                <w:szCs w:val="18"/>
              </w:rPr>
              <w:t xml:space="preserve">IRP genera el PDF del expediente completo listo para enviar al despacho. La validación legal y los contratos se elaboran internamente. El despacho interviene ante situaciones de riesgo o cláusulas especiales.</w:t>
            </w:r>
          </w:p>
        </w:tc>
      </w:tr>
    </w:tbl>
    <w:p>
      <w:pPr>
        <w:spacing w:after="340" w:before="0"/>
      </w:pPr>
    </w:p>
    <w:p>
      <w:pPr>
        <w:jc w:val="center"/>
      </w:pPr>
      <w:r>
        <w:rPr>
          <w:rFonts w:ascii="Arial" w:cs="Arial" w:eastAsia="Arial" w:hAnsi="Arial"/>
          <w:color w:val="AABBCC"/>
          <w:sz w:val="16"/>
          <w:szCs w:val="16"/>
        </w:rPr>
        <w:t xml:space="preserve">IRP · RANNIX Consulting · v1.0 · 2026  —  Uso interno · Plaza IWOL</w:t>
      </w:r>
    </w:p>
    <w:sectPr>
      <w:pgSz w:w="11906" w:h="16838" w:orient="portrait"/>
      <w:pgMar w:top="1020" w:right="1020" w:bottom="102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2026-08-21T23:02:01.372Z</dcterms:created>
  <dcterms:modified xsi:type="dcterms:W3CDTF">2026-08-21T23:02:01.375Z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