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df" ContentType="application/pdf"/>
  <Override PartName="/word/media/rId30.pdf" ContentType="application/pdf"/>
  <Override PartName="/word/media/rId29.pdf" ContentType="application/pdf"/>
  <Override PartName="/word/media/rId32.pdf" ContentType="application/pdf"/>
  <Override PartName="/word/media/rId31.pdf" ContentType="application/pdf"/>
  <Override PartName="/word/media/rId94.pdf" ContentType="application/pdf"/>
  <Override PartName="/word/media/rId95.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Nicole Rodríguez</w:t>
      </w:r>
      <w:r>
        <w:rPr>
          <w:vertAlign w:val="superscript"/>
        </w:rPr>
        <w:t xml:space="preserve">2</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Nicole Rodríguez: Writing - Review &amp; Editing; Juan José Garrido Pozú: Writing - Review &amp; Editing; Kyle Parrish: Writing - Review &amp; Editing; Laura Fernández Arroyo: Writing - Review &amp; Editing; Robert Esposito: Writing - Review &amp; Editing; Isabelle Chang: Writing - Review &amp; Editing; Kimberly Gómez: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It is common for L2 learners to struggle with L2 intonation, often resulting</w:t>
      </w:r>
      <w:r>
        <w:t xml:space="preserve"> </w:t>
      </w:r>
      <w:r>
        <w:t xml:space="preserve">in comprehension and communication difficulties</w:t>
      </w:r>
      <w:r>
        <w:t xml:space="preserve"> </w:t>
      </w:r>
      <w:r>
        <w:t xml:space="preserve">(Trofimovich &amp; Baker, 2006)</w:t>
      </w:r>
      <w:r>
        <w:t xml:space="preserve">.</w:t>
      </w:r>
      <w:r>
        <w:t xml:space="preserve"> </w:t>
      </w:r>
      <w:r>
        <w:t xml:space="preserve">Previous research attests that learners gradually acquire target-language</w:t>
      </w:r>
      <w:r>
        <w:t xml:space="preserve"> </w:t>
      </w:r>
      <w:r>
        <w:t xml:space="preserve">prosody as they gain proficiency in the language.</w:t>
      </w:r>
      <w:r>
        <w:t xml:space="preserve"> </w:t>
      </w:r>
      <w:r>
        <w:t xml:space="preserve">Concretely, the perception and processing of L2 intonation has been shown to</w:t>
      </w:r>
      <w:r>
        <w:t xml:space="preserve"> </w:t>
      </w:r>
      <w:r>
        <w:t xml:space="preserve">improve in conjunction with proficiency conditional on intonation type</w:t>
      </w:r>
      <w:r>
        <w:t xml:space="preserve"> </w:t>
      </w:r>
      <w:r>
        <w:t xml:space="preserve">(Brandl, González, &amp; Bustin, 2020)</w:t>
      </w:r>
      <w:r>
        <w:t xml:space="preserve">, with polar (</w:t>
      </w:r>
      <w:r>
        <w:t xml:space="preserve">‘</w:t>
      </w:r>
      <w:r>
        <w:t xml:space="preserve">yes/no</w:t>
      </w:r>
      <w:r>
        <w:t xml:space="preserve">’</w:t>
      </w:r>
      <w:r>
        <w:t xml:space="preserve">) interrogatives being more difficult</w:t>
      </w:r>
      <w:r>
        <w:t xml:space="preserve"> </w:t>
      </w:r>
      <w:r>
        <w:t xml:space="preserve">to process and acquire when compared with simple statements.</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Importantly, higher empathy individuals, in comparison with lower empathy</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N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The stimuli were randomly drawn tokens of declarative (broad, narrow focus)</w:t>
      </w:r>
      <w:r>
        <w:t xml:space="preserve"> </w:t>
      </w:r>
      <w:r>
        <w:t xml:space="preserve">and interrogative (polar, wh-) sentences, spoken by native speakers of eight</w:t>
      </w:r>
      <w:r>
        <w:t xml:space="preserve"> </w:t>
      </w:r>
      <w:r>
        <w:t xml:space="preserve">distinct varieties of Spanish (Andalusian, Argentine, Castilian, Chilean,</w:t>
      </w:r>
      <w:r>
        <w:t xml:space="preserve"> </w:t>
      </w:r>
      <w:r>
        <w:t xml:space="preserve">Cuban, Mexican, Peruvian, Puerto Rican).</w:t>
      </w:r>
      <w:r>
        <w:t xml:space="preserve"> </w:t>
      </w:r>
      <w:r>
        <w:t xml:space="preserve">The stimuli were presented aurally to the participants and subsequently</w:t>
      </w:r>
      <w:r>
        <w:t xml:space="preserve"> </w:t>
      </w:r>
      <w:r>
        <w:t xml:space="preserve">identified as questions or statements using a keyboard.</w:t>
      </w:r>
      <w:r>
        <w:t xml:space="preserve"> </w:t>
      </w:r>
      <w:r>
        <w:t xml:space="preserve">Additionally, participants completed the LexTALE vocabulary task in Spanish</w:t>
      </w:r>
      <w:r>
        <w:t xml:space="preserve"> </w:t>
      </w:r>
      <w:r>
        <w:t xml:space="preserve">(Izura, Cuetos, &amp; Brysbaert, 2014)</w:t>
      </w:r>
      <w:r>
        <w:t xml:space="preserve">, which served as a proxy for L2 proficiency, as well as</w:t>
      </w:r>
      <w:r>
        <w:t xml:space="preserve"> </w:t>
      </w:r>
      <w:r>
        <w:t xml:space="preserve">the Empathy Quotient questionnaire in English</w:t>
      </w:r>
      <w:r>
        <w:t xml:space="preserve"> </w:t>
      </w:r>
      <w:r>
        <w:t xml:space="preserve">(Baron-Cohen &amp; Wheelwright, 2004)</w:t>
      </w:r>
      <w:r>
        <w:t xml:space="preserve">, which</w:t>
      </w:r>
      <w:r>
        <w:t xml:space="preserve"> </w:t>
      </w:r>
      <w:r>
        <w:t xml:space="preserve">provided an individual assessment of the construct empathy.</w:t>
      </w:r>
      <w:r>
        <w:t xml:space="preserve"> </w:t>
      </w:r>
      <w:r>
        <w:t xml:space="preserve">We used Bayesian multilevel regression and Drift Diffusion models to analyze</w:t>
      </w:r>
      <w:r>
        <w:t xml:space="preserve"> </w:t>
      </w:r>
      <w:r>
        <w:t xml:space="preserve">the 2AFC data as a function of proficiency and empathy scores.</w:t>
      </w:r>
      <w:r>
        <w:t xml:space="preserve"> </w:t>
      </w:r>
      <w:r>
        <w:t xml:space="preserve">Proficiency and empathy were used as continuous predictors to assess their</w:t>
      </w:r>
      <w:r>
        <w:t xml:space="preserve"> </w:t>
      </w:r>
      <w:r>
        <w:t xml:space="preserve">relationship with pragmatic skill.</w:t>
      </w:r>
      <w:r>
        <w:t xml:space="preserve"> </w:t>
      </w:r>
      <w:r>
        <w:t xml:space="preserve">The results replicated findings from</w:t>
      </w:r>
      <w:r>
        <w:t xml:space="preserve"> </w:t>
      </w:r>
      <w:r>
        <w:t xml:space="preserve">Brandl et al. (2020)</w:t>
      </w:r>
      <w:r>
        <w:t xml:space="preserve"> </w:t>
      </w:r>
      <w:r>
        <w:t xml:space="preserve">showing that learner</w:t>
      </w:r>
      <w:r>
        <w:t xml:space="preserve"> </w:t>
      </w:r>
      <w:r>
        <w:t xml:space="preserve">response accuracy improved as a function of proficiency for all utterance</w:t>
      </w:r>
      <w:r>
        <w:t xml:space="preserve"> </w:t>
      </w:r>
      <w:r>
        <w:t xml:space="preserve">types.</w:t>
      </w:r>
      <w:r>
        <w:t xml:space="preserve"> </w:t>
      </w:r>
      <w:r>
        <w:t xml:space="preserve">Importantly, higher empathy scores were positively correlated with higher</w:t>
      </w:r>
      <w:r>
        <w:t xml:space="preserve"> </w:t>
      </w:r>
      <w:r>
        <w:t xml:space="preserve">accuracy in identifying polar interrogatives.</w:t>
      </w:r>
      <w:r>
        <w:t xml:space="preserve"> </w:t>
      </w:r>
      <w:r>
        <w:t xml:space="preserve">As is the case with L1 research, the present project underscores the</w:t>
      </w:r>
      <w:r>
        <w:t xml:space="preserve"> </w:t>
      </w:r>
      <w:r>
        <w:t xml:space="preserve">importance of considering individual pragmatic differences when examining</w:t>
      </w:r>
      <w:r>
        <w:t xml:space="preserve"> </w:t>
      </w:r>
      <w:r>
        <w:t xml:space="preserve">intonational meaning processing and sentence comprehension in an L2.</w:t>
      </w:r>
      <w:r>
        <w:t xml:space="preserve"> </w:t>
      </w:r>
      <w:r>
        <w:t xml:space="preserve">More notably, the results also motivate the inclusion of measures of</w:t>
      </w:r>
      <w:r>
        <w:t xml:space="preserve"> </w:t>
      </w:r>
      <w:r>
        <w:t xml:space="preserve">pragmatic skill, such as empathy, as predictors for L2 acquisition outcomes.</w:t>
      </w:r>
      <w:r>
        <w:t xml:space="preserve"> </w:t>
      </w:r>
      <w:r>
        <w:t xml:space="preserve">Furthermore, these findings highlight an area in which models of L2</w:t>
      </w:r>
      <w:r>
        <w:t xml:space="preserve"> </w:t>
      </w:r>
      <w:r>
        <w:t xml:space="preserve">development can improve in order to better account for individual</w:t>
      </w:r>
      <w:r>
        <w:t xml:space="preserve"> </w:t>
      </w:r>
      <w:r>
        <w:t xml:space="preserve">differences in L2 learning.</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syntactic constituency), but also pragmatic information</w:t>
      </w:r>
      <w:r>
        <w:t xml:space="preserve"> </w:t>
      </w:r>
      <w:r>
        <w:t xml:space="preserve">(e.g., polite discourse Astruc, Vanrell, &amp; Prieto, 2016; bias, or presupposition 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increasing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our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As alluded to above, intonation has a semantic function, and through the adequate cognitive decoding of intonation a listener can interpret the function of a given utterance.</w:t>
      </w:r>
      <w:r>
        <w:t xml:space="preserve"> </w:t>
      </w:r>
      <w:r>
        <w:t xml:space="preserve">For example, the intonational contour can indicate whether a speakers’ utterance is declarative or interrogative in nature.</w:t>
      </w:r>
      <w:r>
        <w:t xml:space="preserve"> </w:t>
      </w:r>
      <w:r>
        <w:t xml:space="preserve">Additionally, through prosody a speaker can signal various additional pragmatic functions, such as when they present polite discourse</w:t>
      </w:r>
      <w:r>
        <w:t xml:space="preserve"> </w:t>
      </w:r>
      <w:r>
        <w:t xml:space="preserve">(Astruc et al., 2016)</w:t>
      </w:r>
      <w:r>
        <w:t xml:space="preserve">, bias or presupposition</w:t>
      </w:r>
      <w:r>
        <w:t xml:space="preserve"> </w:t>
      </w:r>
      <w:r>
        <w:t xml:space="preserve">(Henriksen et al., 2016)</w:t>
      </w:r>
      <w:r>
        <w:t xml:space="preserve">.</w:t>
      </w:r>
      <w:r>
        <w:t xml:space="preserve"> </w:t>
      </w:r>
      <w:r>
        <w:t xml:space="preserve">One essential aspect of speech comprehension is that in the presence of the same linguistic elements, listeners can arrive at different interpretations of the message</w:t>
      </w:r>
      <w:r>
        <w:t xml:space="preserve"> </w:t>
      </w:r>
      <w:r>
        <w:t xml:space="preserve">(e.g., Cain et al., 2004)</w:t>
      </w:r>
      <w:r>
        <w:t xml:space="preserve">.</w:t>
      </w:r>
    </w:p>
    <w:p>
      <w:pPr>
        <w:pStyle w:val="Textkrper"/>
      </w:pPr>
      <w:r>
        <w:t xml:space="preserve">Unsurprisingly, interpreting and decoding the numerous functions of intonational contours in an L2 makes this aspect of speech comprehension particularly challenging for the learner.</w:t>
      </w:r>
      <w:r>
        <w:t xml:space="preserve"> </w:t>
      </w:r>
      <w:r>
        <w:t xml:space="preserve">Traditionally, intonation is not taught in the L2 classroom.</w:t>
      </w:r>
      <w:r>
        <w:t xml:space="preserve"> </w:t>
      </w:r>
      <w:r>
        <w:t xml:space="preserve">Primary focus is generally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w:t>
      </w:r>
      <w:r>
        <w:t xml:space="preserve"> </w:t>
      </w:r>
      <w:r>
        <w:t xml:space="preserve">As a result, intonation is one of the last aspects of L2 phonology that learners acquire</w:t>
      </w:r>
      <w:r>
        <w:t xml:space="preserve"> </w:t>
      </w:r>
      <w:r>
        <w:t xml:space="preserve">(Kvavik &amp; Olsen, 1974)</w:t>
      </w:r>
      <w:r>
        <w:t xml:space="preserve">.</w:t>
      </w:r>
    </w:p>
    <w:p>
      <w:pPr>
        <w:pStyle w:val="Textkrper"/>
      </w:pPr>
      <w:r>
        <w:t xml:space="preserve">Generally, research on L2 intonation has been concerned primarily with production.</w:t>
      </w:r>
      <w:r>
        <w:t xml:space="preserve"> </w:t>
      </w:r>
      <w:r>
        <w:t xml:space="preserve">Learner difficulties tend to be ascribed to L1 transfer, and models of L2 phonology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 though some researchers have considered how these models account for suprasegmental phenomenon</w:t>
      </w:r>
      <w:r>
        <w:t xml:space="preserve"> </w:t>
      </w:r>
      <w:r>
        <w:t xml:space="preserve">(See Trofimovich &amp; Baker, 2006)</w:t>
      </w:r>
      <w:r>
        <w:t xml:space="preserve">.</w:t>
      </w:r>
      <w:r>
        <w:t xml:space="preserve"> </w:t>
      </w:r>
      <w:r>
        <w:t xml:space="preserve">There is a dearth of knowledge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w:t>
      </w:r>
    </w:p>
    <w:p>
      <w:pPr>
        <w:pStyle w:val="Textkrper"/>
      </w:pPr>
      <w:r>
        <w:t xml:space="preserve">Spanish is extensively spoken across the world, with relatively small geolectal differences between its varieties compared to other languages, such that speakers from distinct regions can still generally understand each other.</w:t>
      </w:r>
      <w:r>
        <w:t xml:space="preserve"> </w:t>
      </w:r>
      <w:r>
        <w:t xml:space="preserve">This linguistic continuum allows, however, for variation to occur.</w:t>
      </w:r>
      <w:r>
        <w:t xml:space="preserve"> </w:t>
      </w: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statements (broad-focus and narrow-focus) and questions (wh-questions and yes/no questions).</w:t>
      </w:r>
      <w:r>
        <w:t xml:space="preserve"> </w:t>
      </w:r>
      <w:r>
        <w:t xml:space="preserve">Adult English L1-Spanish L2 learners (beginner, intermediate, and advanced) and adult native speakers of Spanish completed an AX discrimination task in which they were presented with two stimuli sentences at a time, one aural and one visual.</w:t>
      </w:r>
      <w:r>
        <w:t xml:space="preserve"> </w:t>
      </w:r>
      <w:r>
        <w:t xml:space="preserve">Participants had to decide whether the sentence presented aurally was the same as the sentence presented visually by pressing a button (</w:t>
      </w:r>
      <w:r>
        <w:t xml:space="preserve">‘</w:t>
      </w:r>
      <w:r>
        <w:t xml:space="preserve">yes</w:t>
      </w:r>
      <w:r>
        <w:t xml:space="preserve">’</w:t>
      </w:r>
      <w:r>
        <w:t xml:space="preserve">,</w:t>
      </w:r>
      <w:r>
        <w:t xml:space="preserve"> </w:t>
      </w:r>
      <w:r>
        <w:t xml:space="preserve">‘</w:t>
      </w:r>
      <w:r>
        <w:t xml:space="preserve">no</w:t>
      </w:r>
      <w:r>
        <w:t xml:space="preserve">’</w:t>
      </w:r>
      <w:r>
        <w:t xml:space="preserve">).</w:t>
      </w:r>
    </w:p>
    <w:p>
      <w:pPr>
        <w:pStyle w:val="Textkrper"/>
      </w:pPr>
      <w:r>
        <w:t xml:space="preserve">The study found that perception and processing of L2 intonation improved in conjunction with proficiency conditional on intonation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Accuracy was high in match conditions, but accuracy in mismatch conditions was below chance for all L2 learners.</w:t>
      </w:r>
      <w:r>
        <w:t xml:space="preserve"> </w:t>
      </w:r>
      <w:r>
        <w:t xml:space="preserve">Regarding response times, intermediate learners were the fastest overall, and native speakers were the slowest.</w:t>
      </w:r>
      <w:r>
        <w:t xml:space="preserve"> </w:t>
      </w:r>
      <w:r>
        <w:t xml:space="preserve">Learners with lower proficiency processed statements faster than questions.</w:t>
      </w:r>
      <w:r>
        <w:t xml:space="preserve"> </w:t>
      </w:r>
      <w:r>
        <w:t xml:space="preserve">Brandl et al. (2020)</w:t>
      </w:r>
      <w:r>
        <w:t xml:space="preserve"> </w:t>
      </w:r>
      <w:r>
        <w:t xml:space="preserve">concluded that L2 intonation perception differs from L1 intonation perception in Spanish, that L2 intonation perception undergoes a gradual development as L2 acquisition progresses, and that statements are more easily processed and acquired by L2 learners of Spanish, compared to yes/no questions.</w:t>
      </w:r>
    </w:p>
    <w:p>
      <w:pPr>
        <w:pStyle w:val="Textkrper"/>
      </w:pPr>
      <w:r>
        <w:rPr>
          <w:bCs/>
          <w:b/>
        </w:rPr>
        <w:t xml:space="preserve">Empathy and pragmatic skill</w:t>
      </w:r>
      <w:r>
        <w:t xml:space="preserve">.</w:t>
      </w:r>
    </w:p>
    <w:p>
      <w:pPr>
        <w:pStyle w:val="Textkrper"/>
      </w:pPr>
      <w:r>
        <w:t xml:space="preserve">The construct empathy has been shown to influence native language processing in how listeners interpret intonation and meaning when words are ambiguous</w:t>
      </w:r>
      <w:r>
        <w:t xml:space="preserve"> </w:t>
      </w:r>
      <w:r>
        <w:t xml:space="preserve">(Esteve-Gibert et al., 2020)</w:t>
      </w:r>
      <w:r>
        <w:t xml:space="preserve">.</w:t>
      </w:r>
    </w:p>
    <w:p>
      <w:pPr>
        <w:pStyle w:val="Textkrper"/>
      </w:pPr>
      <w:r>
        <w:t xml:space="preserve">Recent research has also shown that empathy influences native language processing in how listeners interpret intonation and meaning when words are ambiguous</w:t>
      </w:r>
      <w:r>
        <w:t xml:space="preserve"> </w:t>
      </w:r>
      <w:r>
        <w:t xml:space="preserve">(Esteve-Gibert et al., 2020)</w:t>
      </w:r>
      <w:r>
        <w:t xml:space="preserve">.</w:t>
      </w:r>
      <w:r>
        <w:t xml:space="preserve"> </w:t>
      </w:r>
      <w:r>
        <w:t xml:space="preserve">Specifically, higher empathy individuals, in comparison with lower empathy individuals, appear to be more sensitive to intonation cues in the process of forming sound-meaning associations.</w:t>
      </w:r>
      <w:r>
        <w:t xml:space="preserve"> </w:t>
      </w:r>
      <w:r>
        <w:t xml:space="preserve">In short, individuals with more pragmatic skill (higher empathy) are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Thus, we extend this research to second language acquisition in order to determine if individual differences in pragmatic skills affect the development of intonation in L2 processing and sentence comprehension.</w:t>
      </w:r>
    </w:p>
    <w:p>
      <w:pPr>
        <w:pStyle w:val="Textkrper"/>
      </w:pPr>
      <w:r>
        <w:t xml:space="preserve">According to</w:t>
      </w:r>
      <w:r>
        <w:t xml:space="preserve"> </w:t>
      </w:r>
      <w:r>
        <w:t xml:space="preserve">Esteve-Gibert et al. (2020)</w:t>
      </w:r>
      <w:r>
        <w:t xml:space="preserve">, empathy can be understood as it is related to theory of mind and perspective taking</w:t>
      </w:r>
      <w:r>
        <w:t xml:space="preserve"> </w:t>
      </w:r>
      <w:r>
        <w:t xml:space="preserve">(Baron-Cohen, 2011; Carruthers, 2009; Frith &amp; Frith, 2003)</w:t>
      </w:r>
      <w:r>
        <w:t xml:space="preserve">.</w:t>
      </w:r>
      <w:r>
        <w:t xml:space="preserve"> </w:t>
      </w:r>
      <w:r>
        <w:t xml:space="preserve">In other words, those with higher empathy are expected to more effectively take the perspective of another, and past research has investigated whether better perspective taking is related to more effective meaning disambiguation.</w:t>
      </w:r>
      <w:r>
        <w:t xml:space="preserve"> </w:t>
      </w:r>
      <w:r>
        <w:t xml:space="preserve">Evidence has been found for the use of intonational cues to disambiguate meaning by higher empathy individuals in monolingual speech</w:t>
      </w:r>
      <w:r>
        <w:t xml:space="preserve"> </w:t>
      </w:r>
      <w:r>
        <w:t xml:space="preserve">(Esteve-Gibert et al., 2020)</w:t>
      </w:r>
      <w:r>
        <w:t xml:space="preserve">.</w:t>
      </w:r>
      <w:r>
        <w:t xml:space="preserve"> </w:t>
      </w:r>
      <w:r>
        <w:t xml:space="preserve">On the other hand, there is also evidence that higher proficiency Spanish speakers can effectively distinguish questions from statements</w:t>
      </w:r>
      <w:r>
        <w:t xml:space="preserve"> </w:t>
      </w:r>
      <w:r>
        <w:t xml:space="preserve">(Brandl et al., 2020)</w:t>
      </w:r>
      <w:r>
        <w:t xml:space="preserve">.</w:t>
      </w:r>
    </w:p>
    <w:p>
      <w:pPr>
        <w:pStyle w:val="Textkrper"/>
      </w:pPr>
      <w:r>
        <w:t xml:space="preserve">Speakers use intonational cues to express feelings, intentions, and pragmatic meaning</w:t>
      </w:r>
      <w:r>
        <w:t xml:space="preserve"> </w:t>
      </w:r>
      <w:r>
        <w:t xml:space="preserve">(see Prieto, 2015)</w:t>
      </w:r>
      <w:r>
        <w:t xml:space="preserve">, but listeners vary in how they interpret intonational cues to infer meaning</w:t>
      </w:r>
      <w:r>
        <w:t xml:space="preserve"> </w:t>
      </w:r>
      <w:r>
        <w:t xml:space="preserve">(e.g., Bishop &amp; Kuo, 2016, 2016; Portes, Beyssade, Michelas, Marandin, &amp; Champagne-Lavau, 2014)</w:t>
      </w:r>
      <w:r>
        <w:t xml:space="preserve">.</w:t>
      </w:r>
      <w:r>
        <w:t xml:space="preserve"> </w:t>
      </w:r>
      <w:r>
        <w:t xml:space="preserve">This variability could be related to differences in individual pragmatic skills.</w:t>
      </w:r>
      <w:r>
        <w:t xml:space="preserve"> </w:t>
      </w:r>
      <w:r>
        <w:t xml:space="preserve">Previous studies have shown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 </w:t>
      </w:r>
      <w:r>
        <w:t xml:space="preserve">In addition, more pragmatically skilled individuals and less pragmatically skilled individuals tend to rely on different phonetic cues to parse syntactically ambiguous sentences</w:t>
      </w:r>
      <w:r>
        <w:t xml:space="preserve"> </w:t>
      </w:r>
      <w:r>
        <w:t xml:space="preserve">(Bishop &amp; Kuo, 2016)</w:t>
      </w:r>
      <w:r>
        <w:t xml:space="preserve">.</w:t>
      </w:r>
      <w:r>
        <w:t xml:space="preserve"> </w:t>
      </w:r>
      <w:r>
        <w:t xml:space="preserve">It is possible that variability in intonation processing is also linked to individual differences in pragmatic skills.</w:t>
      </w:r>
    </w:p>
    <w:p>
      <w:pPr>
        <w:pStyle w:val="Textkrper"/>
      </w:pPr>
      <w:r>
        <w:t xml:space="preserve">Recent studies have explored the possibility that individual pragmatic skills can modulate the sensitivity of listeners to intonational cues that convey pragmatic meaning.</w:t>
      </w:r>
      <w:r>
        <w:t xml:space="preserve"> </w:t>
      </w:r>
      <w:r>
        <w:t xml:space="preserve">Esteve-Gibert et al. (2020)</w:t>
      </w:r>
      <w:r>
        <w:t xml:space="preserve"> </w:t>
      </w:r>
      <w:r>
        <w:t xml:space="preserve">focused specifically on empathy, which is a pragmatic skill that helps listeners understand other peoples’ feelings, emotions, intentions, and behavior</w:t>
      </w:r>
      <w:r>
        <w:t xml:space="preserve"> </w:t>
      </w:r>
      <w:r>
        <w:t xml:space="preserve">(Baron-Cohen &amp; Wheelwright, 2004)</w:t>
      </w:r>
      <w:r>
        <w:t xml:space="preserve">.</w:t>
      </w:r>
      <w:r>
        <w:t xml:space="preserve"> </w:t>
      </w:r>
      <w:r>
        <w:t xml:space="preserve">Esteve-Gibert et al. (2020)</w:t>
      </w:r>
      <w:r>
        <w:t xml:space="preserve"> </w:t>
      </w:r>
      <w:r>
        <w:t xml:space="preserve">investigated whether listeners’ empathy modulated variability in intonation processing.</w:t>
      </w:r>
      <w:r>
        <w:t xml:space="preserve"> </w:t>
      </w:r>
      <w:r>
        <w:t xml:space="preserve">Empathy was measured using a self-reported Empathy Quotient (EQ) questionnaire</w:t>
      </w:r>
      <w:r>
        <w:t xml:space="preserve"> </w:t>
      </w:r>
      <w:r>
        <w:t xml:space="preserve">(Baron-Cohen &amp; Wheelwright, 2004)</w:t>
      </w:r>
      <w:r>
        <w:t xml:space="preserve">.</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Participants listened to short dialogues in French between two players (Player A and Player B) playing a card guessing game as they saw a display of four objects on a screen.</w:t>
      </w:r>
      <w:r>
        <w:t xml:space="preserve"> </w:t>
      </w:r>
      <w:r>
        <w:t xml:space="preserve">Participants had to identify the object that depicted the picture of the card of one of the players.</w:t>
      </w:r>
      <w:r>
        <w:t xml:space="preserve"> </w:t>
      </w:r>
      <w:r>
        <w:t xml:space="preserve">Target objects were homophones in French (e.g., cane -</w:t>
      </w:r>
      <w:r>
        <w:t xml:space="preserve"> </w:t>
      </w:r>
      <w:r>
        <w:t xml:space="preserve">“</w:t>
      </w:r>
      <w:r>
        <w:t xml:space="preserve">female duck</w:t>
      </w:r>
      <w:r>
        <w:t xml:space="preserve">”</w:t>
      </w:r>
      <w:r>
        <w:t xml:space="preserve">; canne -</w:t>
      </w:r>
      <w:r>
        <w:t xml:space="preserve"> </w:t>
      </w:r>
      <w:r>
        <w:t xml:space="preserve">“</w:t>
      </w:r>
      <w:r>
        <w:t xml:space="preserve">walking stick</w:t>
      </w:r>
      <w:r>
        <w:t xml:space="preserve">”</w:t>
      </w:r>
      <w:r>
        <w:t xml:space="preserve">).</w:t>
      </w:r>
      <w:r>
        <w:t xml:space="preserve"> </w:t>
      </w:r>
      <w:r>
        <w:t xml:space="preserve">The dialogues consisted of a suggestion by Player A (e.g.,</w:t>
      </w:r>
      <w:r>
        <w:t xml:space="preserve"> </w:t>
      </w:r>
      <w:r>
        <w:t xml:space="preserve">“</w:t>
      </w:r>
      <w:r>
        <w:t xml:space="preserve">I think you have a stick</w:t>
      </w:r>
      <w:r>
        <w:t xml:space="preserve">”</w:t>
      </w:r>
      <w:r>
        <w:t xml:space="preserve">) followed by Player B’s response, which could confirm (e.g.,</w:t>
      </w:r>
      <w:r>
        <w:t xml:space="preserve"> </w:t>
      </w:r>
      <w:r>
        <w:t xml:space="preserve">“</w:t>
      </w:r>
      <w:r>
        <w:t xml:space="preserve">I have a stick, indeed, to walk</w:t>
      </w:r>
      <w:r>
        <w:t xml:space="preserve">”</w:t>
      </w:r>
      <w:r>
        <w:t xml:space="preserve">) or contrast (e.g.,</w:t>
      </w:r>
      <w:r>
        <w:t xml:space="preserve"> </w:t>
      </w:r>
      <w:r>
        <w:t xml:space="preserve">“</w:t>
      </w:r>
      <w:r>
        <w:t xml:space="preserve">I have a female duck, instead, the animal</w:t>
      </w:r>
      <w:r>
        <w:t xml:space="preserve">”</w:t>
      </w:r>
      <w:r>
        <w:t xml:space="preserve">) Player A’s suggestion.</w:t>
      </w:r>
      <w:r>
        <w:t xml:space="preserve"> </w:t>
      </w:r>
      <w:r>
        <w:t xml:space="preserve">The first portion of Player B’s responses varied in intonational contours (confirmation or contrast of beliefs) and had subsequent disambiguating lexical information (indeed/instead + additional information).</w:t>
      </w:r>
      <w:r>
        <w:t xml:space="preserve"> </w:t>
      </w:r>
      <w:r>
        <w:t xml:space="preserve">Results indicated that empathy level affected the processing of an ambiguous word (a homophone) when intonation was the only cue available.</w:t>
      </w:r>
      <w:r>
        <w:t xml:space="preserve"> </w:t>
      </w:r>
      <w:r>
        <w:t xml:space="preserve">Highly empathic individuals varied their looking behavior as a function of intonational cues while less empathic individuals did not.</w:t>
      </w:r>
      <w:r>
        <w:t xml:space="preserve"> </w:t>
      </w:r>
      <w:r>
        <w:t xml:space="preserve">However, the direction of the looking behavior of the highly empathic individuals was not as expected and reverse intonation-meaning mapping was observed.</w:t>
      </w:r>
      <w:r>
        <w:t xml:space="preserve"> </w:t>
      </w:r>
      <w:r>
        <w:t xml:space="preserve">Confirmation intonation did not trigger more looks to the suggested image and contrast intonation did not trigger more looks to objects other than the suggested image.</w:t>
      </w:r>
    </w:p>
    <w:p>
      <w:pPr>
        <w:pStyle w:val="Textkrper"/>
      </w:pPr>
      <w:r>
        <w:t xml:space="preserve">To explore this unexpected finding further,</w:t>
      </w:r>
      <w:r>
        <w:t xml:space="preserve"> </w:t>
      </w:r>
      <w:r>
        <w:t xml:space="preserve">Esteve-Gibert et al. (2020)</w:t>
      </w:r>
      <w:r>
        <w:t xml:space="preserve"> </w:t>
      </w:r>
      <w:r>
        <w:t xml:space="preserve">tested an additional group of French monolinguals in an offline matching task in which they listened only to the ambiguous portion of Player B’s response (e.g.,</w:t>
      </w:r>
      <w:r>
        <w:t xml:space="preserve"> </w:t>
      </w:r>
      <w:r>
        <w:t xml:space="preserve">“</w:t>
      </w:r>
      <w:r>
        <w:t xml:space="preserve">I have a stick.</w:t>
      </w:r>
      <w:r>
        <w:t xml:space="preserve">”</w:t>
      </w:r>
      <w:r>
        <w:t xml:space="preserve">,</w:t>
      </w:r>
      <w:r>
        <w:t xml:space="preserve"> </w:t>
      </w:r>
      <w:r>
        <w:t xml:space="preserve">“</w:t>
      </w:r>
      <w:r>
        <w:t xml:space="preserve">I have a female duck.</w:t>
      </w:r>
      <w:r>
        <w:t xml:space="preserve">”</w:t>
      </w:r>
      <w:r>
        <w:t xml:space="preserve">) and matched the sentences to either a confirmatory or contrastive meaning.</w:t>
      </w:r>
      <w:r>
        <w:t xml:space="preserve"> </w:t>
      </w:r>
      <w:r>
        <w:t xml:space="preserve">Intonation was the only disambiguating cue available.</w:t>
      </w:r>
      <w:r>
        <w:t xml:space="preserve"> </w:t>
      </w:r>
      <w:r>
        <w:t xml:space="preserve">Results showed that the higher the listeners’ empathy, the more accurate they were matching intonation to meaning.</w:t>
      </w:r>
      <w:r>
        <w:t xml:space="preserve"> </w:t>
      </w:r>
      <w:r>
        <w:t xml:space="preserve">Esteve-Gibert et al. (2020)</w:t>
      </w:r>
      <w:r>
        <w:t xml:space="preserve"> </w:t>
      </w:r>
      <w:r>
        <w:t xml:space="preserve">concluded that listeners use empathy as a pragmatic ability to process linguistic information and that empathy influences how listeners use intonation to infer pragmatic meaning, especially when linguistic information is ambiguous or non literal.</w:t>
      </w:r>
      <w:r>
        <w:t xml:space="preserve"> </w:t>
      </w:r>
      <w:r>
        <w:t xml:space="preserve">Pragmatic skills like empathy need to be considered when investigating intonation processing in typical and atypical individuals.</w:t>
      </w:r>
    </w:p>
    <w:bookmarkEnd w:id="21"/>
    <w:bookmarkStart w:id="23" w:name="the-present-study"/>
    <w:p>
      <w:pPr>
        <w:pStyle w:val="berschrift2"/>
      </w:pPr>
      <w:r>
        <w:t xml:space="preserve">The present study</w:t>
      </w:r>
    </w:p>
    <w:p>
      <w:pPr>
        <w:pStyle w:val="FirstParagraph"/>
      </w:pPr>
      <w:r>
        <w:t xml:space="preserve">We investigate the interplay between proficiency and individual pragmatic skills via empathy in the development of second language (L2) prosody by analyzing the perception of intonation in questions and statements in L2 Spanish.</w:t>
      </w:r>
    </w:p>
    <w:p>
      <w:pPr>
        <w:pStyle w:val="Textkrper"/>
      </w:pPr>
      <w:r>
        <w:t xml:space="preserve">It is unclear whether those with higher empathy also take advantage of intonational cues to infer another speaker’s communicative intent in a second language when proficiency is also taken into account.</w:t>
      </w:r>
    </w:p>
    <w:p>
      <w:pPr>
        <w:pStyle w:val="Textkrper"/>
      </w:pPr>
      <w:r>
        <w:t xml:space="preserve">The present study investigates whether L2 learners of Spanish with higher empathy are more effective in distinguishing statements from questions when proficiency is held constant.</w:t>
      </w:r>
    </w:p>
    <w:p>
      <w:pPr>
        <w:pStyle w:val="Textkrper"/>
      </w:pPr>
      <w:r>
        <w:t xml:space="preserve">the project intends to contribute to cumulative science by conceptually replicating the</w:t>
      </w:r>
      <w:r>
        <w:t xml:space="preserve"> </w:t>
      </w:r>
      <w:r>
        <w:t xml:space="preserve">Brandl et al. (2020)</w:t>
      </w:r>
      <w:r>
        <w:t xml:space="preserve"> </w:t>
      </w:r>
      <w:r>
        <w:t xml:space="preserve">finding, which demonstrates that perception and processing of L2 intonation improves in conjunction with L2 proficiency and as a function of intonation type.</w:t>
      </w:r>
      <w:r>
        <w:t xml:space="preserve"> </w:t>
      </w:r>
      <w:r>
        <w:t xml:space="preserve">Second, this research will extend the current findings on perceptual development to include pragmatic skills, specifically empathy.</w:t>
      </w:r>
    </w:p>
    <w:p>
      <w:pPr>
        <w:pStyle w:val="Textkrper"/>
      </w:pPr>
      <w:r>
        <w:t xml:space="preserve">This research builds on recent studies looking at the role of individual pragmatic skills in language processing and extends them to the field of second language acquisition.</w:t>
      </w:r>
      <w:r>
        <w:t xml:space="preserve"> </w:t>
      </w:r>
      <w:r>
        <w:t xml:space="preserve">Concretely, we examine the role of empathy in the development of L2 prosody by analyzing the perception of intonation in questions and statements in L2 Spanish.</w:t>
      </w:r>
      <w:r>
        <w:t xml:space="preserve"> </w:t>
      </w:r>
      <w:r>
        <w:t xml:space="preserve">L2 learners gradually acquire Spanish prosody as they gain proficiency in the language.</w:t>
      </w:r>
      <w:r>
        <w:t xml:space="preserve"> </w:t>
      </w:r>
      <w:r>
        <w:t xml:space="preserve">The extant literature shows that</w:t>
      </w:r>
      <w:r>
        <w:t xml:space="preserve"> </w:t>
      </w:r>
      <w:r>
        <w:t xml:space="preserve">‘</w:t>
      </w:r>
      <w:r>
        <w:t xml:space="preserve">yes/no</w:t>
      </w:r>
      <w:r>
        <w:t xml:space="preserve">’</w:t>
      </w:r>
      <w:r>
        <w:t xml:space="preserve">-type questions are harder to process and acquire, when compared with simple statements</w:t>
      </w:r>
      <w:r>
        <w:t xml:space="preserve"> </w:t>
      </w:r>
      <w:r>
        <w:t xml:space="preserve">(Brandl et al., 2020)</w:t>
      </w:r>
      <w:r>
        <w:t xml:space="preserve">.</w:t>
      </w:r>
    </w:p>
    <w:p>
      <w:pPr>
        <w:pStyle w:val="Textkrper"/>
      </w:pPr>
      <w:r>
        <w:t xml:space="preserve">Current study is a conceptual replication of</w:t>
      </w:r>
      <w:r>
        <w:t xml:space="preserve"> </w:t>
      </w:r>
      <w:r>
        <w:t xml:space="preserve">Brandl et al. (2020)</w:t>
      </w:r>
      <w:r>
        <w:t xml:space="preserve"> </w:t>
      </w:r>
      <w:r>
        <w:t xml:space="preserve">- Extend current findings on perceptual development to include pragmatic</w:t>
      </w:r>
      <w:r>
        <w:t xml:space="preserve"> </w:t>
      </w:r>
      <w:r>
        <w:t xml:space="preserve">skills (empathy)</w:t>
      </w:r>
      <w:r>
        <w:t xml:space="preserve"> </w:t>
      </w:r>
      <w:r>
        <w:t xml:space="preserve">- Build on studies that look at the role of individual pragmatic skills</w:t>
      </w:r>
      <w:r>
        <w:t xml:space="preserve"> </w:t>
      </w:r>
      <w:r>
        <w:t xml:space="preserve">in language processing</w:t>
      </w:r>
      <w:r>
        <w:t xml:space="preserve"> </w:t>
      </w:r>
      <w:r>
        <w:t xml:space="preserve">- And if individual differences in pragmatic skills affect the</w:t>
      </w:r>
      <w:r>
        <w:t xml:space="preserve"> </w:t>
      </w:r>
      <w:r>
        <w:t xml:space="preserve">development of intonation in L2 processing and sentence comprehension</w:t>
      </w:r>
      <w:r>
        <w:t xml:space="preserve"> </w:t>
      </w:r>
      <w:r>
        <w:t xml:space="preserve">- Examine the role of empathy in the development of L2 prosody by</w:t>
      </w:r>
      <w:r>
        <w:t xml:space="preserve"> </w:t>
      </w:r>
      <w:r>
        <w:t xml:space="preserve">analyzing the perception of intonation in questions and statements in L2</w:t>
      </w:r>
      <w:r>
        <w:t xml:space="preserve"> </w:t>
      </w:r>
      <w:r>
        <w:t xml:space="preserve">Spanish</w:t>
      </w:r>
    </w:p>
    <w:bookmarkStart w:id="22" w:name="research-questions"/>
    <w:p>
      <w:pPr>
        <w:pStyle w:val="berschrift3"/>
      </w:pPr>
      <w:r>
        <w:t xml:space="preserve">Research questions.</w:t>
      </w:r>
    </w:p>
    <w:p>
      <w:pPr>
        <w:pStyle w:val="FirstParagraph"/>
      </w:pPr>
      <w:r>
        <w:t xml:space="preserve">Research question 1: Is perceptional development in L2 Spanish modulated by proficiency and intonation type</w:t>
      </w:r>
      <w:r>
        <w:t xml:space="preserve"> </w:t>
      </w:r>
      <w:r>
        <w:t xml:space="preserve">(i.e., Brandl et al., 2020)</w:t>
      </w:r>
      <w:r>
        <w:t xml:space="preserve">?</w:t>
      </w:r>
      <w:r>
        <w:br/>
      </w:r>
      <w:r>
        <w:t xml:space="preserve">Hypothesis: Accuracy will increase and processing time will decrease as a function of proficiency and intonation type.</w:t>
      </w:r>
      <w:r>
        <w:t xml:space="preserve"> </w:t>
      </w:r>
      <w:r>
        <w:t xml:space="preserve">Yes-no questions will present the most difficulty for L2 learners of Spanish, followed by wh-questions and declarative broad focus and narrow focus statements.</w:t>
      </w:r>
    </w:p>
    <w:p>
      <w:pPr>
        <w:pStyle w:val="Textkrper"/>
      </w:pPr>
      <w:r>
        <w:t xml:space="preserve">Research question 2: Do pragmatic skills—specifically, empathy—modulate the rate of development in L2 prosody?</w:t>
      </w:r>
      <w:r>
        <w:t xml:space="preserve"> </w:t>
      </w:r>
      <w:r>
        <w:t xml:space="preserve">Hypothesis: Based on the findings of</w:t>
      </w:r>
      <w:r>
        <w:t xml:space="preserve"> </w:t>
      </w:r>
      <w:r>
        <w:t xml:space="preserve">Esteve-Gibert et al. (2020)</w:t>
      </w:r>
      <w:r>
        <w:t xml:space="preserve">, we posit that prosodic development will occur sooner and at a faster rate in higher empathy individuals.</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than lower empathy individuals.</w:t>
      </w:r>
    </w:p>
    <w:p>
      <w:pPr>
        <w:pStyle w:val="Textkrper"/>
      </w:pPr>
      <w:r>
        <w:t xml:space="preserve">Research question 3: Does speaker variety affect perception accuracy and processing speed?</w:t>
      </w:r>
      <w:r>
        <w:t xml:space="preserve"> </w:t>
      </w:r>
      <w:r>
        <w:t xml:space="preserve">Hypothesis: Based on tentative findings from native speaker pilot data, we hypothesize that overall L2 learners will have most difficulty (lower accuracy, slower RTs) with the Cuban variety.</w:t>
      </w:r>
    </w:p>
    <w:bookmarkEnd w:id="22"/>
    <w:bookmarkEnd w:id="23"/>
    <w:bookmarkStart w:id="28" w:name="method"/>
    <w:p>
      <w:pPr>
        <w:pStyle w:val="berschrift1"/>
      </w:pPr>
      <w:r>
        <w:t xml:space="preserve">Method</w:t>
      </w:r>
    </w:p>
    <w:bookmarkStart w:id="24" w:name="participants"/>
    <w:p>
      <w:pPr>
        <w:pStyle w:val="berschrift2"/>
      </w:pPr>
      <w:r>
        <w:t xml:space="preserve">Participants</w:t>
      </w:r>
    </w:p>
    <w:p>
      <w:pPr>
        <w:pStyle w:val="FirstParagraph"/>
      </w:pPr>
      <w:r>
        <w:t xml:space="preserve">Participants were adult native speakers of English with varied levels of proficiency in Spanish (determined by the LexTALE task).</w:t>
      </w:r>
      <w:r>
        <w:t xml:space="preserve"> </w:t>
      </w:r>
      <w:r>
        <w:t xml:space="preserve">Participants were be recruited via Prolific and were be compensated at a rate of $9.52 per hour for their time.</w:t>
      </w:r>
      <w:r>
        <w:t xml:space="preserve"> </w:t>
      </w:r>
      <w:r>
        <w:t xml:space="preserve">We estimated the task would take approximately 15 minutes to complete, thus each participant was compensated with $2.70 for completing all three tasks.</w:t>
      </w:r>
    </w:p>
    <w:p>
      <w:pPr>
        <w:pStyle w:val="Textkrper"/>
      </w:pPr>
      <w:r>
        <w:t xml:space="preserve">Participants were L1 speakers of American English who ranged from functionally monolingual to highly proficient in Spanish (bilinguals).</w:t>
      </w:r>
      <w:r>
        <w:t xml:space="preserve"> </w:t>
      </w:r>
      <w:r>
        <w:t xml:space="preserve">All participants with knowledge of Spanish were adult L2 learners, operationally defined as having begun the endeavor of learning Spanish after the age of 13.</w:t>
      </w:r>
    </w:p>
    <w:p>
      <w:pPr>
        <w:pStyle w:val="Textkrper"/>
      </w:pPr>
      <w:r>
        <w:t xml:space="preserve">We planed to collect data from 300 individuals (100 monolingual Spanish speakers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we planned to recruit 100 additional participants.</w:t>
      </w:r>
    </w:p>
    <w:p>
      <w:pPr>
        <w:pStyle w:val="Textkrper"/>
      </w:pPr>
      <w:r>
        <w:t xml:space="preserve">The pool of online-recruited participants was filtered using criteria set in Prolific.ac to insure participants self-reported as being L1 English speakers born, raised, and currently living in the US with no knowledge of any languages other than English and/or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p>
    <w:p>
      <w:pPr>
        <w:pStyle w:val="Textkrper"/>
      </w:pP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p>
    <w:bookmarkEnd w:id="24"/>
    <w:bookmarkStart w:id="25" w:name="tasks"/>
    <w:p>
      <w:pPr>
        <w:pStyle w:val="berschrift2"/>
      </w:pPr>
      <w:r>
        <w:t xml:space="preserve">Tasks</w:t>
      </w:r>
    </w:p>
    <w:p>
      <w:pPr>
        <w:pStyle w:val="FirstParagraph"/>
      </w:pPr>
      <w:r>
        <w:t xml:space="preserve">The study consists of three tasks, given in the following order: a two-alternative forced choice task (2AFC), followed by the LexTALE, and, finally, the Empathy quotient (EQ).</w:t>
      </w:r>
    </w:p>
    <w:p>
      <w:pPr>
        <w:pStyle w:val="Textkrper"/>
      </w:pPr>
      <w:r>
        <w:rPr>
          <w:bCs/>
          <w:b/>
        </w:rPr>
        <w:t xml:space="preserve">2afc</w:t>
      </w:r>
      <w:r>
        <w:t xml:space="preserve">. In the 2AFC task participants will be presented with an audio file containing a statement (declarative: broad focus or narrow focus) or a question (yes-no or wh-).</w:t>
      </w:r>
      <w:r>
        <w:t xml:space="preserve"> </w:t>
      </w:r>
      <w:r>
        <w:t xml:space="preserve">Their task is to determine, as quickly and as accurately as possible, if the utterance they hear is a question or a statement.</w:t>
      </w:r>
      <w:r>
        <w:t xml:space="preserve"> </w:t>
      </w:r>
      <w:r>
        <w:t xml:space="preserve">Specifically, they will respond to the question</w:t>
      </w:r>
      <w:r>
        <w:t xml:space="preserve"> </w:t>
      </w:r>
      <w:r>
        <w:t xml:space="preserve">“</w:t>
      </w:r>
      <w:r>
        <w:t xml:space="preserve">Is this a question</w:t>
      </w:r>
      <w:r>
        <w:t xml:space="preserve">”</w:t>
      </w:r>
      <w:r>
        <w:t xml:space="preserve"> </w:t>
      </w:r>
      <w:r>
        <w:t xml:space="preserve">using the keyboard.</w:t>
      </w:r>
      <w:r>
        <w:t xml:space="preserve"> </w:t>
      </w:r>
      <w:r>
        <w:t xml:space="preserve">They will type</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(meaning</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(meaning</w:t>
      </w:r>
      <w:r>
        <w:t xml:space="preserve"> </w:t>
      </w:r>
      <w:r>
        <w:t xml:space="preserve">“</w:t>
      </w:r>
      <w:r>
        <w:t xml:space="preserve">no, this is not a question</w:t>
      </w:r>
      <w:r>
        <w:t xml:space="preserve">”</w:t>
      </w:r>
      <w:r>
        <w:t xml:space="preserve">).</w:t>
      </w:r>
      <w:r>
        <w:t xml:space="preserve"> </w:t>
      </w:r>
      <w:r>
        <w:t xml:space="preserve">The stimuli consist of 64 critical items, 16 of each sentence type.</w:t>
      </w:r>
      <w:r>
        <w:t xml:space="preserve"> </w:t>
      </w:r>
      <w:r>
        <w:t xml:space="preserve">To generate the stimuli, we recorded native Spanish speakers of 8 different varieties (Cuban, Castilian, Andalusian, Puerto Rican, Chilean, Argentinean, Mexican, and Peruvian).</w:t>
      </w:r>
      <w:r>
        <w:t xml:space="preserve"> </w:t>
      </w:r>
      <w:r>
        <w:t xml:space="preserve">The 8 native speakers all produced the same 64 critical items.</w:t>
      </w:r>
      <w:r>
        <w:t xml:space="preserve"> </w:t>
      </w:r>
      <w:r>
        <w:t xml:space="preserve">We segmented all utterances using Praat and normalized them for peak intensity.</w:t>
      </w:r>
      <w:r>
        <w:t xml:space="preserve"> </w:t>
      </w:r>
      <w:r>
        <w:t xml:space="preserve">The 2AFC task consists of 64 trials in which the stimuli presented are randomized across speaker variety.</w:t>
      </w:r>
      <w:r>
        <w:t xml:space="preserve"> </w:t>
      </w:r>
      <w:r>
        <w:t xml:space="preserve">Each variety has the same probability of being selected on a given trial, such that, on average, a given participant will hear each variety approximately 8 times.</w:t>
      </w:r>
      <w:r>
        <w:t xml:space="preserve"> </w:t>
      </w:r>
      <w:r>
        <w:t xml:space="preserve">The 2AFC task will be administered online using PsychoPy</w:t>
      </w:r>
      <w:r>
        <w:t xml:space="preserve"> </w:t>
      </w:r>
      <w:r>
        <w:t xml:space="preserve">(Peirce et al., 2019)</w:t>
      </w:r>
      <w:r>
        <w:t xml:space="preserve"> </w:t>
      </w:r>
      <w:r>
        <w:t xml:space="preserve">and participants will be recruited using the Prolific.ac online experimental platform.</w:t>
      </w:r>
      <w:r>
        <w:t xml:space="preserve"> </w:t>
      </w:r>
      <w:r>
        <w:t xml:space="preserve">The task takes approximately 5 minutes to complete.</w:t>
      </w:r>
    </w:p>
    <w:p>
      <w:pPr>
        <w:pStyle w:val="Textkrper"/>
      </w:pPr>
      <w:r>
        <w:t xml:space="preserve">The experimental items consisted of sentences in Spanish…</w:t>
      </w:r>
    </w:p>
    <w:p>
      <w:pPr>
        <w:pStyle w:val="Textkrper"/>
      </w:pPr>
      <w:r>
        <w:t xml:space="preserve">We piloted the 2AFC experiment on 100 native Spanish speakers to assure critical item quality and assess the difficulty of the task.</w:t>
      </w:r>
      <w:r>
        <w:t xml:space="preserve"> </w:t>
      </w:r>
      <w:r>
        <w:t xml:space="preserve">Crucially, our existing data does not include our population of interest, L2 learners.</w:t>
      </w:r>
    </w:p>
    <w:p>
      <w:pPr>
        <w:pStyle w:val="Textkrper"/>
      </w:pPr>
      <w:r>
        <w:rPr>
          <w:bCs/>
          <w:b/>
        </w:rPr>
        <w:t xml:space="preserve">LexTALE</w:t>
      </w:r>
      <w:r>
        <w:t xml:space="preserve">. The LexTALE task (Lemhöfer &amp; Broersma, 2012) is a lexical decision experiment in which the participants are presented real and nonsense words.</w:t>
      </w:r>
      <w:r>
        <w:t xml:space="preserve"> </w:t>
      </w:r>
      <w:r>
        <w:t xml:space="preserve">We will administer the Spanish version, LexTALE-ESP (Izura, Cuetos, &amp; Brysbaert, 2014).</w:t>
      </w:r>
      <w:r>
        <w:t xml:space="preserve"> </w:t>
      </w:r>
      <w:r>
        <w:t xml:space="preserve">Participants have to decide if the word they are presented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The purpose of the LexTALE task is to get an assessment of the participants’ vocabulary size in Spanish, which is assumed to be a proxy for Spanish proficiency.</w:t>
      </w:r>
      <w:r>
        <w:t xml:space="preserve"> </w:t>
      </w:r>
      <w:r>
        <w:t xml:space="preserve">The LexTALE task takes approximately 5 minutes to complete.</w:t>
      </w:r>
    </w:p>
    <w:p>
      <w:pPr>
        <w:pStyle w:val="Textkrper"/>
      </w:pPr>
      <w:r>
        <w:t xml:space="preserve">We administered the Lexical Test for Advanced Learners of Spanish</w:t>
      </w:r>
      <w:r>
        <w:t xml:space="preserve"> </w:t>
      </w:r>
      <w:r>
        <w:t xml:space="preserve">(Izura et al., 2014; LexTALE-ESP, Lemhöfer &amp; Broersma, 2012)</w:t>
      </w:r>
      <w:r>
        <w:t xml:space="preserve"> </w:t>
      </w:r>
      <w:r>
        <w:t xml:space="preserve">in order to provide a</w:t>
      </w:r>
      <w:r>
        <w:t xml:space="preserve"> </w:t>
      </w:r>
      <w:r>
        <w:t xml:space="preserve">standardized assessment of the participants’ proficiency/vocabulary size in</w:t>
      </w:r>
      <w:r>
        <w:t xml:space="preserve"> </w:t>
      </w:r>
      <w:r>
        <w:t xml:space="preserve">Spanish.</w:t>
      </w:r>
      <w:r>
        <w:t xml:space="preserve"> </w:t>
      </w:r>
      <w:r>
        <w:t xml:space="preserve">On this measure, scores can range from −20 to 60, with native speaker</w:t>
      </w:r>
      <w:r>
        <w:t xml:space="preserve"> </w:t>
      </w:r>
      <w:r>
        <w:t xml:space="preserve">values generally above 50.</w:t>
      </w:r>
      <w:r>
        <w:t xml:space="preserve"> </w:t>
      </w:r>
      <w:r>
        <w:t xml:space="preserve">Individuals with little or no knowledge of Spanish typically score from</w:t>
      </w:r>
      <w:r>
        <w:t xml:space="preserve"> </w:t>
      </w:r>
      <w:r>
        <w:t xml:space="preserve">−20 to 0.</w:t>
      </w:r>
      <w:r>
        <w:t xml:space="preserve"> </w:t>
      </w:r>
      <w:r>
        <w:t xml:space="preserve">For the purposes of the present study, proficiency is treated as a continuous</w:t>
      </w:r>
      <w:r>
        <w:t xml:space="preserve"> </w:t>
      </w:r>
      <w:r>
        <w:t xml:space="preserve">variable, thus we consider a monolingual English speaker to have little to no</w:t>
      </w:r>
      <w:r>
        <w:t xml:space="preserve"> </w:t>
      </w:r>
      <w:r>
        <w:t xml:space="preserve">proficiency in Spanish.</w:t>
      </w:r>
      <w:r>
        <w:t xml:space="preserve"> </w:t>
      </w:r>
    </w:p>
    <w:p>
      <w:pPr>
        <w:pStyle w:val="Textkrper"/>
      </w:pPr>
      <w:r>
        <w:rPr>
          <w:bCs/>
          <w:b/>
        </w:rPr>
        <w:t xml:space="preserve">Empathy Questionnaire</w:t>
      </w:r>
      <w:r>
        <w:t xml:space="preserve">. Finally, participants will complete the Empathy Quotient</w:t>
      </w:r>
      <w:r>
        <w:t xml:space="preserve"> </w:t>
      </w:r>
      <w:r>
        <w:t xml:space="preserve">(EQ, Baron-Cohen &amp; Wheelwright, 2004)</w:t>
      </w:r>
      <w:r>
        <w:t xml:space="preserve">, a 60-item questionnaire that presents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The EQ is scored to produce a single value indicating an individual’s level of empathy.</w:t>
      </w:r>
      <w:r>
        <w:t xml:space="preserve"> </w:t>
      </w:r>
      <w:r>
        <w:t xml:space="preserve">The EQ takes approximately 5 minutes to complete.</w:t>
      </w:r>
    </w:p>
    <w:bookmarkEnd w:id="25"/>
    <w:bookmarkStart w:id="26" w:name="procedure"/>
    <w:p>
      <w:pPr>
        <w:pStyle w:val="berschrift2"/>
      </w:pPr>
      <w:r>
        <w:t xml:space="preserve">Procedure</w:t>
      </w:r>
    </w:p>
    <w:p>
      <w:pPr>
        <w:pStyle w:val="FirstParagraph"/>
      </w:pPr>
      <w:r>
        <w:t xml:space="preserve">We excluded data according to the following criteria: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session timed our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p>
      <w:pPr>
        <w:pStyle w:val="Textkrper"/>
      </w:pPr>
      <w:r>
        <w:t xml:space="preserve">Participants were recruited via Prolific.ac.</w:t>
      </w:r>
      <w:r>
        <w:t xml:space="preserve"> </w:t>
      </w:r>
      <w:r>
        <w:t xml:space="preserve">They completed the all three tasks in a single session.</w:t>
      </w:r>
      <w:r>
        <w:t xml:space="preserve"> </w:t>
      </w:r>
      <w:r>
        <w:t xml:space="preserve">The 2AFC task was first, followed by the LexTALE task, and, finally, the empathy quotient questionnaire.</w:t>
      </w:r>
      <w:r>
        <w:t xml:space="preserve"> </w:t>
      </w:r>
      <w:r>
        <w:t xml:space="preserve">Participants spent an average of 12.93 minutes (SD: 8.71) to finish the complete experiment.</w:t>
      </w:r>
    </w:p>
    <w:bookmarkEnd w:id="26"/>
    <w:bookmarkStart w:id="27"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hierarchical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 proficiency (i.e., LexTALE score), empathy quotient, and the proficiency by empathy quotient interaction.</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br/>
      </w:r>
      <w:r>
        <w:t xml:space="preserve">The slope for</w:t>
      </w:r>
      <w:r>
        <w:t xml:space="preserve"> </w:t>
      </w:r>
      <w:r>
        <w:rPr>
          <w:iCs/>
          <w:i/>
        </w:rPr>
        <w:t xml:space="preserve">utterance type</w:t>
      </w:r>
      <w:r>
        <w:t xml:space="preserve"> </w:t>
      </w:r>
      <w:r>
        <w:t xml:space="preserve">varied for the participant effect, as did the proficiency by empathy quotient 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represents the probability of a learner with average proficiency and average empathy responding correctly to a yes/no question.</w:t>
      </w:r>
    </w:p>
    <w:p>
      <w:pPr>
        <w:pStyle w:val="Textkrper"/>
      </w:pPr>
      <w:r>
        <w:t xml:space="preserve">The model included regularizing, weakly informative priors</w:t>
      </w:r>
      <w:r>
        <w:t xml:space="preserve"> </w:t>
      </w:r>
      <w:r>
        <w:t xml:space="preserve">(Gelman, Simpson, &amp; Betancourt, 2017)</w:t>
      </w:r>
      <w:r>
        <w:t xml:space="preserve">.</w:t>
      </w:r>
    </w:p>
    <w:p>
      <w:pPr>
        <w:pStyle w:val="Textkrper"/>
      </w:pPr>
      <w:r>
        <w:t xml:space="preserve">We established a region of practical equivalence (ROPE) of ± 0.05 around a point null value of 0</w:t>
      </w:r>
      <w:r>
        <w:t xml:space="preserve"> </w:t>
      </w:r>
      <w:r>
        <w:t xml:space="preserve">(see Kruschke, 2018)</w:t>
      </w:r>
      <w:r>
        <w:t xml:space="preserve">.</w:t>
      </w:r>
      <w:r>
        <w:t xml:space="preserve"> </w:t>
      </w:r>
      <w:r>
        <w:t xml:space="preserve">We will sample the posterior distribution of the model for statistical inferences.</w:t>
      </w:r>
      <w:r>
        <w:t xml:space="preserve"> </w:t>
      </w:r>
      <w:r>
        <w:t xml:space="preserve">A region of practical equivalence (ROPE) will be established around a point null value of 0</w:t>
      </w:r>
      <w:r>
        <w:t xml:space="preserve"> </w:t>
      </w:r>
      <w:r>
        <w:t xml:space="preserve">(Kruschke,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The analyses were conducted in R and models fit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34" w:name="results"/>
    <w:p>
      <w:pPr>
        <w:pStyle w:val="berschrift1"/>
      </w:pPr>
      <w:r>
        <w:t xml:space="preserve">Results</w:t>
      </w:r>
    </w:p>
    <w:p>
      <w:pPr>
        <w:pStyle w:val="FirstParagraph"/>
      </w:pPr>
      <w:r>
        <w:t xml:space="preserve">This is Figure</w:t>
      </w:r>
      <w:r>
        <w:t xml:space="preserve"> </w:t>
      </w:r>
      <w:r>
        <w:t xml:space="preserve">1</w:t>
      </w:r>
    </w:p>
    <w:p>
      <w:pPr>
        <w:pStyle w:val="CaptionedFigure"/>
      </w:pPr>
      <w:r>
        <w:drawing>
          <wp:inline>
            <wp:extent cx="5969000" cy="3410857"/>
            <wp:effectExtent b="0" l="0" r="0" t="0"/>
            <wp:docPr descr="Figure 1.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2</w:t>
      </w:r>
    </w:p>
    <w:p>
      <w:pPr>
        <w:pStyle w:val="CaptionedFigure"/>
      </w:pPr>
      <w:r>
        <w:drawing>
          <wp:inline>
            <wp:extent cx="5969000" cy="3410857"/>
            <wp:effectExtent b="0" l="0" r="0" t="0"/>
            <wp:docPr descr="Figure 2.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by_speaker_variety.pdf" id="0" name="Picture"/>
                    <pic:cNvPicPr>
                      <a:picLocks noChangeArrowheads="1" noChangeAspect="1"/>
                    </pic:cNvPicPr>
                  </pic:nvPicPr>
                  <pic:blipFill>
                    <a:blip r:embed="rId3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Partially pooled estimates for each speaker variety.</w:t>
      </w:r>
    </w:p>
    <w:p>
      <w:pPr>
        <w:pStyle w:val="Textkrper"/>
      </w:pPr>
      <w:r>
        <w:t xml:space="preserve">This is Figure</w:t>
      </w:r>
      <w:r>
        <w:t xml:space="preserve"> </w:t>
      </w:r>
      <w:r>
        <w:t xml:space="preserve">3</w:t>
      </w:r>
    </w:p>
    <w:p>
      <w:pPr>
        <w:pStyle w:val="CaptionedFigure"/>
      </w:pPr>
      <w:r>
        <w:drawing>
          <wp:inline>
            <wp:extent cx="5969000" cy="3410857"/>
            <wp:effectExtent b="0" l="0" r="0" t="0"/>
            <wp:docPr descr="Figure 3.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bookmarkEnd w:id="34"/>
    <w:bookmarkStart w:id="35" w:name="discussion"/>
    <w:p>
      <w:pPr>
        <w:pStyle w:val="berschrift1"/>
      </w:pPr>
      <w:r>
        <w:t xml:space="preserve">Discussion</w:t>
      </w:r>
    </w:p>
    <w:bookmarkEnd w:id="35"/>
    <w:bookmarkStart w:id="36" w:name="conclusion"/>
    <w:p>
      <w:pPr>
        <w:pStyle w:val="berschrift1"/>
      </w:pPr>
      <w:r>
        <w:t xml:space="preserve">Conclusion</w:t>
      </w:r>
    </w:p>
    <w:p>
      <w:r>
        <w:br w:type="page"/>
      </w:r>
    </w:p>
    <w:bookmarkEnd w:id="36"/>
    <w:bookmarkStart w:id="92" w:name="references"/>
    <w:p>
      <w:pPr>
        <w:pStyle w:val="berschrift1"/>
      </w:pPr>
      <w:r>
        <w:t xml:space="preserve">References</w:t>
      </w:r>
    </w:p>
    <w:bookmarkStart w:id="91" w:name="refs"/>
    <w:bookmarkStart w:id="38"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37">
        <w:r>
          <w:rPr>
            <w:rStyle w:val="Hyperlink"/>
          </w:rPr>
          <w:t xml:space="preserve">https://doi.org/10.1075/ihll.6</w:t>
        </w:r>
      </w:hyperlink>
    </w:p>
    <w:bookmarkEnd w:id="38"/>
    <w:bookmarkStart w:id="3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39"/>
    <w:bookmarkStart w:id="4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0">
        <w:r>
          <w:rPr>
            <w:rStyle w:val="Hyperlink"/>
          </w:rPr>
          <w:t xml:space="preserve">https://doi.org/10.1023/B:JADD.0000022607.19833.00</w:t>
        </w:r>
      </w:hyperlink>
    </w:p>
    <w:bookmarkEnd w:id="41"/>
    <w:bookmarkStart w:id="4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2"/>
    <w:bookmarkStart w:id="43"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3"/>
    <w:bookmarkStart w:id="45"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44">
        <w:r>
          <w:rPr>
            <w:rStyle w:val="Hyperlink"/>
          </w:rPr>
          <w:t xml:space="preserve">https://doi.org/10.1075/ihll.26</w:t>
        </w:r>
      </w:hyperlink>
    </w:p>
    <w:bookmarkEnd w:id="45"/>
    <w:bookmarkStart w:id="47"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46">
        <w:r>
          <w:rPr>
            <w:rStyle w:val="Hyperlink"/>
          </w:rPr>
          <w:t xml:space="preserve">https://doi.org/10.18637/jss.v080.i01</w:t>
        </w:r>
      </w:hyperlink>
    </w:p>
    <w:bookmarkEnd w:id="47"/>
    <w:bookmarkStart w:id="49"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48">
        <w:r>
          <w:rPr>
            <w:rStyle w:val="Hyperlink"/>
          </w:rPr>
          <w:t xml:space="preserve">https://doi.org/10.32614/RJ-2018-017</w:t>
        </w:r>
      </w:hyperlink>
    </w:p>
    <w:bookmarkEnd w:id="49"/>
    <w:bookmarkStart w:id="51"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0">
        <w:r>
          <w:rPr>
            <w:rStyle w:val="Hyperlink"/>
          </w:rPr>
          <w:t xml:space="preserve">https://doi.org/10.1037/0022-0663.96.4.671</w:t>
        </w:r>
      </w:hyperlink>
    </w:p>
    <w:bookmarkEnd w:id="51"/>
    <w:bookmarkStart w:id="53"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2">
        <w:r>
          <w:rPr>
            <w:rStyle w:val="Hyperlink"/>
          </w:rPr>
          <w:t xml:space="preserve">https://doi.org/10.1017/S0140525X09000545</w:t>
        </w:r>
      </w:hyperlink>
    </w:p>
    <w:bookmarkEnd w:id="53"/>
    <w:bookmarkStart w:id="5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54">
        <w:r>
          <w:rPr>
            <w:rStyle w:val="Hyperlink"/>
          </w:rPr>
          <w:t xml:space="preserve">https://doi.org/10.1111/cogs.12227</w:t>
        </w:r>
      </w:hyperlink>
    </w:p>
    <w:bookmarkEnd w:id="55"/>
    <w:bookmarkStart w:id="5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56"/>
    <w:bookmarkStart w:id="5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57">
        <w:r>
          <w:rPr>
            <w:rStyle w:val="Hyperlink"/>
          </w:rPr>
          <w:t xml:space="preserve">https://doi.org/10.13140/RG.2.2.19401.13926</w:t>
        </w:r>
      </w:hyperlink>
    </w:p>
    <w:bookmarkEnd w:id="58"/>
    <w:bookmarkStart w:id="6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59">
        <w:r>
          <w:rPr>
            <w:rStyle w:val="Hyperlink"/>
          </w:rPr>
          <w:t xml:space="preserve">https://doi.org/10.3758/s13421-019-00990-w</w:t>
        </w:r>
      </w:hyperlink>
    </w:p>
    <w:bookmarkEnd w:id="60"/>
    <w:bookmarkStart w:id="6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61"/>
    <w:bookmarkStart w:id="6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62">
        <w:r>
          <w:rPr>
            <w:rStyle w:val="Hyperlink"/>
          </w:rPr>
          <w:t xml:space="preserve">https://doi.org/10.1098/rstb.2002.1218</w:t>
        </w:r>
      </w:hyperlink>
    </w:p>
    <w:bookmarkEnd w:id="63"/>
    <w:bookmarkStart w:id="6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64">
        <w:r>
          <w:rPr>
            <w:rStyle w:val="Hyperlink"/>
          </w:rPr>
          <w:t xml:space="preserve">https://doi.org/10.3390/e19100555</w:t>
        </w:r>
      </w:hyperlink>
    </w:p>
    <w:bookmarkEnd w:id="65"/>
    <w:bookmarkStart w:id="6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37">
        <w:r>
          <w:rPr>
            <w:rStyle w:val="Hyperlink"/>
          </w:rPr>
          <w:t xml:space="preserve">https://doi.org/10.1075/ihll.6</w:t>
        </w:r>
      </w:hyperlink>
    </w:p>
    <w:bookmarkEnd w:id="66"/>
    <w:bookmarkStart w:id="6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67">
        <w:r>
          <w:rPr>
            <w:rStyle w:val="Hyperlink"/>
          </w:rPr>
          <w:t xml:space="preserve">https://doi.org/10.1037/t47086-000</w:t>
        </w:r>
      </w:hyperlink>
    </w:p>
    <w:bookmarkEnd w:id="68"/>
    <w:bookmarkStart w:id="69"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69"/>
    <w:bookmarkStart w:id="71"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70">
        <w:r>
          <w:rPr>
            <w:rStyle w:val="Hyperlink"/>
          </w:rPr>
          <w:t xml:space="preserve">https://doi.org/10.1159/000259481</w:t>
        </w:r>
      </w:hyperlink>
    </w:p>
    <w:bookmarkEnd w:id="71"/>
    <w:bookmarkStart w:id="73"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72">
        <w:r>
          <w:rPr>
            <w:rStyle w:val="Hyperlink"/>
          </w:rPr>
          <w:t xml:space="preserve">https://doi.org/10.3758/s13428-011-0146-0</w:t>
        </w:r>
      </w:hyperlink>
    </w:p>
    <w:bookmarkEnd w:id="73"/>
    <w:bookmarkStart w:id="75"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74">
        <w:r>
          <w:rPr>
            <w:rStyle w:val="Hyperlink"/>
          </w:rPr>
          <w:t xml:space="preserve">https://doi.org/10.1016/j.jml.2010.06.005</w:t>
        </w:r>
      </w:hyperlink>
    </w:p>
    <w:bookmarkEnd w:id="75"/>
    <w:bookmarkStart w:id="77"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76">
        <w:r>
          <w:rPr>
            <w:rStyle w:val="Hyperlink"/>
          </w:rPr>
          <w:t xml:space="preserve">https://doi.org/10.5334/labphon.238</w:t>
        </w:r>
      </w:hyperlink>
    </w:p>
    <w:bookmarkEnd w:id="77"/>
    <w:bookmarkStart w:id="78"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78"/>
    <w:bookmarkStart w:id="8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79">
        <w:r>
          <w:rPr>
            <w:rStyle w:val="Hyperlink"/>
          </w:rPr>
          <w:t xml:space="preserve">https://doi.org/10.1111/lang.12079</w:t>
        </w:r>
      </w:hyperlink>
    </w:p>
    <w:bookmarkEnd w:id="80"/>
    <w:bookmarkStart w:id="82" w:name="ref-portes2014dialogical"/>
    <w:p>
      <w:pPr>
        <w:pStyle w:val="Literaturverzeichnis"/>
      </w:pPr>
      <w:r>
        <w:t xml:space="preserve">Portes, C., Beyssade, C., Michelas, A., Marandin, J.-M., &amp; Champagne-Lavau, M. (2014). The dialogical dimension of intonational meaning:</w:t>
      </w:r>
      <w:r>
        <w:t xml:space="preserve"> </w:t>
      </w:r>
      <w:r>
        <w:t xml:space="preserve">E</w:t>
      </w:r>
      <w:r>
        <w:t xml:space="preserve">vidence from</w:t>
      </w:r>
      <w:r>
        <w:t xml:space="preserve"> </w:t>
      </w:r>
      <w:r>
        <w:t xml:space="preserve">F</w:t>
      </w:r>
      <w:r>
        <w:t xml:space="preserve">rench.</w:t>
      </w:r>
      <w:r>
        <w:t xml:space="preserve"> </w:t>
      </w:r>
      <w:r>
        <w:rPr>
          <w:iCs/>
          <w:i/>
        </w:rPr>
        <w:t xml:space="preserve">Journal of Pragmatics</w:t>
      </w:r>
      <w:r>
        <w:t xml:space="preserve">,</w:t>
      </w:r>
      <w:r>
        <w:t xml:space="preserve"> </w:t>
      </w:r>
      <w:r>
        <w:rPr>
          <w:iCs/>
          <w:i/>
        </w:rPr>
        <w:t xml:space="preserve">74</w:t>
      </w:r>
      <w:r>
        <w:t xml:space="preserve">, 15–29.</w:t>
      </w:r>
      <w:r>
        <w:t xml:space="preserve"> </w:t>
      </w:r>
      <w:hyperlink r:id="rId81">
        <w:r>
          <w:rPr>
            <w:rStyle w:val="Hyperlink"/>
          </w:rPr>
          <w:t xml:space="preserve">https://doi.org/10.1016/j.pragma.2014.08.013</w:t>
        </w:r>
      </w:hyperlink>
    </w:p>
    <w:bookmarkEnd w:id="82"/>
    <w:bookmarkStart w:id="83" w:name="ref-prieto2015intonational"/>
    <w:p>
      <w:pPr>
        <w:pStyle w:val="Literaturverzeichnis"/>
      </w:pPr>
      <w:r>
        <w:t xml:space="preserve">Prieto, P. (2015). Intonational meaning.</w:t>
      </w:r>
      <w:r>
        <w:t xml:space="preserve"> </w:t>
      </w:r>
      <w:r>
        <w:rPr>
          <w:iCs/>
          <w:i/>
        </w:rPr>
        <w:t xml:space="preserve">Wiley Interdisciplinary Reviews: Cognitive Science</w:t>
      </w:r>
      <w:r>
        <w:t xml:space="preserve">,</w:t>
      </w:r>
      <w:r>
        <w:t xml:space="preserve"> </w:t>
      </w:r>
      <w:r>
        <w:rPr>
          <w:iCs/>
          <w:i/>
        </w:rPr>
        <w:t xml:space="preserve">6</w:t>
      </w:r>
      <w:r>
        <w:t xml:space="preserve">(4), 371–381.</w:t>
      </w:r>
    </w:p>
    <w:bookmarkEnd w:id="83"/>
    <w:bookmarkStart w:id="84"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84"/>
    <w:bookmarkStart w:id="85"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85"/>
    <w:bookmarkStart w:id="8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86"/>
    <w:bookmarkStart w:id="8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87">
        <w:r>
          <w:rPr>
            <w:rStyle w:val="Hyperlink"/>
          </w:rPr>
          <w:t xml:space="preserve">https://doi.org/10.1017/S0272263106060013</w:t>
        </w:r>
      </w:hyperlink>
    </w:p>
    <w:bookmarkEnd w:id="88"/>
    <w:bookmarkStart w:id="9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89">
        <w:r>
          <w:rPr>
            <w:rStyle w:val="Hyperlink"/>
          </w:rPr>
          <w:t xml:space="preserve">https://doi.org/10.3389/fpsyg.2015.01000</w:t>
        </w:r>
      </w:hyperlink>
    </w:p>
    <w:bookmarkEnd w:id="90"/>
    <w:bookmarkEnd w:id="91"/>
    <w:p>
      <w:pPr>
        <w:pStyle w:val="h1-pagebreak"/>
      </w:pPr>
      <w:r>
        <w:t xml:space="preserve">Appendix</w:t>
      </w:r>
    </w:p>
    <w:bookmarkEnd w:id="92"/>
    <w:bookmarkStart w:id="98" w:name="on-line-supplementary-material"/>
    <w:p>
      <w:pPr>
        <w:pStyle w:val="berschrift1"/>
      </w:pPr>
      <w:r>
        <w:t xml:space="preserve">On-line supplementary material</w:t>
      </w:r>
    </w:p>
    <w:bookmarkStart w:id="93" w:name="drift-diffusion-models"/>
    <w:p>
      <w:pPr>
        <w:pStyle w:val="berschrift2"/>
      </w:pPr>
      <w:r>
        <w:t xml:space="preserve">Drift diffusion models</w:t>
      </w:r>
    </w:p>
    <w:p>
      <w:r>
        <w:br w:type="page"/>
      </w:r>
    </w:p>
    <w:bookmarkEnd w:id="93"/>
    <w:bookmarkStart w:id="96" w:name="supplementary-analyses"/>
    <w:p>
      <w:pPr>
        <w:pStyle w:val="berschrift2"/>
      </w:pPr>
      <w:r>
        <w:t xml:space="preserve">Supplementary analyses</w:t>
      </w:r>
    </w:p>
    <w:p>
      <w:pPr>
        <w:pStyle w:val="FirstParagraph"/>
      </w:pPr>
      <w:r>
        <w:t xml:space="preserve">This is Figure</w:t>
      </w:r>
      <w:r>
        <w:t xml:space="preserve"> </w:t>
      </w:r>
      <w:r>
        <w:t xml:space="preserve">6</w:t>
      </w:r>
    </w:p>
    <w:p>
      <w:pPr>
        <w:pStyle w:val="CaptionedFigure"/>
      </w:pPr>
      <w:r>
        <w:drawing>
          <wp:inline>
            <wp:extent cx="5969000" cy="3410857"/>
            <wp:effectExtent b="0" l="0" r="0" t="0"/>
            <wp:docPr descr="Figure 6.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9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Make sure each variety represented equally over course of experiment.</w:t>
      </w:r>
    </w:p>
    <w:p>
      <w:pPr>
        <w:pStyle w:val="Textkrper"/>
      </w:pPr>
      <w:r>
        <w:t xml:space="preserve">This is Figure</w:t>
      </w:r>
      <w:r>
        <w:t xml:space="preserve"> </w:t>
      </w:r>
      <w:r>
        <w:t xml:space="preserve">7</w:t>
      </w:r>
    </w:p>
    <w:p>
      <w:pPr>
        <w:pStyle w:val="CaptionedFigure"/>
      </w:pPr>
      <w:r>
        <w:drawing>
          <wp:inline>
            <wp:extent cx="5969000" cy="3410857"/>
            <wp:effectExtent b="0" l="0" r="0" t="0"/>
            <wp:docPr descr="Figure 7.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9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Make sure each variety represented equally over course of experiment.</w:t>
      </w:r>
    </w:p>
    <w:p>
      <w:r>
        <w:br w:type="page"/>
      </w:r>
    </w:p>
    <w:bookmarkEnd w:id="96"/>
    <w:bookmarkStart w:id="97"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w:t>
      </w:r>
      <w:r>
        <w:rPr>
          <w:bCs/>
          <w:b/>
        </w:rPr>
        <w:t xml:space="preserve">R-papaja?</w:t>
      </w:r>
      <w:r>
        <w:t xml:space="preserve">)</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2021-12-15</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97"/>
    <w:bookmarkEnd w:id="9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df" /><Relationship Type="http://schemas.openxmlformats.org/officeDocument/2006/relationships/image" Id="rId30" Target="media/rId30.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1" Target="media/rId31.pdf" /><Relationship Type="http://schemas.openxmlformats.org/officeDocument/2006/relationships/image" Id="rId94" Target="media/rId94.pdf" /><Relationship Type="http://schemas.openxmlformats.org/officeDocument/2006/relationships/image" Id="rId95" Target="media/rId95.pdf" /><Relationship Type="http://schemas.openxmlformats.org/officeDocument/2006/relationships/hyperlink" Id="rId74" Target="https://doi.org/10.1016/j.jml.2010.06.005" TargetMode="External" /><Relationship Type="http://schemas.openxmlformats.org/officeDocument/2006/relationships/hyperlink" Id="rId81" Target="https://doi.org/10.1016/j.pragma.2014.08.013" TargetMode="External" /><Relationship Type="http://schemas.openxmlformats.org/officeDocument/2006/relationships/hyperlink" Id="rId52" Target="https://doi.org/10.1017/S0140525X09000545" TargetMode="External" /><Relationship Type="http://schemas.openxmlformats.org/officeDocument/2006/relationships/hyperlink" Id="rId87"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50" Target="https://doi.org/10.1037/0022-0663.96.4.671" TargetMode="External" /><Relationship Type="http://schemas.openxmlformats.org/officeDocument/2006/relationships/hyperlink" Id="rId67" Target="https://doi.org/10.1037/t47086-000" TargetMode="External" /><Relationship Type="http://schemas.openxmlformats.org/officeDocument/2006/relationships/hyperlink" Id="rId44"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62" Target="https://doi.org/10.1098/rstb.2002.1218" TargetMode="External" /><Relationship Type="http://schemas.openxmlformats.org/officeDocument/2006/relationships/hyperlink" Id="rId54" Target="https://doi.org/10.1111/cogs.12227" TargetMode="External" /><Relationship Type="http://schemas.openxmlformats.org/officeDocument/2006/relationships/hyperlink" Id="rId79" Target="https://doi.org/10.1111/lang.12079" TargetMode="External" /><Relationship Type="http://schemas.openxmlformats.org/officeDocument/2006/relationships/hyperlink" Id="rId70" Target="https://doi.org/10.1159/000259481" TargetMode="External" /><Relationship Type="http://schemas.openxmlformats.org/officeDocument/2006/relationships/hyperlink" Id="rId57" Target="https://doi.org/10.13140/RG.2.2.19401.13926" TargetMode="External" /><Relationship Type="http://schemas.openxmlformats.org/officeDocument/2006/relationships/hyperlink" Id="rId46" Target="https://doi.org/10.18637/jss.v080.i01" TargetMode="External" /><Relationship Type="http://schemas.openxmlformats.org/officeDocument/2006/relationships/hyperlink" Id="rId48" Target="https://doi.org/10.32614/RJ-2018-017" TargetMode="External" /><Relationship Type="http://schemas.openxmlformats.org/officeDocument/2006/relationships/hyperlink" Id="rId89" Target="https://doi.org/10.3389/fpsyg.2015.01000" TargetMode="External" /><Relationship Type="http://schemas.openxmlformats.org/officeDocument/2006/relationships/hyperlink" Id="rId64" Target="https://doi.org/10.3390/e19100555" TargetMode="External" /><Relationship Type="http://schemas.openxmlformats.org/officeDocument/2006/relationships/hyperlink" Id="rId59" Target="https://doi.org/10.3758/s13421-019-00990-w" TargetMode="External" /><Relationship Type="http://schemas.openxmlformats.org/officeDocument/2006/relationships/hyperlink" Id="rId72" Target="https://doi.org/10.3758/s13428-011-0146-0" TargetMode="External" /><Relationship Type="http://schemas.openxmlformats.org/officeDocument/2006/relationships/hyperlink" Id="rId76" Target="https://doi.org/10.5334/labphon.238"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jml.2010.06.005" TargetMode="External" /><Relationship Type="http://schemas.openxmlformats.org/officeDocument/2006/relationships/hyperlink" Id="rId81" Target="https://doi.org/10.1016/j.pragma.2014.08.013" TargetMode="External" /><Relationship Type="http://schemas.openxmlformats.org/officeDocument/2006/relationships/hyperlink" Id="rId52" Target="https://doi.org/10.1017/S0140525X09000545" TargetMode="External" /><Relationship Type="http://schemas.openxmlformats.org/officeDocument/2006/relationships/hyperlink" Id="rId87"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50" Target="https://doi.org/10.1037/0022-0663.96.4.671" TargetMode="External" /><Relationship Type="http://schemas.openxmlformats.org/officeDocument/2006/relationships/hyperlink" Id="rId67" Target="https://doi.org/10.1037/t47086-000" TargetMode="External" /><Relationship Type="http://schemas.openxmlformats.org/officeDocument/2006/relationships/hyperlink" Id="rId44"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62" Target="https://doi.org/10.1098/rstb.2002.1218" TargetMode="External" /><Relationship Type="http://schemas.openxmlformats.org/officeDocument/2006/relationships/hyperlink" Id="rId54" Target="https://doi.org/10.1111/cogs.12227" TargetMode="External" /><Relationship Type="http://schemas.openxmlformats.org/officeDocument/2006/relationships/hyperlink" Id="rId79" Target="https://doi.org/10.1111/lang.12079" TargetMode="External" /><Relationship Type="http://schemas.openxmlformats.org/officeDocument/2006/relationships/hyperlink" Id="rId70" Target="https://doi.org/10.1159/000259481" TargetMode="External" /><Relationship Type="http://schemas.openxmlformats.org/officeDocument/2006/relationships/hyperlink" Id="rId57" Target="https://doi.org/10.13140/RG.2.2.19401.13926" TargetMode="External" /><Relationship Type="http://schemas.openxmlformats.org/officeDocument/2006/relationships/hyperlink" Id="rId46" Target="https://doi.org/10.18637/jss.v080.i01" TargetMode="External" /><Relationship Type="http://schemas.openxmlformats.org/officeDocument/2006/relationships/hyperlink" Id="rId48" Target="https://doi.org/10.32614/RJ-2018-017" TargetMode="External" /><Relationship Type="http://schemas.openxmlformats.org/officeDocument/2006/relationships/hyperlink" Id="rId89" Target="https://doi.org/10.3389/fpsyg.2015.01000" TargetMode="External" /><Relationship Type="http://schemas.openxmlformats.org/officeDocument/2006/relationships/hyperlink" Id="rId64" Target="https://doi.org/10.3390/e19100555" TargetMode="External" /><Relationship Type="http://schemas.openxmlformats.org/officeDocument/2006/relationships/hyperlink" Id="rId59" Target="https://doi.org/10.3758/s13421-019-00990-w" TargetMode="External" /><Relationship Type="http://schemas.openxmlformats.org/officeDocument/2006/relationships/hyperlink" Id="rId72" Target="https://doi.org/10.3758/s13428-011-0146-0" TargetMode="External" /><Relationship Type="http://schemas.openxmlformats.org/officeDocument/2006/relationships/hyperlink" Id="rId76" Target="https://doi.org/10.5334/labphon.238"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2021-12-15T16:01:02Z</dcterms:created>
  <dcterms:modified xsi:type="dcterms:W3CDTF">2021-12-15T16:01:02Z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