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38.pdf" ContentType="application/pdf"/>
  <Override PartName="/word/media/rId34.pdf" ContentType="application/pdf"/>
  <Override PartName="/word/media/rId32.pdf" ContentType="application/pdf"/>
  <Override PartName="/word/media/rId33.pdf" ContentType="application/pdf"/>
  <Override PartName="/word/media/rId35.png" ContentType="image/png"/>
  <Override PartName="/word/media/rId144.pdf" ContentType="application/pdf"/>
  <Override PartName="/word/media/rId37.pdf" ContentType="application/pdf"/>
  <Override PartName="/word/media/rId145.pdf" ContentType="application/pdf"/>
  <Override PartName="/word/media/rId14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Juan José Garrido Pozú: Conceptualization, Writing - Review &amp; Editing; Kyle Parrish: Conceptualization, Writing - Review &amp; Editing; Laura Fernández Arroyo: Conceptualization, Writing - Review &amp; Editing; Nicole Rodríguez: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and sensitivity to</w:t>
      </w:r>
      <w:r>
        <w:t xml:space="preserve"> </w:t>
      </w:r>
      <w:r>
        <w:t xml:space="preserve">intonation improved as a function of proficiency.</w:t>
      </w:r>
      <w:r>
        <w:t xml:space="preserve"> </w:t>
      </w:r>
      <w:r>
        <w:t xml:space="preserve">Importantly, in high proficiency, high empathy learners (1) more information</w:t>
      </w:r>
      <w:r>
        <w:t xml:space="preserve"> </w:t>
      </w:r>
      <w:r>
        <w:t xml:space="preserve">was necessary to reach a decision and (2) responses came at a slower rate</w:t>
      </w:r>
      <w:r>
        <w:t xml:space="preserve"> </w:t>
      </w:r>
      <w:r>
        <w:t xml:space="preserve">when compared with low empathy learners at any proficiency level.</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 though increased sensitivity does</w:t>
      </w:r>
      <w:r>
        <w:t xml:space="preserve"> </w:t>
      </w:r>
      <w:r>
        <w:t xml:space="preserve">not necessarily imply increased processing speed.</w:t>
      </w:r>
      <w:r>
        <w:t xml:space="preserve"> </w:t>
      </w:r>
      <w:r>
        <w:t xml:space="preserve">The results motivate the inclusion of measures of pragmatic skill, such as</w:t>
      </w:r>
      <w:r>
        <w:t xml:space="preserve"> </w:t>
      </w:r>
      <w:r>
        <w:t xml:space="preserve">empathy, to better account for intonational meaning processing and sentence</w:t>
      </w:r>
      <w:r>
        <w:t xml:space="preserve"> </w:t>
      </w:r>
      <w:r>
        <w:t xml:space="preserve">comprehension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10,093</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of the signal a listener can interpret the intention of a given utterance.</w:t>
      </w:r>
      <w:r>
        <w:t xml:space="preserve"> </w:t>
      </w:r>
      <w:r>
        <w:t xml:space="preserve">For example, an intonational contour can indicate to a listener whether the utterance of an interlocutor is declarative or interrogative in nature.</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non-native language represents a particularly challenging aspect of speech comprehension for the language learner.</w:t>
      </w:r>
      <w:r>
        <w:t xml:space="preserve"> </w:t>
      </w:r>
      <w:r>
        <w:t xml:space="preserve">Moreover, the use of L1 prosodic features when speaking the target language can result in misunderstandings due to the fact that the same prosodic features may convey different linguistic and paralinguistic meaning in the target language</w:t>
      </w:r>
      <w:r>
        <w:t xml:space="preserve"> </w:t>
      </w:r>
      <w:r>
        <w:t xml:space="preserve">(Chen, 2005; Cruz-Ferreira, 1987, 1987; Mennen, 2007; Pickering, 2001)</w:t>
      </w:r>
      <w:r>
        <w:t xml:space="preserve">.</w:t>
      </w:r>
      <w:r>
        <w:t xml:space="preserve"> </w:t>
      </w:r>
      <w:r>
        <w:t xml:space="preserve">As noted by</w:t>
      </w:r>
      <w:r>
        <w:t xml:space="preserve"> </w:t>
      </w:r>
      <w:r>
        <w:t xml:space="preserve">Levis (2016)</w:t>
      </w:r>
      <w:r>
        <w:t xml:space="preserve"> </w:t>
      </w:r>
      <w:r>
        <w:t xml:space="preserve">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more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depending on the variety, for the same utterance type a pitch accent may be realized differently with regard to pitch movement and/or syllable duration.</w:t>
      </w:r>
      <w:r>
        <w:t xml:space="preserve"> </w:t>
      </w:r>
      <w:r>
        <w:t xml:space="preserve">Prosodic strategies can be different altogether.</w:t>
      </w:r>
      <w:r>
        <w:t xml:space="preserve"> </w:t>
      </w:r>
      <w:r>
        <w:t xml:space="preserve">Consider absolute interrogatives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a pre-, post-test designs</w:t>
      </w:r>
      <w:r>
        <w:t xml:space="preserve"> </w:t>
      </w:r>
      <w:r>
        <w:t xml:space="preserve">(Craft, 2015; See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absolute interrogatives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declaratives and polar and absolute interrogatives in adult L2 learners of Spanish.</w:t>
      </w:r>
      <w:r>
        <w:t xml:space="preserve"> </w:t>
      </w:r>
      <w:r>
        <w:t xml:space="preserve">The learners completed an AX discrimination task in which they were presented audio and visual stimuli in matched and mismatched conditions.</w:t>
      </w:r>
      <w:r>
        <w:t xml:space="preserve"> </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a self-report Empathy Quotient (EQ) questionnaire</w:t>
      </w:r>
      <w:r>
        <w:t xml:space="preserve"> </w:t>
      </w:r>
      <w:r>
        <w:t xml:space="preserve">(Baron-Cohen &amp; Wheelwright, 2004)</w:t>
      </w:r>
      <w:r>
        <w:t xml:space="preserve"> </w:t>
      </w:r>
      <w:r>
        <w:t xml:space="preserve">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work on empathy is limited, though the construct received attention from scholars as early as the 60’s and 70’s [See</w:t>
      </w:r>
      <w:r>
        <w:t xml:space="preserve"> </w:t>
      </w:r>
      <w:r>
        <w:t xml:space="preserve">Guiora, Taylor, and Brandwin (1968)</w:t>
      </w:r>
      <w:r>
        <w:t xml:space="preserve">;</w:t>
      </w:r>
      <w:r>
        <w:t xml:space="preserve"> </w:t>
      </w:r>
      <w:r>
        <w:t xml:space="preserve">Guiora, Brannon, and Dull (1972)</w:t>
      </w:r>
      <w:r>
        <w:t xml:space="preserve">;</w:t>
      </w:r>
      <w:r>
        <w:t xml:space="preserve"> </w:t>
      </w:r>
      <w:r>
        <w:t xml:space="preserve">Guiora, Beit-Hallahmi, Brannon, Dull, and Scovel (1972)</w:t>
      </w:r>
      <w:r>
        <w:t xml:space="preserve">;</w:t>
      </w:r>
      <w:r>
        <w:t xml:space="preserve"> </w:t>
      </w:r>
      <w:r>
        <w:t xml:space="preserve">Brown (1973)</w:t>
      </w:r>
      <w:r>
        <w:t xml:space="preserve">; guiora1979personality].</w:t>
      </w:r>
      <w:r>
        <w:t xml:space="preserve"> </w:t>
      </w:r>
      <w:r>
        <w:t xml:space="preserve">The particular body of work linking empathy with SLA has focused on speech production, or more specifically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in order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total interrogatives (i.e., yes-no questions) will present the most difficulty for L2 learners of Spanish, followed by partial interrogatives (i.e.,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0"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insure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thus we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29"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analysed the boundary separation and drift rate data as a function of</w:t>
      </w:r>
      <w:r>
        <w:t xml:space="preserve"> </w:t>
      </w:r>
      <w:r>
        <w:rPr>
          <w:iCs/>
          <w:i/>
        </w:rPr>
        <w:t xml:space="preserve">utterance type</w:t>
      </w:r>
      <w:r>
        <w:t xml:space="preserve"> </w:t>
      </w:r>
      <w:r>
        <w:t xml:space="preserve">(interrogative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 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29"/>
    <w:bookmarkEnd w:id="30"/>
    <w:bookmarkStart w:id="40" w:name="results"/>
    <w:p>
      <w:pPr>
        <w:pStyle w:val="berschrift1"/>
      </w:pPr>
      <w:r>
        <w:t xml:space="preserve">Results</w:t>
      </w:r>
    </w:p>
    <w:bookmarkStart w:id="3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an absolute interrogative utterance at the average proficiency and EQ levels was 0.53, or approximately 62.95% (β = 0.53, HDI = [0.23, 0.83],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utterances (narrow focus:</w:t>
      </w:r>
      <w:r>
        <w:t xml:space="preserve"> </w:t>
      </w:r>
      <w:r>
        <w:t xml:space="preserve">β = 2.13, HDI = [1.86, 2.40], ROPE = 0, MPE = 1, Accuracy = 93.46%; broad focus:</w:t>
      </w:r>
      <w:r>
        <w:t xml:space="preserve"> </w:t>
      </w:r>
      <w:r>
        <w:t xml:space="preserve">β = 2.34, HDI = [2.06, 2.60], ROPE = 0, MPE = 1, Accuracy = 94.63%).</w:t>
      </w:r>
      <w:r>
        <w:rPr>
          <w:rStyle w:val="Funotenzeichen"/>
        </w:rPr>
        <w:footnoteReference w:id="31"/>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66% and 95% highest density credible intervals." title="" id="1" name="Picture"/>
            <a:graphic>
              <a:graphicData uri="http://schemas.openxmlformats.org/drawingml/2006/picture">
                <pic:pic>
                  <pic:nvPicPr>
                    <pic:cNvPr descr="/Users/casillas/academia/research/in_progress/empathy_intonation_perc/figs/manuscript/learner_accuracy_forest_utterance_type.pdf" id="0" name="Picture"/>
                    <pic:cNvPicPr>
                      <a:picLocks noChangeArrowheads="1" noChangeAspect="1"/>
                    </pic:cNvPicPr>
                  </pic:nvPicPr>
                  <pic:blipFill>
                    <a:blip r:embed="rId3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Forest plot summary of the response accuracy model (left panel) and posterior probability of a correct response for each utterance type (right panel). For both plots, white points represent posterior medians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y/n questions (β = 0.28, HDI = [0.15, 0.41], ROPE = 0, MPE = 1) and wh- questions (β = 0.40, HDI = [0.24, 0.57], ROPE = 0.00, MPE = 1.00), this was also the case for broad focus (β = 0.48, HDI = [0.26, 0.71], ROPE = 0.00, MPE = 1.00) and narrow focus (β = 0.31, HDI = [0.10, 0.51], ROPE = 0.00, MPE = 1.00) declaratives.</w:t>
      </w:r>
      <w:r>
        <w:t xml:space="preserve"> </w:t>
      </w:r>
      <w:r>
        <w:t xml:space="preserve">There was no evidence that empathy level predicted response accuracy for y/n questions (β = −0.02, HDI = [−0.12, 0.09], ROPE = 0.98, MPE = 0.62), however for wh- questions (β = 0.18, HDI = [0.05, 0.32], ROPE = 0.10, MPE = 1.00), broad focus declaratives (β = 0.23, HDI = [0.05, 0.43], ROPE = 0.06, MPE = 0.99), and narrow focus (β = 0.24, HDI = [0.07, 0.42], ROPE = 0.03, MPE = 1.00) declaratives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lt_eq_by_utterance_type.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y/n questions (β = 0.02, HDI = [−0.09, 0.14], ROPE = 0.92, MPE = 0.65), broad focus declaratives (β = 0.10, HDI = [−0.14, 0.35], ROPE = 0.46, MPE = 0.80), nor narrow focus declaratives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y/n and wh- interrogatives.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y/n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 mean for each question type. Thin lines represent 300 draws from the posterior distribution and indicate uncertainty (95% HDI) around the posterior medians (thick lines)."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Probability of a correct response as a function of LexTALE score while holding empathy quotient scores constant at −1, 0 and +1 standard deviations from th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standard Peninsular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66% and 95% highest density credible intervals. The vertical dotted lines indicate the grand mean." title="" id="1" name="Picture"/>
            <a:graphic>
              <a:graphicData uri="http://schemas.openxmlformats.org/drawingml/2006/picture">
                <pic:pic>
                  <pic:nvPicPr>
                    <pic:cNvPr descr="/Users/casillas/academia/research/in_progress/empathy_intonation_perc/figs/manuscript/learner_accuracy_rt_by_speaker_variety.png" id="0" name="Picture"/>
                    <pic:cNvPicPr>
                      <a:picLocks noChangeArrowheads="1" noChangeAspect="1"/>
                    </pic:cNvPicPr>
                  </pic:nvPicPr>
                  <pic:blipFill>
                    <a:blip r:embed="rId35"/>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Grouping-level estimates of response accuracy and response time as a function of speaker variety. Red points represent posterior medians ±66% and 95% highest density credible intervals. The vertical dotted lines indicate the grand mean.</w:t>
      </w:r>
    </w:p>
    <w:bookmarkEnd w:id="36"/>
    <w:bookmarkStart w:id="39"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utterances, we focus our analyses on y/n and wh- interrogatives.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1" name="Picture"/>
            <a:graphic>
              <a:graphicData uri="http://schemas.openxmlformats.org/drawingml/2006/picture">
                <pic:pic>
                  <pic:nvPicPr>
                    <pic:cNvPr descr="/Users/casillas/academia/research/in_progress/empathy_intonation_perc/figs/manuscript/me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interrogatives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y/n questions by approximately 10% (Mean difference: β = 9.30, HDI = [3.69, 13.99],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y/n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interrogative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39"/>
    <w:bookmarkEnd w:id="40"/>
    <w:bookmarkStart w:id="41"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rPr>
          <w:iCs/>
          <w:i/>
        </w:rPr>
        <w:t xml:space="preserve"> </w:t>
      </w:r>
      <w:r>
        <w:rPr>
          <w:iCs/>
          <w:i/>
        </w:rPr>
        <w:t xml:space="preserve">(i.e., Brandl et al., 2020)</w:t>
      </w:r>
      <w:r>
        <w:rPr>
          <w:iCs/>
          <w:i/>
        </w:rPr>
        <w:t xml:space="preserve">?</w:t>
      </w:r>
      <w:r>
        <w:t xml:space="preserve">, was developed as a direct result of the previous literature examining the acquisition of Spanish prosody</w:t>
      </w:r>
      <w:r>
        <w:t xml:space="preserve"> </w:t>
      </w:r>
      <w:r>
        <w:t xml:space="preserve">(Brandl et al., 2020; i.e.,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total interrogatives (i.e., yes-no questions) were most difficult for L2 learners of Spanish, followed by partial interrogatives (i.e., wh-questions) and declarative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(Guiora et al., 1972, i.e., 1968; Rota &amp; Reiterer, 2009, among others)</w:t>
      </w:r>
      <w:r>
        <w:t xml:space="preserve">.</w:t>
      </w:r>
      <w:r>
        <w:t xml:space="preserve"> </w:t>
      </w:r>
      <w:r>
        <w:t xml:space="preserve">Thus, we extend research on empathy to L2 phonological acquisition of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 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Aside from addressing response accuracy, we also show that in high proficiency, high empathy learners (1) more information was necessary to reach a decision and (2) responses came at a slower rate when compared with low empathy learners at any proficiency level.</w:t>
      </w:r>
      <w:r>
        <w:t xml:space="preserve"> </w:t>
      </w:r>
      <w:r>
        <w:t xml:space="preserve">This interaction effect on sentence processing was found for both partial and absolute interrogatives.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onself, higher empathy individuals might show more sensitivity to intonation cues out of a general tendency to be more willing to devote their cognitive efforts to this area, which, consequently, may require more time than not devoting that effort.</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standard Peninsular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standard Peninsular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Absolute interrogatives in Standard Peninsular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10</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(Bertrand, Guegan, Robieux, McCall, &amp; Zenasni, 2018; i.e.,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41"/>
    <w:bookmarkStart w:id="42"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42"/>
    <w:bookmarkStart w:id="140" w:name="references"/>
    <w:p>
      <w:pPr>
        <w:pStyle w:val="berschrift1"/>
      </w:pPr>
      <w:r>
        <w:t xml:space="preserve">References</w:t>
      </w:r>
    </w:p>
    <w:bookmarkStart w:id="139" w:name="refs"/>
    <w:bookmarkStart w:id="44"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3">
        <w:r>
          <w:rPr>
            <w:rStyle w:val="Hyperlink"/>
          </w:rPr>
          <w:t xml:space="preserve">https://doi.org/10.1075/ihll.6</w:t>
        </w:r>
      </w:hyperlink>
    </w:p>
    <w:bookmarkEnd w:id="44"/>
    <w:bookmarkStart w:id="46"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45">
        <w:r>
          <w:rPr>
            <w:rStyle w:val="Hyperlink"/>
          </w:rPr>
          <w:t xml:space="preserve">https://github.com/crsh/papaja</w:t>
        </w:r>
      </w:hyperlink>
    </w:p>
    <w:bookmarkEnd w:id="46"/>
    <w:bookmarkStart w:id="48"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47">
        <w:r>
          <w:rPr>
            <w:rStyle w:val="Hyperlink"/>
          </w:rPr>
          <w:t xml:space="preserve">https://doi.org/10.1159/000493981</w:t>
        </w:r>
      </w:hyperlink>
    </w:p>
    <w:bookmarkEnd w:id="48"/>
    <w:bookmarkStart w:id="49"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9"/>
    <w:bookmarkStart w:id="51"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50">
        <w:r>
          <w:rPr>
            <w:rStyle w:val="Hyperlink"/>
          </w:rPr>
          <w:t xml:space="preserve">https://doi.org/10.1023/B:JADD.0000022607.19833.00</w:t>
        </w:r>
      </w:hyperlink>
    </w:p>
    <w:bookmarkEnd w:id="51"/>
    <w:bookmarkStart w:id="53"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52">
        <w:r>
          <w:rPr>
            <w:rStyle w:val="Hyperlink"/>
          </w:rPr>
          <w:t xml:space="preserve">https://doi.org/10.3389/frobt.2018.00026</w:t>
        </w:r>
      </w:hyperlink>
    </w:p>
    <w:bookmarkEnd w:id="53"/>
    <w:bookmarkStart w:id="54"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54"/>
    <w:bookmarkStart w:id="55"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55"/>
    <w:bookmarkStart w:id="5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56">
        <w:r>
          <w:rPr>
            <w:rStyle w:val="Hyperlink"/>
          </w:rPr>
          <w:t xml:space="preserve">http://www.praat.org/</w:t>
        </w:r>
      </w:hyperlink>
    </w:p>
    <w:bookmarkEnd w:id="57"/>
    <w:bookmarkStart w:id="5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8">
        <w:r>
          <w:rPr>
            <w:rStyle w:val="Hyperlink"/>
          </w:rPr>
          <w:t xml:space="preserve">https://doi.org/10.1075/ihll.26</w:t>
        </w:r>
      </w:hyperlink>
    </w:p>
    <w:bookmarkEnd w:id="59"/>
    <w:bookmarkStart w:id="6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60">
        <w:r>
          <w:rPr>
            <w:rStyle w:val="Hyperlink"/>
          </w:rPr>
          <w:t xml:space="preserve">https://doi.org/10.1111/j.1467-1770.1973.tb00658.x</w:t>
        </w:r>
      </w:hyperlink>
    </w:p>
    <w:bookmarkEnd w:id="61"/>
    <w:bookmarkStart w:id="6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62">
        <w:r>
          <w:rPr>
            <w:rStyle w:val="Hyperlink"/>
          </w:rPr>
          <w:t xml:space="preserve">https://doi.org/10.18637/jss.v080.i01</w:t>
        </w:r>
      </w:hyperlink>
    </w:p>
    <w:bookmarkEnd w:id="63"/>
    <w:bookmarkStart w:id="6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4">
        <w:r>
          <w:rPr>
            <w:rStyle w:val="Hyperlink"/>
          </w:rPr>
          <w:t xml:space="preserve">https://doi.org/10.32614/RJ-2018-017</w:t>
        </w:r>
      </w:hyperlink>
    </w:p>
    <w:bookmarkEnd w:id="65"/>
    <w:bookmarkStart w:id="6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66">
        <w:r>
          <w:rPr>
            <w:rStyle w:val="Hyperlink"/>
          </w:rPr>
          <w:t xml:space="preserve">https://doi.org/10.1037/0022-0663.96.4.671</w:t>
        </w:r>
      </w:hyperlink>
    </w:p>
    <w:bookmarkEnd w:id="67"/>
    <w:bookmarkStart w:id="6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68">
        <w:r>
          <w:rPr>
            <w:rStyle w:val="Hyperlink"/>
          </w:rPr>
          <w:t xml:space="preserve">https://doi.org/10.1017/S0140525X09000545</w:t>
        </w:r>
      </w:hyperlink>
    </w:p>
    <w:bookmarkEnd w:id="69"/>
    <w:bookmarkStart w:id="7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70"/>
    <w:bookmarkStart w:id="7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71"/>
    <w:bookmarkStart w:id="7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72"/>
    <w:bookmarkStart w:id="7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73">
        <w:r>
          <w:rPr>
            <w:rStyle w:val="Hyperlink"/>
          </w:rPr>
          <w:t xml:space="preserve">https://doi.org/10.1111/cogs.12227</w:t>
        </w:r>
      </w:hyperlink>
    </w:p>
    <w:bookmarkEnd w:id="74"/>
    <w:bookmarkStart w:id="7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75"/>
    <w:bookmarkStart w:id="77"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76">
        <w:r>
          <w:rPr>
            <w:rStyle w:val="Hyperlink"/>
          </w:rPr>
          <w:t xml:space="preserve">https://doi.org/10.13140/RG.2.2.19401.13926</w:t>
        </w:r>
      </w:hyperlink>
    </w:p>
    <w:bookmarkEnd w:id="77"/>
    <w:bookmarkStart w:id="79"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78">
        <w:r>
          <w:rPr>
            <w:rStyle w:val="Hyperlink"/>
          </w:rPr>
          <w:t xml:space="preserve">https://doi.org/10.3758/s13421-019-00990-w</w:t>
        </w:r>
      </w:hyperlink>
    </w:p>
    <w:bookmarkEnd w:id="79"/>
    <w:bookmarkStart w:id="81"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80">
        <w:r>
          <w:rPr>
            <w:rStyle w:val="Hyperlink"/>
          </w:rPr>
          <w:t xml:space="preserve">https://doi.org/10.1017/9781108886901.002</w:t>
        </w:r>
      </w:hyperlink>
    </w:p>
    <w:bookmarkEnd w:id="81"/>
    <w:bookmarkStart w:id="83"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82">
        <w:r>
          <w:rPr>
            <w:rStyle w:val="Hyperlink"/>
          </w:rPr>
          <w:t xml:space="preserve">https://doi.org/10.1098/rstb.2002.1218</w:t>
        </w:r>
      </w:hyperlink>
    </w:p>
    <w:bookmarkEnd w:id="83"/>
    <w:bookmarkStart w:id="85"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84">
        <w:r>
          <w:rPr>
            <w:rStyle w:val="Hyperlink"/>
          </w:rPr>
          <w:t xml:space="preserve">https://doi.org/10.3390/e19100555</w:t>
        </w:r>
      </w:hyperlink>
    </w:p>
    <w:bookmarkEnd w:id="85"/>
    <w:bookmarkStart w:id="87"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86">
        <w:r>
          <w:rPr>
            <w:rStyle w:val="Hyperlink"/>
          </w:rPr>
          <w:t xml:space="preserve">https://doi.org/10.1016/0010-440X(72)90083-1</w:t>
        </w:r>
      </w:hyperlink>
    </w:p>
    <w:bookmarkEnd w:id="87"/>
    <w:bookmarkStart w:id="89"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88">
        <w:r>
          <w:rPr>
            <w:rStyle w:val="Hyperlink"/>
          </w:rPr>
          <w:t xml:space="preserve">https://doi.org/10.1111/j.1467-1770.1972.tb00077.x</w:t>
        </w:r>
      </w:hyperlink>
    </w:p>
    <w:bookmarkEnd w:id="89"/>
    <w:bookmarkStart w:id="90"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90"/>
    <w:bookmarkStart w:id="91"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3">
        <w:r>
          <w:rPr>
            <w:rStyle w:val="Hyperlink"/>
          </w:rPr>
          <w:t xml:space="preserve">https://doi.org/10.1075/ihll.6</w:t>
        </w:r>
      </w:hyperlink>
    </w:p>
    <w:bookmarkEnd w:id="91"/>
    <w:bookmarkStart w:id="93"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92">
        <w:r>
          <w:rPr>
            <w:rStyle w:val="Hyperlink"/>
          </w:rPr>
          <w:t xml:space="preserve">https://doi.org/10.1515/shll-2010-1067</w:t>
        </w:r>
      </w:hyperlink>
    </w:p>
    <w:bookmarkEnd w:id="93"/>
    <w:bookmarkStart w:id="95"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94">
        <w:r>
          <w:rPr>
            <w:rStyle w:val="Hyperlink"/>
          </w:rPr>
          <w:t xml:space="preserve">https://doi.org/10.1016/j.bandl.2012.11.006</w:t>
        </w:r>
      </w:hyperlink>
    </w:p>
    <w:bookmarkEnd w:id="95"/>
    <w:bookmarkStart w:id="96"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96"/>
    <w:bookmarkStart w:id="98"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97">
        <w:r>
          <w:rPr>
            <w:rStyle w:val="Hyperlink"/>
          </w:rPr>
          <w:t xml:space="preserve">https://doi.org/10.1037/t47086-000</w:t>
        </w:r>
      </w:hyperlink>
    </w:p>
    <w:bookmarkEnd w:id="98"/>
    <w:bookmarkStart w:id="99"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99"/>
    <w:bookmarkStart w:id="100"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00"/>
    <w:bookmarkStart w:id="102"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01">
        <w:r>
          <w:rPr>
            <w:rStyle w:val="Hyperlink"/>
          </w:rPr>
          <w:t xml:space="preserve">https://doi.org/10.1159/000259481</w:t>
        </w:r>
      </w:hyperlink>
    </w:p>
    <w:bookmarkEnd w:id="102"/>
    <w:bookmarkStart w:id="103"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03"/>
    <w:bookmarkStart w:id="105"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04">
        <w:r>
          <w:rPr>
            <w:rStyle w:val="Hyperlink"/>
          </w:rPr>
          <w:t xml:space="preserve">https://doi.org/10.3758/s13428-011-0146-0</w:t>
        </w:r>
      </w:hyperlink>
    </w:p>
    <w:bookmarkEnd w:id="105"/>
    <w:bookmarkStart w:id="107"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06">
        <w:r>
          <w:rPr>
            <w:rStyle w:val="Hyperlink"/>
          </w:rPr>
          <w:t xml:space="preserve">https://doi.org/10.1075/jslp.2.2.01lev</w:t>
        </w:r>
      </w:hyperlink>
    </w:p>
    <w:bookmarkEnd w:id="107"/>
    <w:bookmarkStart w:id="109"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08">
        <w:r>
          <w:rPr>
            <w:rStyle w:val="Hyperlink"/>
          </w:rPr>
          <w:t xml:space="preserve">https://doi.org/10.25236/fmess.2017.55</w:t>
        </w:r>
      </w:hyperlink>
    </w:p>
    <w:bookmarkEnd w:id="109"/>
    <w:bookmarkStart w:id="110"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10"/>
    <w:bookmarkStart w:id="112"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11">
        <w:r>
          <w:rPr>
            <w:rStyle w:val="Hyperlink"/>
          </w:rPr>
          <w:t xml:space="preserve">https://doi.org/10.1017/S0272263100013735</w:t>
        </w:r>
      </w:hyperlink>
    </w:p>
    <w:bookmarkEnd w:id="112"/>
    <w:bookmarkStart w:id="113"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13"/>
    <w:bookmarkStart w:id="114"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14"/>
    <w:bookmarkStart w:id="116"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15">
        <w:r>
          <w:rPr>
            <w:rStyle w:val="Hyperlink"/>
          </w:rPr>
          <w:t xml:space="preserve">https://doi.org/10.1016/j.jml.2010.06.005</w:t>
        </w:r>
      </w:hyperlink>
    </w:p>
    <w:bookmarkEnd w:id="116"/>
    <w:bookmarkStart w:id="118"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17">
        <w:r>
          <w:rPr>
            <w:rStyle w:val="Hyperlink"/>
          </w:rPr>
          <w:t xml:space="preserve">https://doi.org/10.5334/labphon.238</w:t>
        </w:r>
      </w:hyperlink>
    </w:p>
    <w:bookmarkEnd w:id="118"/>
    <w:bookmarkStart w:id="119"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19"/>
    <w:bookmarkStart w:id="121"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20">
        <w:r>
          <w:rPr>
            <w:rStyle w:val="Hyperlink"/>
          </w:rPr>
          <w:t xml:space="preserve">https://doi.org/10.3758/s13423-017-1297-5</w:t>
        </w:r>
      </w:hyperlink>
    </w:p>
    <w:bookmarkEnd w:id="121"/>
    <w:bookmarkStart w:id="122"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22"/>
    <w:bookmarkStart w:id="124"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23">
        <w:r>
          <w:rPr>
            <w:rStyle w:val="Hyperlink"/>
          </w:rPr>
          <w:t xml:space="preserve">https://doi.org/10.2307/3587647</w:t>
        </w:r>
      </w:hyperlink>
    </w:p>
    <w:bookmarkEnd w:id="124"/>
    <w:bookmarkStart w:id="126"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25">
        <w:r>
          <w:rPr>
            <w:rStyle w:val="Hyperlink"/>
          </w:rPr>
          <w:t xml:space="preserve">https://doi.org/10.1111/lang.12079</w:t>
        </w:r>
      </w:hyperlink>
    </w:p>
    <w:bookmarkEnd w:id="126"/>
    <w:bookmarkStart w:id="127"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27"/>
    <w:bookmarkStart w:id="129"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28">
        <w:r>
          <w:rPr>
            <w:rStyle w:val="Hyperlink"/>
          </w:rPr>
          <w:t xml:space="preserve">https://doi.org/10.1162/neco.2008.12-06-420</w:t>
        </w:r>
      </w:hyperlink>
    </w:p>
    <w:bookmarkEnd w:id="129"/>
    <w:bookmarkStart w:id="131"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30">
        <w:r>
          <w:rPr>
            <w:rStyle w:val="Hyperlink"/>
          </w:rPr>
          <w:t xml:space="preserve">https://doi.org/10.1515/9783110215496</w:t>
        </w:r>
      </w:hyperlink>
    </w:p>
    <w:bookmarkEnd w:id="131"/>
    <w:bookmarkStart w:id="132"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32"/>
    <w:bookmarkStart w:id="133"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133"/>
    <w:bookmarkStart w:id="134"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34"/>
    <w:bookmarkStart w:id="136"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35">
        <w:r>
          <w:rPr>
            <w:rStyle w:val="Hyperlink"/>
          </w:rPr>
          <w:t xml:space="preserve">https://doi.org/10.1017/S0272263106060013</w:t>
        </w:r>
      </w:hyperlink>
    </w:p>
    <w:bookmarkEnd w:id="136"/>
    <w:bookmarkStart w:id="138"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37">
        <w:r>
          <w:rPr>
            <w:rStyle w:val="Hyperlink"/>
          </w:rPr>
          <w:t xml:space="preserve">https://doi.org/10.3389/fpsyg.2015.01000</w:t>
        </w:r>
      </w:hyperlink>
    </w:p>
    <w:bookmarkEnd w:id="138"/>
    <w:bookmarkEnd w:id="139"/>
    <w:p>
      <w:pPr>
        <w:pStyle w:val="h1-pagebreak"/>
      </w:pPr>
      <w:r>
        <w:t xml:space="preserve">Appendix</w:t>
      </w:r>
    </w:p>
    <w:bookmarkEnd w:id="140"/>
    <w:bookmarkStart w:id="149" w:name="on-line-supplementary-material"/>
    <w:p>
      <w:pPr>
        <w:pStyle w:val="berschrift1"/>
      </w:pPr>
      <w:r>
        <w:t xml:space="preserve">On-line supplementary material</w:t>
      </w:r>
    </w:p>
    <w:bookmarkStart w:id="141"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 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avaibale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0.83]</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Int. wh-</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Dec. narrow focus</w:t>
            </w:r>
          </w:p>
        </w:tc>
        <w:tc>
          <w:tcPr/>
          <w:p>
            <w:pPr>
              <w:pStyle w:val="Compact"/>
              <w:jc w:val="right"/>
            </w:pPr>
            <w:r>
              <w:t xml:space="preserve">2.13</w:t>
            </w:r>
          </w:p>
        </w:tc>
        <w:tc>
          <w:tcPr/>
          <w:p>
            <w:pPr>
              <w:pStyle w:val="Compact"/>
              <w:jc w:val="right"/>
            </w:pPr>
            <w:r>
              <w:t xml:space="preserve">[1.86, 2.40]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Dec. broad focus</w:t>
            </w:r>
          </w:p>
        </w:tc>
        <w:tc>
          <w:tcPr/>
          <w:p>
            <w:pPr>
              <w:pStyle w:val="Compact"/>
              <w:jc w:val="right"/>
            </w:pPr>
            <w:r>
              <w:t xml:space="preserve">2.34</w:t>
            </w:r>
          </w:p>
        </w:tc>
        <w:tc>
          <w:tcPr/>
          <w:p>
            <w:pPr>
              <w:pStyle w:val="Compact"/>
              <w:jc w:val="right"/>
            </w:pPr>
            <w:r>
              <w:t xml:space="preserve">[2.06, 2.60]</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[−0.12,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Int. wh-:LexTALE</w:t>
            </w:r>
          </w:p>
        </w:tc>
        <w:tc>
          <w:tcPr/>
          <w:p>
            <w:pPr>
              <w:pStyle w:val="Compact"/>
              <w:jc w:val="right"/>
            </w:pPr>
            <w:r>
              <w:t xml:space="preserve">0.12</w:t>
            </w:r>
          </w:p>
        </w:tc>
        <w:tc>
          <w:tcPr/>
          <w:p>
            <w:pPr>
              <w:pStyle w:val="Compact"/>
              <w:jc w:val="right"/>
            </w:pPr>
            <w:r>
              <w:t xml:space="preserve">[−0.05, 0.30]</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Dec. 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Dec. 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Int. wh-:EQ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Dec. 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Dec. 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0.92</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Int. wh-:LexTALE:EQ</w:t>
            </w:r>
          </w:p>
        </w:tc>
        <w:tc>
          <w:tcPr/>
          <w:p>
            <w:pPr>
              <w:pStyle w:val="Compact"/>
              <w:jc w:val="right"/>
            </w:pPr>
            <w:r>
              <w:t xml:space="preserve">0.19</w:t>
            </w:r>
          </w:p>
        </w:tc>
        <w:tc>
          <w:tcPr/>
          <w:p>
            <w:pPr>
              <w:pStyle w:val="Compact"/>
              <w:jc w:val="right"/>
            </w:pPr>
            <w:r>
              <w:t xml:space="preserve">[0.00, 0.40]</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Dec. narrow focus:LexTALE:EQ</w:t>
            </w:r>
          </w:p>
        </w:tc>
        <w:tc>
          <w:tcPr/>
          <w:p>
            <w:pPr>
              <w:pStyle w:val="Compact"/>
              <w:jc w:val="right"/>
            </w:pPr>
            <w:r>
              <w:t xml:space="preserve">0.02</w:t>
            </w:r>
          </w:p>
        </w:tc>
        <w:tc>
          <w:tcPr/>
          <w:p>
            <w:pPr>
              <w:pStyle w:val="Compact"/>
              <w:jc w:val="right"/>
            </w:pPr>
            <w:r>
              <w:t xml:space="preserve">[−0.20,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Dec. broad focus:LexTALE:EQ</w:t>
            </w:r>
          </w:p>
        </w:tc>
        <w:tc>
          <w:tcPr/>
          <w:p>
            <w:pPr>
              <w:pStyle w:val="Compact"/>
              <w:jc w:val="right"/>
            </w:pPr>
            <w:r>
              <w:t xml:space="preserve">0.08</w:t>
            </w:r>
          </w:p>
        </w:tc>
        <w:tc>
          <w:tcPr/>
          <w:p>
            <w:pPr>
              <w:pStyle w:val="Compact"/>
              <w:jc w:val="right"/>
            </w:pPr>
            <w:r>
              <w:t xml:space="preserve">[−0.16, 0.33]</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41"/>
    <w:bookmarkStart w:id="143"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 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42"/>
      </w:r>
      <w:r>
        <w:t xml:space="preserve"> </w:t>
      </w:r>
      <w:r>
        <w:t xml:space="preserve">As mentioned, a DDM uses both of these dependent variables—responses and repsonse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Table</w:t>
      </w:r>
      <w:r>
        <w:t xml:space="preserve"> </w:t>
      </w:r>
      <w:r>
        <w:t xml:space="preserve">2</w:t>
      </w:r>
      <w:r>
        <w:t xml:space="preserve"> </w:t>
      </w:r>
      <w:r>
        <w:t xml:space="preserve">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43"/>
    <w:bookmarkStart w:id="147"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their accuracy.</w:t>
      </w:r>
      <w:r>
        <w:t xml:space="preserve"> </w:t>
      </w:r>
      <w:r>
        <w:t xml:space="preserve">That is to say, learners are more sensitive to (and accurate with) statements (declarative broad focus, declarative narrow focus) than questions (interrogative wh-, interrogative y/n)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 name="Picture"/>
            <a:graphic>
              <a:graphicData uri="http://schemas.openxmlformats.org/drawingml/2006/picture">
                <pic:pic>
                  <pic:nvPicPr>
                    <pic:cNvPr descr="/Users/casillas/academia/research/in_progress/empathy_intonation_perc/figs/manuscript/learner_dp_utterance_variety.pdf" id="0" name="Picture"/>
                    <pic:cNvPicPr>
                      <a:picLocks noChangeArrowheads="1" noChangeAspect="1"/>
                    </pic:cNvPicPr>
                  </pic:nvPicPr>
                  <pic:blipFill>
                    <a:blip r:embed="rId14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Declarative broad focus</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Declarative narrow focus</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Interrogative wh-</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Interrogative y/n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Average number of tokens (±1 SD) presented from each speaker variety across all 14,400 trials. The experiment was programmed such that each of the 8 varieties had an equal probability of being presented (12.50%) across 64 experimental trials."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14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10</w:t>
      </w:r>
      <w:r>
        <w:t xml:space="preserve"> </w:t>
      </w:r>
      <w:r>
        <w:t xml:space="preserve">plots the posterior medians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coincide with those associated with higher response accuracy (compare with Figure</w:t>
      </w:r>
      <w:r>
        <w:t xml:space="preserve"> </w:t>
      </w:r>
      <w:r>
        <w:t xml:space="preserve">5</w:t>
      </w:r>
      <w:r>
        <w:t xml:space="preserve">), the opposite is also true, e.g., Mexican Spanish.</w:t>
      </w:r>
    </w:p>
    <w:p>
      <w:pPr>
        <w:pStyle w:val="CaptionedFigure"/>
      </w:pPr>
      <w:r>
        <w:drawing>
          <wp:inline>
            <wp:extent cx="5969000" cy="3410857"/>
            <wp:effectExtent b="0" l="0" r="0" t="0"/>
            <wp:docPr descr="Figure 10.   Standardized articulation rate as a function of speaker variety. Points represent posterior medians ±66% and 95% HDI."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14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Standardized articulation rate as a function of speaker variety. Points represent posterior medians ±66% and 95% HDI.</w:t>
      </w:r>
    </w:p>
    <w:p>
      <w:r>
        <w:br w:type="page"/>
      </w:r>
    </w:p>
    <w:bookmarkEnd w:id="147"/>
    <w:bookmarkStart w:id="148"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2022-01-21</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bayestestR            0.11.5 2021-10-30</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0.3.0 2021-12-18</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datawizard             0.2.1 2021-10-04</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insight               0.14.5 2021-10-16</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lubridate              1.8.0 2021-10-07</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png                    0.1-7 2013-12-03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timeDate            3043.102 2018-02-21</w:t>
      </w:r>
      <w:r>
        <w:br/>
      </w:r>
      <w:r>
        <w:rPr>
          <w:rStyle w:val="VerbatimChar"/>
        </w:rPr>
        <w:t xml:space="preserve">timeSeries          3062.100 2020-01-24</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0.29 2021-12-14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48"/>
    <w:bookmarkEnd w:id="14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1">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utterances, followed by wh- questions and y/n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8</w:t>
      </w:r>
      <w:r>
        <w:t xml:space="preserve">).</w:t>
      </w:r>
    </w:p>
  </w:footnote>
  <w:footnote w:id="142">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38" Target="media/rId38.pdf" /><Relationship Type="http://schemas.openxmlformats.org/officeDocument/2006/relationships/image" Id="rId34" Target="media/rId34.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5" Target="media/rId35.png" /><Relationship Type="http://schemas.openxmlformats.org/officeDocument/2006/relationships/image" Id="rId144" Target="media/rId144.pdf" /><Relationship Type="http://schemas.openxmlformats.org/officeDocument/2006/relationships/image" Id="rId37" Target="media/rId37.pdf" /><Relationship Type="http://schemas.openxmlformats.org/officeDocument/2006/relationships/image" Id="rId145" Target="media/rId145.pdf" /><Relationship Type="http://schemas.openxmlformats.org/officeDocument/2006/relationships/image" Id="rId146" Target="media/rId146.pdf" /><Relationship Type="http://schemas.openxmlformats.org/officeDocument/2006/relationships/hyperlink" Id="rId56" Target="http://www.praat.org/" TargetMode="External" /><Relationship Type="http://schemas.openxmlformats.org/officeDocument/2006/relationships/hyperlink" Id="rId86" Target="https://doi.org/10.1016/0010-440X(72)90083-1" TargetMode="External" /><Relationship Type="http://schemas.openxmlformats.org/officeDocument/2006/relationships/hyperlink" Id="rId94" Target="https://doi.org/10.1016/j.bandl.2012.11.006" TargetMode="External" /><Relationship Type="http://schemas.openxmlformats.org/officeDocument/2006/relationships/hyperlink" Id="rId115"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1" Target="https://doi.org/10.1017/S0272263100013735" TargetMode="External" /><Relationship Type="http://schemas.openxmlformats.org/officeDocument/2006/relationships/hyperlink" Id="rId135"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7"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6"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88"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125" Target="https://doi.org/10.1111/lang.12079" TargetMode="External" /><Relationship Type="http://schemas.openxmlformats.org/officeDocument/2006/relationships/hyperlink" Id="rId101"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28"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0" Target="https://doi.org/10.1515/9783110215496" TargetMode="External" /><Relationship Type="http://schemas.openxmlformats.org/officeDocument/2006/relationships/hyperlink" Id="rId92"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3" Target="https://doi.org/10.2307/3587647" TargetMode="External" /><Relationship Type="http://schemas.openxmlformats.org/officeDocument/2006/relationships/hyperlink" Id="rId108"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7"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0" Target="https://doi.org/10.3758/s13423-017-1297-5" TargetMode="External" /><Relationship Type="http://schemas.openxmlformats.org/officeDocument/2006/relationships/hyperlink" Id="rId104" Target="https://doi.org/10.3758/s13428-011-0146-0" TargetMode="External" /><Relationship Type="http://schemas.openxmlformats.org/officeDocument/2006/relationships/hyperlink" Id="rId117"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56" Target="http://www.praat.org/" TargetMode="External" /><Relationship Type="http://schemas.openxmlformats.org/officeDocument/2006/relationships/hyperlink" Id="rId86" Target="https://doi.org/10.1016/0010-440X(72)90083-1" TargetMode="External" /><Relationship Type="http://schemas.openxmlformats.org/officeDocument/2006/relationships/hyperlink" Id="rId94" Target="https://doi.org/10.1016/j.bandl.2012.11.006" TargetMode="External" /><Relationship Type="http://schemas.openxmlformats.org/officeDocument/2006/relationships/hyperlink" Id="rId115" Target="https://doi.org/10.1016/j.jml.2010.06.005" TargetMode="External" /><Relationship Type="http://schemas.openxmlformats.org/officeDocument/2006/relationships/hyperlink" Id="rId80" Target="https://doi.org/10.1017/9781108886901.002" TargetMode="External" /><Relationship Type="http://schemas.openxmlformats.org/officeDocument/2006/relationships/hyperlink" Id="rId68" Target="https://doi.org/10.1017/S0140525X09000545" TargetMode="External" /><Relationship Type="http://schemas.openxmlformats.org/officeDocument/2006/relationships/hyperlink" Id="rId111" Target="https://doi.org/10.1017/S0272263100013735" TargetMode="External" /><Relationship Type="http://schemas.openxmlformats.org/officeDocument/2006/relationships/hyperlink" Id="rId135" Target="https://doi.org/10.1017/S0272263106060013" TargetMode="External" /><Relationship Type="http://schemas.openxmlformats.org/officeDocument/2006/relationships/hyperlink" Id="rId50" Target="https://doi.org/10.1023/B:JADD.0000022607.19833.00" TargetMode="External" /><Relationship Type="http://schemas.openxmlformats.org/officeDocument/2006/relationships/hyperlink" Id="rId66" Target="https://doi.org/10.1037/0022-0663.96.4.671" TargetMode="External" /><Relationship Type="http://schemas.openxmlformats.org/officeDocument/2006/relationships/hyperlink" Id="rId97" Target="https://doi.org/10.1037/t47086-000" TargetMode="External" /><Relationship Type="http://schemas.openxmlformats.org/officeDocument/2006/relationships/hyperlink" Id="rId58" Target="https://doi.org/10.1075/ihll.26" TargetMode="External" /><Relationship Type="http://schemas.openxmlformats.org/officeDocument/2006/relationships/hyperlink" Id="rId43" Target="https://doi.org/10.1075/ihll.6" TargetMode="External" /><Relationship Type="http://schemas.openxmlformats.org/officeDocument/2006/relationships/hyperlink" Id="rId106" Target="https://doi.org/10.1075/jslp.2.2.01lev" TargetMode="External" /><Relationship Type="http://schemas.openxmlformats.org/officeDocument/2006/relationships/hyperlink" Id="rId82" Target="https://doi.org/10.1098/rstb.2002.1218" TargetMode="External" /><Relationship Type="http://schemas.openxmlformats.org/officeDocument/2006/relationships/hyperlink" Id="rId73" Target="https://doi.org/10.1111/cogs.12227" TargetMode="External" /><Relationship Type="http://schemas.openxmlformats.org/officeDocument/2006/relationships/hyperlink" Id="rId88" Target="https://doi.org/10.1111/j.1467-1770.1972.tb00077.x" TargetMode="External" /><Relationship Type="http://schemas.openxmlformats.org/officeDocument/2006/relationships/hyperlink" Id="rId60" Target="https://doi.org/10.1111/j.1467-1770.1973.tb00658.x" TargetMode="External" /><Relationship Type="http://schemas.openxmlformats.org/officeDocument/2006/relationships/hyperlink" Id="rId125" Target="https://doi.org/10.1111/lang.12079" TargetMode="External" /><Relationship Type="http://schemas.openxmlformats.org/officeDocument/2006/relationships/hyperlink" Id="rId101" Target="https://doi.org/10.1159/000259481" TargetMode="External" /><Relationship Type="http://schemas.openxmlformats.org/officeDocument/2006/relationships/hyperlink" Id="rId47" Target="https://doi.org/10.1159/000493981" TargetMode="External" /><Relationship Type="http://schemas.openxmlformats.org/officeDocument/2006/relationships/hyperlink" Id="rId128" Target="https://doi.org/10.1162/neco.2008.12-06-420" TargetMode="External" /><Relationship Type="http://schemas.openxmlformats.org/officeDocument/2006/relationships/hyperlink" Id="rId76" Target="https://doi.org/10.13140/RG.2.2.19401.13926" TargetMode="External" /><Relationship Type="http://schemas.openxmlformats.org/officeDocument/2006/relationships/hyperlink" Id="rId130" Target="https://doi.org/10.1515/9783110215496" TargetMode="External" /><Relationship Type="http://schemas.openxmlformats.org/officeDocument/2006/relationships/hyperlink" Id="rId92" Target="https://doi.org/10.1515/shll-2010-1067" TargetMode="External" /><Relationship Type="http://schemas.openxmlformats.org/officeDocument/2006/relationships/hyperlink" Id="rId62" Target="https://doi.org/10.18637/jss.v080.i01" TargetMode="External" /><Relationship Type="http://schemas.openxmlformats.org/officeDocument/2006/relationships/hyperlink" Id="rId123" Target="https://doi.org/10.2307/3587647" TargetMode="External" /><Relationship Type="http://schemas.openxmlformats.org/officeDocument/2006/relationships/hyperlink" Id="rId108" Target="https://doi.org/10.25236/fmess.2017.55" TargetMode="External" /><Relationship Type="http://schemas.openxmlformats.org/officeDocument/2006/relationships/hyperlink" Id="rId64" Target="https://doi.org/10.32614/RJ-2018-017" TargetMode="External" /><Relationship Type="http://schemas.openxmlformats.org/officeDocument/2006/relationships/hyperlink" Id="rId137" Target="https://doi.org/10.3389/fpsyg.2015.01000" TargetMode="External" /><Relationship Type="http://schemas.openxmlformats.org/officeDocument/2006/relationships/hyperlink" Id="rId52" Target="https://doi.org/10.3389/frobt.2018.00026" TargetMode="External" /><Relationship Type="http://schemas.openxmlformats.org/officeDocument/2006/relationships/hyperlink" Id="rId84" Target="https://doi.org/10.3390/e19100555" TargetMode="External" /><Relationship Type="http://schemas.openxmlformats.org/officeDocument/2006/relationships/hyperlink" Id="rId78" Target="https://doi.org/10.3758/s13421-019-00990-w" TargetMode="External" /><Relationship Type="http://schemas.openxmlformats.org/officeDocument/2006/relationships/hyperlink" Id="rId120" Target="https://doi.org/10.3758/s13423-017-1297-5" TargetMode="External" /><Relationship Type="http://schemas.openxmlformats.org/officeDocument/2006/relationships/hyperlink" Id="rId104" Target="https://doi.org/10.3758/s13428-011-0146-0" TargetMode="External" /><Relationship Type="http://schemas.openxmlformats.org/officeDocument/2006/relationships/hyperlink" Id="rId117" Target="https://doi.org/10.5334/labphon.238" TargetMode="External" /><Relationship Type="http://schemas.openxmlformats.org/officeDocument/2006/relationships/hyperlink" Id="rId45"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2022-01-21T18:12:26Z</dcterms:created>
  <dcterms:modified xsi:type="dcterms:W3CDTF">2022-01-21T18:12:26Z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10,093</vt:lpwstr>
  </property>
</Properties>
</file>