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6.pdf" ContentType="application/pdf"/>
  <Override PartName="/word/media/rId29.pdf" ContentType="application/pdf"/>
  <Override PartName="/word/media/rId37.pdf" ContentType="application/pdf"/>
  <Override PartName="/word/media/rId35.pdf" ContentType="application/pdf"/>
  <Override PartName="/word/media/rId32.pdf" ContentType="application/pdf"/>
  <Override PartName="/word/media/rId34.pdf" ContentType="application/pdf"/>
  <Override PartName="/word/media/rId33.png" ContentType="image/png"/>
  <Override PartName="/word/media/rId114.pdf" ContentType="application/pdf"/>
  <Override PartName="/word/media/rId115.pdf" ContentType="application/pdf"/>
  <Override PartName="/word/media/rId11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3</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Poznan</w:t>
      </w:r>
    </w:p>
    <w:p>
      <w:pPr>
        <w:pStyle w:val="Author"/>
      </w:pPr>
      <w:r>
        <w:rPr>
          <w:vertAlign w:val="superscript"/>
        </w:rPr>
        <w:t xml:space="preserve">3</w:t>
      </w:r>
      <w:r>
        <w:t xml:space="preserve"> </w:t>
      </w:r>
      <w:r>
        <w:t xml:space="preserve">Duo-lingo</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Writing - Original Draft Preparation, Writing - Review &amp; Editing; Juan José Garrido Pozú: Conceptualization, Writing - Review &amp; Editing; Kyle Parrish: Conceptualization, Writing - Review &amp; Editing; Laura Fernández Arroyo: Conceptualization, Writing - Review &amp; Editing; Nicole Rodríguez: Conceptualization, Writing - Review &amp; Editing; Robert Esposito: Conceptualization, Writing - Review &amp; Editing; Isabelle Chang: Conceptualization, Writing - Review &amp; Editing; Kimberly Gómez: Conceptualization, Writing - Review &amp; Editing; Gabriela Constantin-Dureci: Writing - Review &amp; Editing; Jiawei Shao: Writing - Review &amp; Editing; Iván Andreu: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w:t>
      </w:r>
      <w:r>
        <w:t xml:space="preserve"> </w:t>
      </w:r>
      <w:r>
        <w:t xml:space="preserve">individual pragmatic skills in the process of learning a new language.</w:t>
      </w:r>
      <w:r>
        <w:t xml:space="preserve"> </w:t>
      </w:r>
      <w:r>
        <w:t xml:space="preserve">Notably, we focus on the role of empathy in the development of second</w:t>
      </w:r>
      <w:r>
        <w:t xml:space="preserve"> </w:t>
      </w:r>
      <w:r>
        <w:t xml:space="preserve">language (L2) prosody by analyzing the perception and processing of</w:t>
      </w:r>
      <w:r>
        <w:t xml:space="preserve"> </w:t>
      </w:r>
      <w:r>
        <w:t xml:space="preserve">intonation in questions and statements in L2 Spanish.</w:t>
      </w:r>
      <w:r>
        <w:t xml:space="preserve"> </w:t>
      </w:r>
      <w:r>
        <w:t xml:space="preserve">The construct empathy has been shown to influence native language processing</w:t>
      </w:r>
      <w:r>
        <w:t xml:space="preserve"> </w:t>
      </w:r>
      <w:r>
        <w:t xml:space="preserve">in how listeners interpret intonation and meaning when words are ambiguous</w:t>
      </w:r>
      <w:r>
        <w:t xml:space="preserve"> </w:t>
      </w:r>
      <w:r>
        <w:t xml:space="preserve">(Esteve-Gibert et al., 2020)</w:t>
      </w:r>
      <w:r>
        <w:t xml:space="preserve">.</w:t>
      </w:r>
      <w:r>
        <w:t xml:space="preserve"> </w:t>
      </w:r>
      <w:r>
        <w:t xml:space="preserve">We extend this research to L2 acquisition in order to determine if</w:t>
      </w:r>
      <w:r>
        <w:t xml:space="preserve"> </w:t>
      </w:r>
      <w:r>
        <w:t xml:space="preserve">individual differences in pragmatic skills affect the development of</w:t>
      </w:r>
      <w:r>
        <w:t xml:space="preserve"> </w:t>
      </w:r>
      <w:r>
        <w:t xml:space="preserve">intonation in L2 processing and sentence comprehension.</w:t>
      </w:r>
      <w:r>
        <w:t xml:space="preserve"> </w:t>
      </w:r>
      <w:r>
        <w:t xml:space="preserve">A total of 224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w:t>
      </w:r>
      <w:r>
        <w:t xml:space="preserve"> </w:t>
      </w:r>
      <w:r>
        <w:t xml:space="preserve">We used Bayesian multilevel regression and Drift Diffusion modeling to</w:t>
      </w:r>
      <w:r>
        <w:t xml:space="preserve"> </w:t>
      </w:r>
      <w:r>
        <w:t xml:space="preserve">analyze the 2AFC data as a function of proficiency and empathy scores.</w:t>
      </w:r>
      <w:r>
        <w:t xml:space="preserve"> </w:t>
      </w:r>
      <w:r>
        <w:t xml:space="preserve">The results showed that learner response accuracy and sensitivity to</w:t>
      </w:r>
      <w:r>
        <w:t xml:space="preserve"> </w:t>
      </w:r>
      <w:r>
        <w:t xml:space="preserve">intonation improved as a function of proficiency.</w:t>
      </w:r>
      <w:r>
        <w:t xml:space="preserve"> </w:t>
      </w:r>
      <w:r>
        <w:t xml:space="preserve">Importantly, higher empathy scores were positively correlated with higher</w:t>
      </w:r>
      <w:r>
        <w:t xml:space="preserve"> </w:t>
      </w:r>
      <w:r>
        <w:t xml:space="preserve">accuracy and processing efficiency in identifying polar interrogatives.</w:t>
      </w:r>
      <w:r>
        <w:t xml:space="preserve"> </w:t>
      </w:r>
      <w:r>
        <w:t xml:space="preserve">Higher empathic individuals, in comparison with lower empathic</w:t>
      </w:r>
      <w:r>
        <w:t xml:space="preserve"> </w:t>
      </w:r>
      <w:r>
        <w:t xml:space="preserve">individuals, appear to be more sensitive to intonation cues in the process</w:t>
      </w:r>
      <w:r>
        <w:t xml:space="preserve"> </w:t>
      </w:r>
      <w:r>
        <w:t xml:space="preserve">of forming sound-meaning associations.</w:t>
      </w:r>
      <w:r>
        <w:t xml:space="preserve"> </w:t>
      </w:r>
      <w:r>
        <w:t xml:space="preserve">The results motivate the inclusion of measures of pragmatic skills, such as</w:t>
      </w:r>
      <w:r>
        <w:t xml:space="preserve"> </w:t>
      </w:r>
      <w:r>
        <w:t xml:space="preserve">empathy, to better account for intonational meaning processing and sentence</w:t>
      </w:r>
      <w:r>
        <w:t xml:space="preserve"> </w:t>
      </w:r>
      <w:r>
        <w:t xml:space="preserve">comprehensionas in second language acquisition.</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X</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investigates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we know that adults who learn an L2 are faced with suprasegmental challenges as well.</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intonation a listener can interpret the intention of a given utterance.</w:t>
      </w:r>
      <w:r>
        <w:t xml:space="preserve"> </w:t>
      </w:r>
      <w:r>
        <w:t xml:space="preserve">For example, an intonational contour can indicate to a listener whether the utterance of an interlocutor is declarative or interrogative in nature.</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non-native language represents a particularly challenging aspect of speech comprehension for the language learner.</w:t>
      </w:r>
      <w:r>
        <w:t xml:space="preserve"> </w:t>
      </w:r>
      <w:r>
        <w:t xml:space="preserve">Moreover, the use of L1 prosodic features when speaking the target language can result in misunderstandings due to the fact that the same prosodic features may be employed to convey different linguistic and paralinguistic meaning in the target language</w:t>
      </w:r>
      <w:r>
        <w:t xml:space="preserve"> </w:t>
      </w:r>
      <w:r>
        <w:t xml:space="preserve">(Chen, 2005; Cruz-Ferreira, 1987, 1987; Mennen, 2007; Pickering, 2001)</w:t>
      </w:r>
      <w:r>
        <w:t xml:space="preserve">.</w:t>
      </w:r>
      <w:r>
        <w:t xml:space="preserve"> </w:t>
      </w:r>
      <w:r>
        <w:t xml:space="preserve">As noted by</w:t>
      </w:r>
      <w:r>
        <w:t xml:space="preserve"> </w:t>
      </w:r>
      <w:r>
        <w:t xml:space="preserve">Levis (2016)</w:t>
      </w:r>
      <w:r>
        <w:t xml:space="preserve"> </w:t>
      </w:r>
      <w:r>
        <w:t xml:space="preserve">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obtaining native-like pronunciation, intonation is particularly relevant, as prosodic features have been found to be important cues in the perception of non-target-like accents, above and beyond other features of language</w:t>
      </w:r>
      <w:r>
        <w:t xml:space="preserve"> </w:t>
      </w:r>
      <w:r>
        <w:t xml:space="preserve">Pettorino, De Meo, &amp; Vitale (2014)</w:t>
      </w:r>
      <w:r>
        <w:t xml:space="preserve"> </w:t>
      </w:r>
      <w:r>
        <w:t xml:space="preserve">Nonetheless, intonation is not traditionally taught in the L2 classroom, perhaps because it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 </w:t>
      </w:r>
      <w:r>
        <w:t xml:space="preserve">Nevertheless, a dearth of knowledge remains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howeer, dialectal differences can account for more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 as is the case with the declarative rise–fall contour of Mexican Spanish, the long fall associated with Argentinian Spanish, or the nuclear hat pattern in total interrogatives (i.e., yes–no questions) in Caribbean Spanish, to cite just a few examples</w:t>
      </w:r>
      <w:r>
        <w:t xml:space="preserve"> </w:t>
      </w:r>
      <w:r>
        <w:t xml:space="preserve">(See Hualde &amp; Prieto, 2015)</w:t>
      </w:r>
      <w:r>
        <w:t xml:space="preserve">.</w:t>
      </w:r>
      <w:r>
        <w:t xml:space="preserve"> </w:t>
      </w:r>
    </w:p>
    <w:p>
      <w:pPr>
        <w:pStyle w:val="Textkrper"/>
      </w:pPr>
      <w:r>
        <w:t xml:space="preserve">Previous research on the acquisition of Spanish prosody attests that learners gradually acquire target-language intonation as they gain proficiency in the language.</w:t>
      </w:r>
      <w:r>
        <w:t xml:space="preserve"> </w:t>
      </w:r>
      <w:r>
        <w:t xml:space="preserve">Research in this area has focused on speech production.</w:t>
      </w:r>
      <w:r>
        <w:t xml:space="preserve"> </w:t>
      </w:r>
      <w:r>
        <w:t xml:space="preserve">For instance,</w:t>
      </w:r>
      <w:r>
        <w:t xml:space="preserve"> </w:t>
      </w:r>
      <w:r>
        <w:t xml:space="preserve">Trimble (2013a)</w:t>
      </w:r>
      <w:r>
        <w:t xml:space="preserve"> </w:t>
      </w:r>
      <w:r>
        <w:t xml:space="preserve">analyzed L2 Spanish learners’ production of intonational patterns for broad focus declaratives and absolute interrogatives after a semester-long study abroad program.</w:t>
      </w:r>
      <w:r>
        <w:t xml:space="preserve"> </w:t>
      </w:r>
    </w:p>
    <w:p>
      <w:pPr>
        <w:pStyle w:val="Textkrper"/>
      </w:pPr>
      <w:r>
        <w:t xml:space="preserve">Research on perception of Spanish intonation is much less common, but also supports the notion that mastery is indeed possible for adult learners.</w:t>
      </w:r>
      <w:r>
        <w:t xml:space="preserve"> </w:t>
      </w:r>
      <w:r>
        <w:t xml:space="preserve">Trimble (2013b)</w:t>
      </w:r>
      <w:r>
        <w:t xml:space="preserve"> </w:t>
      </w:r>
      <w:r>
        <w:t xml:space="preserve">examined the perception of intonational cues …</w:t>
      </w:r>
      <w:r>
        <w:t xml:space="preserve"> </w:t>
      </w:r>
      <w:r>
        <w:t xml:space="preserve"> </w:t>
      </w:r>
      <w:r>
        <w:t xml:space="preserve">Trimble (2013b)</w:t>
      </w:r>
      <w:r>
        <w:t xml:space="preserve"> </w:t>
      </w:r>
      <w:r>
        <w:t xml:space="preserve">found that intonational cues that were absent form participants’ L1 were difficult to perceive.</w:t>
      </w:r>
      <w:r>
        <w:t xml:space="preserve"> </w:t>
      </w:r>
      <w:r>
        <w:t xml:space="preserve">Unsurprisingly, the study suggests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González, and Bustin (2020)</w:t>
      </w:r>
      <w:r>
        <w:t xml:space="preserve"> </w:t>
      </w:r>
      <w:r>
        <w:t xml:space="preserve">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declaratives and polar and total interrogatives in adult L2 learners of Spanish.</w:t>
      </w:r>
      <w:r>
        <w:t xml:space="preserve"> </w:t>
      </w:r>
      <w:r>
        <w:t xml:space="preserve">The learners completed an AX discrimination task in which they were presented audio and visual stimuli in matched and mismatched conditions.</w:t>
      </w:r>
      <w:r>
        <w:t xml:space="preserve"> </w:t>
      </w:r>
      <w:r>
        <w:t xml:space="preserve">The matched condition included auditory stimuli that were prosodically congruent with written text (e.g., declarative intonation with a declarative sentence).</w:t>
      </w:r>
      <w:r>
        <w:t xml:space="preserve"> </w:t>
      </w:r>
      <w:r>
        <w:t xml:space="preserve">The mismatched condition included auditory stimuli that were prosodically incongruent with the written text (e.g., interrogative intonation with a declarative sentence).</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utterances present more difficulties than others.</w:t>
      </w:r>
      <w:r>
        <w:t xml:space="preserve"> </w:t>
      </w:r>
      <w:r>
        <w:t xml:space="preserve">Furthermore, familiarity with the L2 variety has a positive impact on learner outcomes, which is particularly relevant given the rich phonetic variability attested in Spanish prosody.</w:t>
      </w:r>
      <w:r>
        <w:t xml:space="preserve"> </w:t>
      </w:r>
      <w:r>
        <w:t xml:space="preserve">Much less is known regarding how perceptual development is modulated by individual differences related to pragmatic skill.</w:t>
      </w:r>
      <w:r>
        <w:t xml:space="preserve"> </w:t>
      </w:r>
      <w:r>
        <w:t xml:space="preserve">Studies on monolinguals suggest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In addition, more pragmatically skilled individuals tend to rely on different phonetic cues to parse syntactically ambiguous sentences with regard to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 proxy for investigating individual pragmatic skill.</w:t>
      </w:r>
    </w:p>
    <w:p>
      <w:pPr>
        <w:pStyle w:val="Textkrper"/>
      </w:pP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r>
        <w:t xml:space="preserve"> </w:t>
      </w: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a self-report Empathy Quotient (EQ) questionnaire</w:t>
      </w:r>
      <w:r>
        <w:t xml:space="preserve"> </w:t>
      </w:r>
      <w:r>
        <w:t xml:space="preserve">(Baron-Cohen &amp; Wheelwright, 2004)</w:t>
      </w:r>
      <w:r>
        <w:t xml:space="preserve"> </w:t>
      </w:r>
      <w:r>
        <w:t xml:space="preserve">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p>
    <w:p>
      <w:pPr>
        <w:pStyle w:val="Textkrper"/>
      </w:pPr>
      <w:r>
        <w:t xml:space="preserve">In short, individuals with more pragmatic skill (higher empathy) appear to be able to use intonation to resolve temporary lexical ambiguity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in order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perceptional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total interrogatives (i.e., yes-no questions) will present the most difficulty for L2 learners of Spanish, followed by partial interrogatives (i.e.,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1" w:name="method"/>
    <w:p>
      <w:pPr>
        <w:pStyle w:val="berschrift1"/>
      </w:pPr>
      <w:r>
        <w:t xml:space="preserve">Method</w:t>
      </w:r>
    </w:p>
    <w:bookmarkStart w:id="25"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insure participants self-reported as being L1 English speakers born, raised, and currently living in the US with no knowledge of any languages other than English or Spanish.</w:t>
      </w:r>
      <w:r>
        <w:t xml:space="preserve"> </w:t>
      </w:r>
      <w:r>
        <w:t xml:space="preserve">They reported no hearing difficulties and were required to use headphones on a desktop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varied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7" w:name="tasks"/>
    <w:p>
      <w:pPr>
        <w:pStyle w:val="berschrift2"/>
      </w:pPr>
      <w:r>
        <w:t xml:space="preserve">Tasks</w:t>
      </w:r>
    </w:p>
    <w:p>
      <w:pPr>
        <w:pStyle w:val="FirstParagraph"/>
      </w:pPr>
      <w:r>
        <w:t xml:space="preserve">The study consisted of three tasks: a two-alternative forced choice task (2AFC), a lexical decision vocabulary assessment, and a lykert-type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sentence type.</w:t>
      </w:r>
      <w:r>
        <w:t xml:space="preserve"> </w:t>
      </w:r>
      <w:r>
        <w:t xml:space="preserve">To generate the stimuli, we recorded native Spanish speakers of eight different varieties (Cuban, standard Peninsular, Andalusian, Puerto Rican, Chilean, Argentinean,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w:t>
      </w:r>
      <w:r>
        <w:rPr>
          <w:rStyle w:val="Funotenzeichen"/>
        </w:rPr>
        <w:footnoteReference w:id="26"/>
      </w:r>
      <w:r>
        <w:t xml:space="preserve"> </w:t>
      </w:r>
      <w:r>
        <w:t xml:space="preserve">Prior to pre-registering our research questions and hypotheses we piloted the 2AFC experiment on 100 native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provide a standardized assessment of proficiency/vocabulary size in Spanish.</w:t>
      </w:r>
      <w:r>
        <w:t xml:space="preserve"> </w:t>
      </w:r>
      <w:r>
        <w:t xml:space="preserve">In this task participants are presented words on the computer screen and must decide if it is real or not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typically fall in the range of −20 to 0.</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thus we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p>
    <w:bookmarkEnd w:id="27"/>
    <w:bookmarkStart w:id="28" w:name="procedure"/>
    <w:p>
      <w:pPr>
        <w:pStyle w:val="berschrift2"/>
      </w:pPr>
      <w:r>
        <w:t xml:space="preserve">Procedure</w:t>
      </w:r>
    </w:p>
    <w:p>
      <w:pPr>
        <w:pStyle w:val="FirstParagraph"/>
      </w:pPr>
      <w:r>
        <w:t xml:space="preserve">Participants recruited via Prolific.ac completed the all three tasks in a single session.</w:t>
      </w:r>
      <w:r>
        <w:t xml:space="preserve"> </w:t>
      </w:r>
      <w:r>
        <w:t xml:space="preserve">The 2AFC task was first, followed by the LexTALE task, and, finally, the empathy quotient questionnaire.</w:t>
      </w:r>
      <w:r>
        <w:t xml:space="preserve"> </w:t>
      </w:r>
      <w:r>
        <w:t xml:space="preserve">We planed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participants with knowledge of language other and English and Spanish.</w:t>
      </w:r>
      <w:r>
        <w:t xml:space="preserve"> </w:t>
      </w:r>
      <w:r>
        <w:t xml:space="preserve">Data from a total of 78 participants was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8"/>
    <w:bookmarkStart w:id="30" w:name="statistical-analyses"/>
    <w:p>
      <w:pPr>
        <w:pStyle w:val="berschrift2"/>
      </w:pPr>
      <w:r>
        <w:t xml:space="preserve">Statistical analyses</w:t>
      </w:r>
    </w:p>
    <w:p>
      <w:pPr>
        <w:pStyle w:val="FirstParagraph"/>
      </w:pPr>
      <w:r>
        <w:t xml:space="preserve">We report two primary statistical analyses that were pre-registered prior to collecting the learner data.</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second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using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off the DDM using a Bayesian methods and subsequently do regression on the posterior samples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 making process.</w:t>
      </w:r>
      <w:r>
        <w:t xml:space="preserve"> </w:t>
      </w:r>
      <w:r>
        <w:t xml:space="preserve">A bias positive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indication that the participant finds the task to be easier.</w:t>
      </w:r>
      <w:r>
        <w:t xml:space="preserve"> </w:t>
      </w:r>
      <w:r>
        <w:t xml:space="preserve">Conversely a lower drift rate is an indication of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 making (e.g., the time necessary to perceive a stimuli prior to evidence accumulation).</w:t>
      </w:r>
      <w:r>
        <w:t xml:space="preserve"> </w:t>
      </w:r>
      <w:r>
        <w:t xml:space="preserve">Our analyses focus primarily on boundary separation (α) and drift rate (δ).</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a decision resulting in a correct (purple) and incorrect (orange) decision. The corresponding density curves represent the distribution of response times at either threshold." title="" id="1" name="Picture"/>
            <a:graphic>
              <a:graphicData uri="http://schemas.openxmlformats.org/drawingml/2006/picture">
                <pic:pic>
                  <pic:nvPicPr>
                    <pic:cNvPr descr="/Users/casillas/academia/research/in_progress/empathy_intonation_perc/figs/manuscript/ddm_explanation.pdf" id="0" name="Picture"/>
                    <pic:cNvPicPr>
                      <a:picLocks noChangeArrowheads="1" noChangeAspect="1"/>
                    </pic:cNvPicPr>
                  </pic:nvPicPr>
                  <pic:blipFill>
                    <a:blip r:embed="rId2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a decision resulting in a correct (purple) and incorrect (orange) decision. The corresponding density curves represent the distribution of response times at either threshold.</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We sample the posterior distribution of the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a posterior distribution for a parameter β in which 95% of the HDI falls outside the ROPE and a high MPE (i.e., values close to 1) were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the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p>
    <w:bookmarkEnd w:id="30"/>
    <w:bookmarkEnd w:id="31"/>
    <w:bookmarkStart w:id="38" w:name="results"/>
    <w:p>
      <w:pPr>
        <w:pStyle w:val="berschrift1"/>
      </w:pPr>
      <w:r>
        <w:t xml:space="preserve">Results</w:t>
      </w:r>
    </w:p>
    <w:p>
      <w:pPr>
        <w:pStyle w:val="FirstParagraph"/>
      </w:pPr>
      <w:r>
        <w:t xml:space="preserve">This is Figure</w:t>
      </w:r>
      <w:r>
        <w:t xml:space="preserve"> </w:t>
      </w:r>
      <w:r>
        <w:t xml:space="preserve">2</w:t>
      </w:r>
    </w:p>
    <w:p>
      <w:pPr>
        <w:pStyle w:val="CaptionedFigure"/>
      </w:pPr>
      <w:r>
        <w:drawing>
          <wp:inline>
            <wp:extent cx="5969000" cy="2808941"/>
            <wp:effectExtent b="0" l="0" r="0" t="0"/>
            <wp:docPr descr="Figure 2.   Response accuracy: Probability of a correct response for each utterance type in the logistic space." title="" id="1" name="Picture"/>
            <a:graphic>
              <a:graphicData uri="http://schemas.openxmlformats.org/drawingml/2006/picture">
                <pic:pic>
                  <pic:nvPicPr>
                    <pic:cNvPr descr="/Users/casillas/academia/research/in_progress/empathy_intonation_perc/figs/manuscript/learner_accuracy_forest_utterance_type.pdf" id="0" name="Picture"/>
                    <pic:cNvPicPr>
                      <a:picLocks noChangeArrowheads="1" noChangeAspect="1"/>
                    </pic:cNvPicPr>
                  </pic:nvPicPr>
                  <pic:blipFill>
                    <a:blip r:embed="rId32"/>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Response accuracy: Probability of a correct response for each utterance type in the logistic space.</w:t>
      </w:r>
    </w:p>
    <w:p>
      <w:pPr>
        <w:pStyle w:val="Textkrper"/>
      </w:pPr>
      <w:r>
        <w:t xml:space="preserve">The estimate for the intercept is: (β = 0.53, HDI = [0.23, 0.83], ROPE = 0, MPE = 1)</w:t>
      </w:r>
    </w:p>
    <w:p>
      <w:pPr>
        <w:pStyle w:val="Textkrper"/>
      </w:pPr>
      <w:r>
        <w:t xml:space="preserve">This is Figure</w:t>
      </w:r>
      <w:r>
        <w:t xml:space="preserve"> </w:t>
      </w:r>
      <w:r>
        <w:t xml:space="preserve">3</w:t>
      </w:r>
    </w:p>
    <w:p>
      <w:pPr>
        <w:pStyle w:val="CaptionedFigure"/>
      </w:pPr>
      <w:r>
        <w:drawing>
          <wp:inline>
            <wp:extent cx="5969000" cy="2652888"/>
            <wp:effectExtent b="0" l="0" r="0" t="0"/>
            <wp:docPr descr="Figure 3.   Response accuracy: Partially pooled estimates for each speaker variety." title="" id="1" name="Picture"/>
            <a:graphic>
              <a:graphicData uri="http://schemas.openxmlformats.org/drawingml/2006/picture">
                <pic:pic>
                  <pic:nvPicPr>
                    <pic:cNvPr descr="/Users/casillas/academia/research/in_progress/empathy_intonation_perc/figs/manuscript/learner_accuracy_rt_by_speaker_variety.png" id="0" name="Picture"/>
                    <pic:cNvPicPr>
                      <a:picLocks noChangeArrowheads="1" noChangeAspect="1"/>
                    </pic:cNvPicPr>
                  </pic:nvPicPr>
                  <pic:blipFill>
                    <a:blip r:embed="rId33"/>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Response accuracy: Partially pooled estimates for each speaker variety.</w:t>
      </w:r>
    </w:p>
    <w:p>
      <w:pPr>
        <w:pStyle w:val="Textkrper"/>
      </w:pPr>
      <w:r>
        <w:t xml:space="preserve">This is Figure</w:t>
      </w:r>
      <w:r>
        <w:t xml:space="preserve"> </w:t>
      </w:r>
      <w:r>
        <w:t xml:space="preserve">4</w:t>
      </w:r>
    </w:p>
    <w:p>
      <w:pPr>
        <w:pStyle w:val="CaptionedFigure"/>
      </w:pPr>
      <w:r>
        <w:drawing>
          <wp:inline>
            <wp:extent cx="5969000" cy="3410857"/>
            <wp:effectExtent b="0" l="0" r="0" t="0"/>
            <wp:docPr descr="Figure 4.   Response accuracy: Probability of a correct response in the logistic space as a function of LexTALE score (left panel) and empathy quotient (right panel) for each utterance type. Thin lines represent 300 draws from the posterior distribution for each condition." title="" id="1" name="Picture"/>
            <a:graphic>
              <a:graphicData uri="http://schemas.openxmlformats.org/drawingml/2006/picture">
                <pic:pic>
                  <pic:nvPicPr>
                    <pic:cNvPr descr="/Users/casillas/academia/research/in_progress/empathy_intonation_perc/figs/manuscript/learner_accuracy_lt_eq_by_utterance_type.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Response accuracy: Probability of a correct response in the logistic space as a function of LexTALE score (left panel) and empathy quotient (right panel) for each utterance type. Thin lines represent 300 draws from the posterior distribution for each condition.</w:t>
      </w:r>
    </w:p>
    <w:p>
      <w:pPr>
        <w:pStyle w:val="Textkrper"/>
      </w:pPr>
      <w:r>
        <w:t xml:space="preserve">This is Figure</w:t>
      </w:r>
      <w:r>
        <w:t xml:space="preserve"> </w:t>
      </w:r>
      <w:r>
        <w:t xml:space="preserve">5</w:t>
      </w:r>
    </w:p>
    <w:p>
      <w:pPr>
        <w:pStyle w:val="CaptionedFigure"/>
      </w:pPr>
      <w:r>
        <w:drawing>
          <wp:inline>
            <wp:extent cx="5969000" cy="3410857"/>
            <wp:effectExtent b="0" l="0" r="0" t="0"/>
            <wp:docPr descr="Figure 5.   Response accuracy: Probability of a correct response as a function of empathy quotient and LexTALE score for each question type."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Response accuracy: Probability of a correct response as a function of empathy quotient and LexTALE score for each question type.</w:t>
      </w:r>
    </w:p>
    <w:p>
      <w:pPr>
        <w:pStyle w:val="Textkrper"/>
      </w:pPr>
      <w:r>
        <w:t xml:space="preserve">This is Figure</w:t>
      </w:r>
      <w:r>
        <w:t xml:space="preserve"> </w:t>
      </w:r>
      <w:r>
        <w:t xml:space="preserve">6</w:t>
      </w:r>
    </w:p>
    <w:p>
      <w:pPr>
        <w:pStyle w:val="CaptionedFigure"/>
      </w:pPr>
      <w:r>
        <w:drawing>
          <wp:inline>
            <wp:extent cx="5969000" cy="3410857"/>
            <wp:effectExtent b="0" l="0" r="0" t="0"/>
            <wp:docPr descr="Figure 6.   Need a caption." title="" id="1" name="Picture"/>
            <a:graphic>
              <a:graphicData uri="http://schemas.openxmlformats.org/drawingml/2006/picture">
                <pic:pic>
                  <pic:nvPicPr>
                    <pic:cNvPr descr="/Users/casillas/academia/research/in_progress/empathy_intonation_perc/figs/manuscript/ddm_bs_dr_estimates.pdf" id="0" name="Picture"/>
                    <pic:cNvPicPr>
                      <a:picLocks noChangeArrowheads="1" noChangeAspect="1"/>
                    </pic:cNvPicPr>
                  </pic:nvPicPr>
                  <pic:blipFill>
                    <a:blip r:embed="rId36"/>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Need a caption.</w:t>
      </w:r>
    </w:p>
    <w:p>
      <w:pPr>
        <w:pStyle w:val="Textkrper"/>
      </w:pPr>
      <w:r>
        <w:t xml:space="preserve">This is Figure</w:t>
      </w:r>
      <w:r>
        <w:t xml:space="preserve"> </w:t>
      </w:r>
      <w:r>
        <w:t xml:space="preserve">7</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Dark red lines represent the average decision time course."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7"/>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Dark red lines represent the average decision time course.</w:t>
      </w:r>
    </w:p>
    <w:bookmarkEnd w:id="38"/>
    <w:bookmarkStart w:id="39" w:name="discussion"/>
    <w:p>
      <w:pPr>
        <w:pStyle w:val="berschrift1"/>
      </w:pPr>
      <w:r>
        <w:t xml:space="preserve">Discussion</w:t>
      </w:r>
    </w:p>
    <w:bookmarkEnd w:id="39"/>
    <w:bookmarkStart w:id="40" w:name="conclusion"/>
    <w:p>
      <w:pPr>
        <w:pStyle w:val="berschrift1"/>
      </w:pPr>
      <w:r>
        <w:t xml:space="preserve">Conclusion</w:t>
      </w:r>
    </w:p>
    <w:p>
      <w:r>
        <w:br w:type="page"/>
      </w:r>
    </w:p>
    <w:bookmarkEnd w:id="40"/>
    <w:bookmarkStart w:id="111" w:name="references"/>
    <w:p>
      <w:pPr>
        <w:pStyle w:val="berschrift1"/>
      </w:pPr>
      <w:r>
        <w:t xml:space="preserve">References</w:t>
      </w:r>
    </w:p>
    <w:bookmarkStart w:id="110" w:name="refs"/>
    <w:bookmarkStart w:id="42"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41">
        <w:r>
          <w:rPr>
            <w:rStyle w:val="Hyperlink"/>
          </w:rPr>
          <w:t xml:space="preserve">https://doi.org/10.1075/ihll.6</w:t>
        </w:r>
      </w:hyperlink>
    </w:p>
    <w:bookmarkEnd w:id="42"/>
    <w:bookmarkStart w:id="44"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43">
        <w:r>
          <w:rPr>
            <w:rStyle w:val="Hyperlink"/>
          </w:rPr>
          <w:t xml:space="preserve">https://github.com/crsh/papaja</w:t>
        </w:r>
      </w:hyperlink>
    </w:p>
    <w:bookmarkEnd w:id="44"/>
    <w:bookmarkStart w:id="45"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5"/>
    <w:bookmarkStart w:id="47"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46">
        <w:r>
          <w:rPr>
            <w:rStyle w:val="Hyperlink"/>
          </w:rPr>
          <w:t xml:space="preserve">https://doi.org/10.1023/B:JADD.0000022607.19833.00</w:t>
        </w:r>
      </w:hyperlink>
    </w:p>
    <w:bookmarkEnd w:id="47"/>
    <w:bookmarkStart w:id="48"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48"/>
    <w:bookmarkStart w:id="49" w:name="ref-bishop2016individual"/>
    <w:p>
      <w:pPr>
        <w:pStyle w:val="Literaturverzeichnis"/>
      </w:pPr>
      <w:r>
        <w:t xml:space="preserve">Bishop, J., &amp; Kuo, G. (2016). Do "autistic-like"" personality traits predict prosody perception?</w:t>
      </w:r>
      <w:r>
        <w:t xml:space="preserve"> </w:t>
      </w:r>
      <w:r>
        <w:rPr>
          <w:iCs/>
          <w:i/>
        </w:rPr>
        <w:t xml:space="preserve">Talk presented at LabPhon15 satellite workshop on personality in speech perception and production, ithaca, NY.</w:t>
      </w:r>
    </w:p>
    <w:bookmarkEnd w:id="49"/>
    <w:bookmarkStart w:id="51"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50">
        <w:r>
          <w:rPr>
            <w:rStyle w:val="Hyperlink"/>
          </w:rPr>
          <w:t xml:space="preserve">http://www.praat.org/</w:t>
        </w:r>
      </w:hyperlink>
    </w:p>
    <w:bookmarkEnd w:id="51"/>
    <w:bookmarkStart w:id="53"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52">
        <w:r>
          <w:rPr>
            <w:rStyle w:val="Hyperlink"/>
          </w:rPr>
          <w:t xml:space="preserve">https://doi.org/10.1075/ihll.26</w:t>
        </w:r>
      </w:hyperlink>
    </w:p>
    <w:bookmarkEnd w:id="53"/>
    <w:bookmarkStart w:id="55"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54">
        <w:r>
          <w:rPr>
            <w:rStyle w:val="Hyperlink"/>
          </w:rPr>
          <w:t xml:space="preserve">https://doi.org/10.18637/jss.v080.i01</w:t>
        </w:r>
      </w:hyperlink>
    </w:p>
    <w:bookmarkEnd w:id="55"/>
    <w:bookmarkStart w:id="57"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56">
        <w:r>
          <w:rPr>
            <w:rStyle w:val="Hyperlink"/>
          </w:rPr>
          <w:t xml:space="preserve">https://doi.org/10.32614/RJ-2018-017</w:t>
        </w:r>
      </w:hyperlink>
    </w:p>
    <w:bookmarkEnd w:id="57"/>
    <w:bookmarkStart w:id="59"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58">
        <w:r>
          <w:rPr>
            <w:rStyle w:val="Hyperlink"/>
          </w:rPr>
          <w:t xml:space="preserve">https://doi.org/10.1037/0022-0663.96.4.671</w:t>
        </w:r>
      </w:hyperlink>
    </w:p>
    <w:bookmarkEnd w:id="59"/>
    <w:bookmarkStart w:id="61"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60">
        <w:r>
          <w:rPr>
            <w:rStyle w:val="Hyperlink"/>
          </w:rPr>
          <w:t xml:space="preserve">https://doi.org/10.1017/S0140525X09000545</w:t>
        </w:r>
      </w:hyperlink>
    </w:p>
    <w:bookmarkEnd w:id="61"/>
    <w:bookmarkStart w:id="62"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62"/>
    <w:bookmarkStart w:id="63"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63"/>
    <w:bookmarkStart w:id="65"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64">
        <w:r>
          <w:rPr>
            <w:rStyle w:val="Hyperlink"/>
          </w:rPr>
          <w:t xml:space="preserve">https://doi.org/10.1111/cogs.12227</w:t>
        </w:r>
      </w:hyperlink>
    </w:p>
    <w:bookmarkEnd w:id="65"/>
    <w:bookmarkStart w:id="66"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66"/>
    <w:bookmarkStart w:id="68"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67">
        <w:r>
          <w:rPr>
            <w:rStyle w:val="Hyperlink"/>
          </w:rPr>
          <w:t xml:space="preserve">https://doi.org/10.13140/RG.2.2.19401.13926</w:t>
        </w:r>
      </w:hyperlink>
    </w:p>
    <w:bookmarkEnd w:id="68"/>
    <w:bookmarkStart w:id="70"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 1–15.</w:t>
      </w:r>
      <w:r>
        <w:t xml:space="preserve"> </w:t>
      </w:r>
      <w:hyperlink r:id="rId69">
        <w:r>
          <w:rPr>
            <w:rStyle w:val="Hyperlink"/>
          </w:rPr>
          <w:t xml:space="preserve">https://doi.org/10.3758/s13421-019-00990-w</w:t>
        </w:r>
      </w:hyperlink>
    </w:p>
    <w:bookmarkEnd w:id="70"/>
    <w:bookmarkStart w:id="71" w:name="ref-flege2021revised"/>
    <w:p>
      <w:pPr>
        <w:pStyle w:val="Literaturverzeichnis"/>
      </w:pPr>
      <w:r>
        <w:t xml:space="preserve">Flege, J. E., &amp; Bohn, O.-S. (2021). The revised speech learning model (SLM-r).</w:t>
      </w:r>
      <w:r>
        <w:t xml:space="preserve"> </w:t>
      </w:r>
      <w:r>
        <w:rPr>
          <w:iCs/>
          <w:i/>
        </w:rPr>
        <w:t xml:space="preserve">Second Language Speech Learning: Theoretical and Empirical Progress</w:t>
      </w:r>
      <w:r>
        <w:t xml:space="preserve">, 3–83.</w:t>
      </w:r>
    </w:p>
    <w:bookmarkEnd w:id="71"/>
    <w:bookmarkStart w:id="73"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72">
        <w:r>
          <w:rPr>
            <w:rStyle w:val="Hyperlink"/>
          </w:rPr>
          <w:t xml:space="preserve">https://doi.org/10.1098/rstb.2002.1218</w:t>
        </w:r>
      </w:hyperlink>
    </w:p>
    <w:bookmarkEnd w:id="73"/>
    <w:bookmarkStart w:id="75"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74">
        <w:r>
          <w:rPr>
            <w:rStyle w:val="Hyperlink"/>
          </w:rPr>
          <w:t xml:space="preserve">https://doi.org/10.3390/e19100555</w:t>
        </w:r>
      </w:hyperlink>
    </w:p>
    <w:bookmarkEnd w:id="75"/>
    <w:bookmarkStart w:id="76"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41">
        <w:r>
          <w:rPr>
            <w:rStyle w:val="Hyperlink"/>
          </w:rPr>
          <w:t xml:space="preserve">https://doi.org/10.1075/ihll.6</w:t>
        </w:r>
      </w:hyperlink>
    </w:p>
    <w:bookmarkEnd w:id="76"/>
    <w:bookmarkStart w:id="77"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77"/>
    <w:bookmarkStart w:id="79"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78">
        <w:r>
          <w:rPr>
            <w:rStyle w:val="Hyperlink"/>
          </w:rPr>
          <w:t xml:space="preserve">https://doi.org/10.1037/t47086-000</w:t>
        </w:r>
      </w:hyperlink>
    </w:p>
    <w:bookmarkEnd w:id="79"/>
    <w:bookmarkStart w:id="80"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80"/>
    <w:bookmarkStart w:id="81" w:name="ref-kruschke2018rejecting"/>
    <w:p>
      <w:pPr>
        <w:pStyle w:val="Literaturverzeichnis"/>
      </w:pPr>
      <w:r>
        <w:t xml:space="preserve">Kruschke, J. K. (2018). Rejecting or accepting parameter values in bayesian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81"/>
    <w:bookmarkStart w:id="83"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82">
        <w:r>
          <w:rPr>
            <w:rStyle w:val="Hyperlink"/>
          </w:rPr>
          <w:t xml:space="preserve">https://doi.org/10.1159/000259481</w:t>
        </w:r>
      </w:hyperlink>
    </w:p>
    <w:bookmarkEnd w:id="83"/>
    <w:bookmarkStart w:id="85"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84">
        <w:r>
          <w:rPr>
            <w:rStyle w:val="Hyperlink"/>
          </w:rPr>
          <w:t xml:space="preserve">https://doi.org/10.3758/s13428-011-0146-0</w:t>
        </w:r>
      </w:hyperlink>
    </w:p>
    <w:bookmarkEnd w:id="85"/>
    <w:bookmarkStart w:id="87"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86">
        <w:r>
          <w:rPr>
            <w:rStyle w:val="Hyperlink"/>
          </w:rPr>
          <w:t xml:space="preserve">https://doi.org/10.1075/jslp.2.2.01lev</w:t>
        </w:r>
      </w:hyperlink>
    </w:p>
    <w:bookmarkEnd w:id="87"/>
    <w:bookmarkStart w:id="88"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88"/>
    <w:bookmarkStart w:id="90"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89">
        <w:r>
          <w:rPr>
            <w:rStyle w:val="Hyperlink"/>
          </w:rPr>
          <w:t xml:space="preserve">https://doi.org/10.1017/S0272263100013735</w:t>
        </w:r>
      </w:hyperlink>
    </w:p>
    <w:bookmarkEnd w:id="90"/>
    <w:bookmarkStart w:id="92"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91">
        <w:r>
          <w:rPr>
            <w:rStyle w:val="Hyperlink"/>
          </w:rPr>
          <w:t xml:space="preserve">https://doi.org/10.1016/j.jml.2010.06.005</w:t>
        </w:r>
      </w:hyperlink>
    </w:p>
    <w:bookmarkEnd w:id="92"/>
    <w:bookmarkStart w:id="94"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93">
        <w:r>
          <w:rPr>
            <w:rStyle w:val="Hyperlink"/>
          </w:rPr>
          <w:t xml:space="preserve">https://doi.org/10.5334/labphon.238</w:t>
        </w:r>
      </w:hyperlink>
    </w:p>
    <w:bookmarkEnd w:id="94"/>
    <w:bookmarkStart w:id="95"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95"/>
    <w:bookmarkStart w:id="96"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96"/>
    <w:bookmarkStart w:id="98"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97">
        <w:r>
          <w:rPr>
            <w:rStyle w:val="Hyperlink"/>
          </w:rPr>
          <w:t xml:space="preserve">https://doi.org/10.2307/3587647</w:t>
        </w:r>
      </w:hyperlink>
    </w:p>
    <w:bookmarkEnd w:id="98"/>
    <w:bookmarkStart w:id="100"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99">
        <w:r>
          <w:rPr>
            <w:rStyle w:val="Hyperlink"/>
          </w:rPr>
          <w:t xml:space="preserve">https://doi.org/10.1111/lang.12079</w:t>
        </w:r>
      </w:hyperlink>
    </w:p>
    <w:bookmarkEnd w:id="100"/>
    <w:bookmarkStart w:id="101"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01"/>
    <w:bookmarkStart w:id="103"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02">
        <w:r>
          <w:rPr>
            <w:rStyle w:val="Hyperlink"/>
          </w:rPr>
          <w:t xml:space="preserve">https://doi.org/10.1162/neco.2008.12-06-420</w:t>
        </w:r>
      </w:hyperlink>
    </w:p>
    <w:bookmarkEnd w:id="103"/>
    <w:bookmarkStart w:id="104"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104"/>
    <w:bookmarkStart w:id="105"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05"/>
    <w:bookmarkStart w:id="107"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 1–30.</w:t>
      </w:r>
      <w:r>
        <w:t xml:space="preserve"> </w:t>
      </w:r>
      <w:hyperlink r:id="rId106">
        <w:r>
          <w:rPr>
            <w:rStyle w:val="Hyperlink"/>
          </w:rPr>
          <w:t xml:space="preserve">https://doi.org/10.1017/S0272263106060013</w:t>
        </w:r>
      </w:hyperlink>
    </w:p>
    <w:bookmarkEnd w:id="107"/>
    <w:bookmarkStart w:id="109"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08">
        <w:r>
          <w:rPr>
            <w:rStyle w:val="Hyperlink"/>
          </w:rPr>
          <w:t xml:space="preserve">https://doi.org/10.3389/fpsyg.2015.01000</w:t>
        </w:r>
      </w:hyperlink>
    </w:p>
    <w:bookmarkEnd w:id="109"/>
    <w:bookmarkEnd w:id="110"/>
    <w:p>
      <w:pPr>
        <w:pStyle w:val="h1-pagebreak"/>
      </w:pPr>
      <w:r>
        <w:t xml:space="preserve">Appendix</w:t>
      </w:r>
    </w:p>
    <w:bookmarkEnd w:id="111"/>
    <w:bookmarkStart w:id="119" w:name="on-line-supplementary-material"/>
    <w:p>
      <w:pPr>
        <w:pStyle w:val="berschrift1"/>
      </w:pPr>
      <w:r>
        <w:t xml:space="preserve">On-line supplementary material</w:t>
      </w:r>
    </w:p>
    <w:bookmarkStart w:id="112" w:name="drift-diffusion-models"/>
    <w:p>
      <w:pPr>
        <w:pStyle w:val="berschrift2"/>
      </w:pPr>
      <w:r>
        <w:t xml:space="preserve">Drift diffusion models</w:t>
      </w:r>
    </w:p>
    <w:p>
      <w:r>
        <w:br w:type="page"/>
      </w:r>
    </w:p>
    <w:bookmarkEnd w:id="112"/>
    <w:bookmarkStart w:id="113" w:name="learner-accuracy"/>
    <w:p>
      <w:pPr>
        <w:pStyle w:val="berschrift2"/>
      </w:pPr>
      <w:r>
        <w:t xml:space="preserve">Learner accuracy</w:t>
      </w:r>
    </w:p>
    <w:p>
      <w:pPr>
        <w:pStyle w:val="FirstParagraph"/>
      </w:pPr>
      <w:r>
        <w:t xml:space="preserve">This section contains tables reported but not included in the main text.</w:t>
      </w:r>
      <w:r>
        <w:t xml:space="preserve"> </w:t>
      </w:r>
      <w:r>
        <w:t xml:space="preserve">Table</w:t>
      </w:r>
      <w:r>
        <w:t xml:space="preserve"> </w:t>
      </w:r>
      <w:r>
        <w:t xml:space="preserve">1</w:t>
      </w:r>
      <w:r>
        <w:t xml:space="preserve"> </w:t>
      </w:r>
      <w:r>
        <w:t xml:space="preserve">is equivalent to Figure ???</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320"/>
        <w:gridCol w:w="1320"/>
        <w:gridCol w:w="1320"/>
        <w:gridCol w:w="1320"/>
        <w:gridCol w:w="1320"/>
        <w:gridCol w:w="1320"/>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0.83]</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2099</w:t>
            </w:r>
          </w:p>
        </w:tc>
      </w:tr>
      <w:tr>
        <w:tc>
          <w:tcPr/>
          <w:p>
            <w:pPr>
              <w:pStyle w:val="Compact"/>
              <w:jc w:val="left"/>
            </w:pPr>
            <w:r>
              <w:t xml:space="preserve">Int. wh-</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2723</w:t>
            </w:r>
          </w:p>
        </w:tc>
      </w:tr>
      <w:tr>
        <w:tc>
          <w:tcPr/>
          <w:p>
            <w:pPr>
              <w:pStyle w:val="Compact"/>
              <w:jc w:val="left"/>
            </w:pPr>
            <w:r>
              <w:t xml:space="preserve">Dec. narrow focus</w:t>
            </w:r>
          </w:p>
        </w:tc>
        <w:tc>
          <w:tcPr/>
          <w:p>
            <w:pPr>
              <w:pStyle w:val="Compact"/>
              <w:jc w:val="right"/>
            </w:pPr>
            <w:r>
              <w:t xml:space="preserve">2.13</w:t>
            </w:r>
          </w:p>
        </w:tc>
        <w:tc>
          <w:tcPr/>
          <w:p>
            <w:pPr>
              <w:pStyle w:val="Compact"/>
              <w:jc w:val="right"/>
            </w:pPr>
            <w:r>
              <w:t xml:space="preserve">[1.86, 2.40]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2608</w:t>
            </w:r>
          </w:p>
        </w:tc>
      </w:tr>
      <w:tr>
        <w:tc>
          <w:tcPr/>
          <w:p>
            <w:pPr>
              <w:pStyle w:val="Compact"/>
              <w:jc w:val="left"/>
            </w:pPr>
            <w:r>
              <w:t xml:space="preserve">Dec. broad focus</w:t>
            </w:r>
          </w:p>
        </w:tc>
        <w:tc>
          <w:tcPr/>
          <w:p>
            <w:pPr>
              <w:pStyle w:val="Compact"/>
              <w:jc w:val="right"/>
            </w:pPr>
            <w:r>
              <w:t xml:space="preserve">2.34</w:t>
            </w:r>
          </w:p>
        </w:tc>
        <w:tc>
          <w:tcPr/>
          <w:p>
            <w:pPr>
              <w:pStyle w:val="Compact"/>
              <w:jc w:val="right"/>
            </w:pPr>
            <w:r>
              <w:t xml:space="preserve">[2.06, 2.60]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[−0.12,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5351</w:t>
            </w:r>
          </w:p>
        </w:tc>
      </w:tr>
      <w:tr>
        <w:tc>
          <w:tcPr/>
          <w:p>
            <w:pPr>
              <w:pStyle w:val="Compact"/>
              <w:jc w:val="left"/>
            </w:pPr>
            <w:r>
              <w:t xml:space="preserve">Int. wh-:LexTALE</w:t>
            </w:r>
          </w:p>
        </w:tc>
        <w:tc>
          <w:tcPr/>
          <w:p>
            <w:pPr>
              <w:pStyle w:val="Compact"/>
              <w:jc w:val="right"/>
            </w:pPr>
            <w:r>
              <w:t xml:space="preserve">0.12</w:t>
            </w:r>
          </w:p>
        </w:tc>
        <w:tc>
          <w:tcPr/>
          <w:p>
            <w:pPr>
              <w:pStyle w:val="Compact"/>
              <w:jc w:val="right"/>
            </w:pPr>
            <w:r>
              <w:t xml:space="preserve">[−0.05, 0.30]</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4977</w:t>
            </w:r>
          </w:p>
        </w:tc>
      </w:tr>
      <w:tr>
        <w:tc>
          <w:tcPr/>
          <w:p>
            <w:pPr>
              <w:pStyle w:val="Compact"/>
              <w:jc w:val="left"/>
            </w:pPr>
            <w:r>
              <w:t xml:space="preserve">Dec. 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8450</w:t>
            </w:r>
          </w:p>
        </w:tc>
      </w:tr>
      <w:tr>
        <w:tc>
          <w:tcPr/>
          <w:p>
            <w:pPr>
              <w:pStyle w:val="Compact"/>
              <w:jc w:val="left"/>
            </w:pPr>
            <w:r>
              <w:t xml:space="preserve">Dec. 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9482</w:t>
            </w:r>
          </w:p>
        </w:tc>
      </w:tr>
      <w:tr>
        <w:tc>
          <w:tcPr/>
          <w:p>
            <w:pPr>
              <w:pStyle w:val="Compact"/>
              <w:jc w:val="left"/>
            </w:pPr>
            <w:r>
              <w:t xml:space="preserve">Int. wh-:EQ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4912</w:t>
            </w:r>
          </w:p>
        </w:tc>
      </w:tr>
      <w:tr>
        <w:tc>
          <w:tcPr/>
          <w:p>
            <w:pPr>
              <w:pStyle w:val="Compact"/>
              <w:jc w:val="left"/>
            </w:pPr>
            <w:r>
              <w:t xml:space="preserve">Dec. 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8389</w:t>
            </w:r>
          </w:p>
        </w:tc>
      </w:tr>
      <w:tr>
        <w:tc>
          <w:tcPr/>
          <w:p>
            <w:pPr>
              <w:pStyle w:val="Compact"/>
              <w:jc w:val="left"/>
            </w:pPr>
            <w:r>
              <w:t xml:space="preserve">Dec. 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0.92</w:t>
            </w:r>
          </w:p>
        </w:tc>
        <w:tc>
          <w:tcPr/>
          <w:p>
            <w:pPr>
              <w:pStyle w:val="Compact"/>
              <w:jc w:val="right"/>
            </w:pPr>
            <w:r>
              <w:t xml:space="preserve">0.65</w:t>
            </w:r>
          </w:p>
        </w:tc>
        <w:tc>
          <w:tcPr/>
          <w:p>
            <w:pPr>
              <w:pStyle w:val="Compact"/>
              <w:jc w:val="right"/>
            </w:pPr>
            <w:r>
              <w:t xml:space="preserve">5954</w:t>
            </w:r>
          </w:p>
        </w:tc>
      </w:tr>
      <w:tr>
        <w:tc>
          <w:tcPr/>
          <w:p>
            <w:pPr>
              <w:pStyle w:val="Compact"/>
              <w:jc w:val="left"/>
            </w:pPr>
            <w:r>
              <w:t xml:space="preserve">Int. wh-:LexTALE:EQ</w:t>
            </w:r>
          </w:p>
        </w:tc>
        <w:tc>
          <w:tcPr/>
          <w:p>
            <w:pPr>
              <w:pStyle w:val="Compact"/>
              <w:jc w:val="right"/>
            </w:pPr>
            <w:r>
              <w:t xml:space="preserve">0.19</w:t>
            </w:r>
          </w:p>
        </w:tc>
        <w:tc>
          <w:tcPr/>
          <w:p>
            <w:pPr>
              <w:pStyle w:val="Compact"/>
              <w:jc w:val="right"/>
            </w:pPr>
            <w:r>
              <w:t xml:space="preserve">[0.00, 0.40]</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5604</w:t>
            </w:r>
          </w:p>
        </w:tc>
      </w:tr>
      <w:tr>
        <w:tc>
          <w:tcPr/>
          <w:p>
            <w:pPr>
              <w:pStyle w:val="Compact"/>
              <w:jc w:val="left"/>
            </w:pPr>
            <w:r>
              <w:t xml:space="preserve">Dec. narrow focus:LexTALE:EQ</w:t>
            </w:r>
          </w:p>
        </w:tc>
        <w:tc>
          <w:tcPr/>
          <w:p>
            <w:pPr>
              <w:pStyle w:val="Compact"/>
              <w:jc w:val="right"/>
            </w:pPr>
            <w:r>
              <w:t xml:space="preserve">0.02</w:t>
            </w:r>
          </w:p>
        </w:tc>
        <w:tc>
          <w:tcPr/>
          <w:p>
            <w:pPr>
              <w:pStyle w:val="Compact"/>
              <w:jc w:val="right"/>
            </w:pPr>
            <w:r>
              <w:t xml:space="preserve">[−0.20,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8344</w:t>
            </w:r>
          </w:p>
        </w:tc>
      </w:tr>
      <w:tr>
        <w:tc>
          <w:tcPr/>
          <w:p>
            <w:pPr>
              <w:pStyle w:val="Compact"/>
              <w:jc w:val="left"/>
            </w:pPr>
            <w:r>
              <w:t xml:space="preserve">Dec. broad focus:LexTALE:EQ</w:t>
            </w:r>
          </w:p>
        </w:tc>
        <w:tc>
          <w:tcPr/>
          <w:p>
            <w:pPr>
              <w:pStyle w:val="Compact"/>
              <w:jc w:val="right"/>
            </w:pPr>
            <w:r>
              <w:t xml:space="preserve">0.08</w:t>
            </w:r>
          </w:p>
        </w:tc>
        <w:tc>
          <w:tcPr/>
          <w:p>
            <w:pPr>
              <w:pStyle w:val="Compact"/>
              <w:jc w:val="right"/>
            </w:pPr>
            <w:r>
              <w:t xml:space="preserve">[−0.16, 0.33]</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8698</w:t>
            </w:r>
          </w:p>
        </w:tc>
      </w:tr>
    </w:tbl>
    <w:p>
      <w:pPr>
        <w:pStyle w:val="Textkrper"/>
      </w:pPr>
      <w:r>
        <w:t xml:space="preserve">Table</w:t>
      </w:r>
      <w:r>
        <w:t xml:space="preserve"> </w:t>
      </w:r>
      <w:r>
        <w:t xml:space="preserve">2</w:t>
      </w:r>
      <w:r>
        <w:t xml:space="preserve"> </w:t>
      </w:r>
      <w:r>
        <w:t xml:space="preserve">is equivalent to Figure X in the main document.</w:t>
      </w:r>
    </w:p>
    <w:p>
      <w:pPr>
        <w:pStyle w:val="TableCaption"/>
      </w:pPr>
      <w:r>
        <w:t xml:space="preserve">Table 2: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2: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1.92</w:t>
            </w:r>
          </w:p>
        </w:tc>
        <w:tc>
          <w:tcPr/>
          <w:p>
            <w:pPr>
              <w:pStyle w:val="Compact"/>
              <w:jc w:val="right"/>
            </w:pPr>
            <w:r>
              <w:t xml:space="preserve">[1.83, 2.00]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616</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−0.14</w:t>
            </w:r>
          </w:p>
        </w:tc>
        <w:tc>
          <w:tcPr/>
          <w:p>
            <w:pPr>
              <w:pStyle w:val="Compact"/>
              <w:jc w:val="right"/>
            </w:pPr>
            <w:r>
              <w:t xml:space="preserve">[−0.19, −0.09]</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1973</w:t>
            </w:r>
          </w:p>
        </w:tc>
      </w:tr>
      <w:tr>
        <w:tc>
          <w:tcPr/>
          <w:p>
            <w:pPr>
              <w:pStyle w:val="Compact"/>
            </w:pPr>
          </w:p>
        </w:tc>
        <w:tc>
          <w:tcPr/>
          <w:p>
            <w:pPr>
              <w:pStyle w:val="Compact"/>
              <w:jc w:val="left"/>
            </w:pPr>
            <w:r>
              <w:t xml:space="preserve">LexTALE</w:t>
            </w:r>
          </w:p>
        </w:tc>
        <w:tc>
          <w:tcPr/>
          <w:p>
            <w:pPr>
              <w:pStyle w:val="Compact"/>
              <w:jc w:val="right"/>
            </w:pPr>
            <w:r>
              <w:t xml:space="preserve">0.20</w:t>
            </w:r>
          </w:p>
        </w:tc>
        <w:tc>
          <w:tcPr/>
          <w:p>
            <w:pPr>
              <w:pStyle w:val="Compact"/>
              <w:jc w:val="right"/>
            </w:pPr>
            <w:r>
              <w:t xml:space="preserve">[0.08, 0.31]</w:t>
            </w:r>
          </w:p>
        </w:tc>
        <w:tc>
          <w:tcPr/>
          <w:p>
            <w:pPr>
              <w:pStyle w:val="Compact"/>
              <w:jc w:val="right"/>
            </w:pPr>
            <w:r>
              <w:t xml:space="preserve">0.01</w:t>
            </w:r>
          </w:p>
        </w:tc>
        <w:tc>
          <w:tcPr/>
          <w:p>
            <w:pPr>
              <w:pStyle w:val="Compact"/>
              <w:jc w:val="right"/>
            </w:pPr>
            <w:r>
              <w:t xml:space="preserve">1.00</w:t>
            </w:r>
          </w:p>
        </w:tc>
        <w:tc>
          <w:tcPr/>
          <w:p>
            <w:pPr>
              <w:pStyle w:val="Compact"/>
              <w:jc w:val="right"/>
            </w:pPr>
            <w:r>
              <w:t xml:space="preserve">1011</w:t>
            </w:r>
          </w:p>
        </w:tc>
      </w:tr>
      <w:tr>
        <w:tc>
          <w:tcPr/>
          <w:p>
            <w:pPr>
              <w:pStyle w:val="Compact"/>
            </w:pPr>
          </w:p>
        </w:tc>
        <w:tc>
          <w:tcPr/>
          <w:p>
            <w:pPr>
              <w:pStyle w:val="Compact"/>
              <w:jc w:val="left"/>
            </w:pPr>
            <w:r>
              <w:t xml:space="preserve">EQ</w:t>
            </w:r>
          </w:p>
        </w:tc>
        <w:tc>
          <w:tcPr/>
          <w:p>
            <w:pPr>
              <w:pStyle w:val="Compact"/>
              <w:jc w:val="right"/>
            </w:pPr>
            <w:r>
              <w:t xml:space="preserve">0.09</w:t>
            </w:r>
          </w:p>
        </w:tc>
        <w:tc>
          <w:tcPr/>
          <w:p>
            <w:pPr>
              <w:pStyle w:val="Compact"/>
              <w:jc w:val="right"/>
            </w:pPr>
            <w:r>
              <w:t xml:space="preserve">[0.01, 0.17]</w:t>
            </w:r>
          </w:p>
        </w:tc>
        <w:tc>
          <w:tcPr/>
          <w:p>
            <w:pPr>
              <w:pStyle w:val="Compact"/>
              <w:jc w:val="right"/>
            </w:pPr>
            <w:r>
              <w:t xml:space="preserve">0.44</w:t>
            </w:r>
          </w:p>
        </w:tc>
        <w:tc>
          <w:tcPr/>
          <w:p>
            <w:pPr>
              <w:pStyle w:val="Compact"/>
              <w:jc w:val="right"/>
            </w:pPr>
            <w:r>
              <w:t xml:space="preserve">0.98</w:t>
            </w:r>
          </w:p>
        </w:tc>
        <w:tc>
          <w:tcPr/>
          <w:p>
            <w:pPr>
              <w:pStyle w:val="Compact"/>
              <w:jc w:val="right"/>
            </w:pPr>
            <w:r>
              <w:t xml:space="preserve">842</w:t>
            </w:r>
          </w:p>
        </w:tc>
      </w:tr>
      <w:tr>
        <w:tc>
          <w:tcPr/>
          <w:p>
            <w:pPr>
              <w:pStyle w:val="Compact"/>
            </w:pPr>
          </w:p>
        </w:tc>
        <w:tc>
          <w:tcPr/>
          <w:p>
            <w:pPr>
              <w:pStyle w:val="Compact"/>
              <w:jc w:val="left"/>
            </w:pPr>
            <w:r>
              <w:t xml:space="preserve">Question type:LexTALE</w:t>
            </w:r>
          </w:p>
        </w:tc>
        <w:tc>
          <w:tcPr/>
          <w:p>
            <w:pPr>
              <w:pStyle w:val="Compact"/>
              <w:jc w:val="right"/>
            </w:pPr>
            <w:r>
              <w:t xml:space="preserve">−0.11</w:t>
            </w:r>
          </w:p>
        </w:tc>
        <w:tc>
          <w:tcPr/>
          <w:p>
            <w:pPr>
              <w:pStyle w:val="Compact"/>
              <w:jc w:val="right"/>
            </w:pPr>
            <w:r>
              <w:t xml:space="preserve">[−0.19, −0.03]</w:t>
            </w:r>
          </w:p>
        </w:tc>
        <w:tc>
          <w:tcPr/>
          <w:p>
            <w:pPr>
              <w:pStyle w:val="Compact"/>
              <w:jc w:val="right"/>
            </w:pPr>
            <w:r>
              <w:t xml:space="preserve">0.27</w:t>
            </w:r>
          </w:p>
        </w:tc>
        <w:tc>
          <w:tcPr/>
          <w:p>
            <w:pPr>
              <w:pStyle w:val="Compact"/>
              <w:jc w:val="right"/>
            </w:pPr>
            <w:r>
              <w:t xml:space="preserve">1.00</w:t>
            </w:r>
          </w:p>
        </w:tc>
        <w:tc>
          <w:tcPr/>
          <w:p>
            <w:pPr>
              <w:pStyle w:val="Compact"/>
              <w:jc w:val="right"/>
            </w:pPr>
            <w:r>
              <w:t xml:space="preserve">2953</w:t>
            </w:r>
          </w:p>
        </w:tc>
      </w:tr>
      <w:tr>
        <w:tc>
          <w:tcPr/>
          <w:p>
            <w:pPr>
              <w:pStyle w:val="Compact"/>
            </w:pPr>
          </w:p>
        </w:tc>
        <w:tc>
          <w:tcPr/>
          <w:p>
            <w:pPr>
              <w:pStyle w:val="Compact"/>
              <w:jc w:val="left"/>
            </w:pPr>
            <w:r>
              <w:t xml:space="preserve">Question type:EQ</w:t>
            </w:r>
          </w:p>
        </w:tc>
        <w:tc>
          <w:tcPr/>
          <w:p>
            <w:pPr>
              <w:pStyle w:val="Compact"/>
              <w:jc w:val="right"/>
            </w:pPr>
            <w:r>
              <w:t xml:space="preserve">−0.06</w:t>
            </w:r>
          </w:p>
        </w:tc>
        <w:tc>
          <w:tcPr/>
          <w:p>
            <w:pPr>
              <w:pStyle w:val="Compact"/>
              <w:jc w:val="right"/>
            </w:pPr>
            <w:r>
              <w:t xml:space="preserve">[−0.11, 0.00]</w:t>
            </w:r>
          </w:p>
        </w:tc>
        <w:tc>
          <w:tcPr/>
          <w:p>
            <w:pPr>
              <w:pStyle w:val="Compact"/>
              <w:jc w:val="right"/>
            </w:pPr>
            <w:r>
              <w:t xml:space="preserve">0.85</w:t>
            </w:r>
          </w:p>
        </w:tc>
        <w:tc>
          <w:tcPr/>
          <w:p>
            <w:pPr>
              <w:pStyle w:val="Compact"/>
              <w:jc w:val="right"/>
            </w:pPr>
            <w:r>
              <w:t xml:space="preserve">0.98</w:t>
            </w:r>
          </w:p>
        </w:tc>
        <w:tc>
          <w:tcPr/>
          <w:p>
            <w:pPr>
              <w:pStyle w:val="Compact"/>
              <w:jc w:val="right"/>
            </w:pPr>
            <w:r>
              <w:t xml:space="preserve">2083</w:t>
            </w:r>
          </w:p>
        </w:tc>
      </w:tr>
      <w:tr>
        <w:tc>
          <w:tcPr/>
          <w:p>
            <w:pPr>
              <w:pStyle w:val="Compact"/>
            </w:pPr>
          </w:p>
        </w:tc>
        <w:tc>
          <w:tcPr/>
          <w:p>
            <w:pPr>
              <w:pStyle w:val="Compact"/>
              <w:jc w:val="left"/>
            </w:pPr>
            <w:r>
              <w:t xml:space="preserve">LexTALE:EQ</w:t>
            </w:r>
          </w:p>
        </w:tc>
        <w:tc>
          <w:tcPr/>
          <w:p>
            <w:pPr>
              <w:pStyle w:val="Compact"/>
              <w:jc w:val="right"/>
            </w:pPr>
            <w:r>
              <w:t xml:space="preserve">0.15</w:t>
            </w:r>
          </w:p>
        </w:tc>
        <w:tc>
          <w:tcPr/>
          <w:p>
            <w:pPr>
              <w:pStyle w:val="Compact"/>
              <w:jc w:val="right"/>
            </w:pPr>
            <w:r>
              <w:t xml:space="preserve">[0.04, 0.28]</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1940</w:t>
            </w:r>
          </w:p>
        </w:tc>
      </w:tr>
      <w:tr>
        <w:tc>
          <w:tcPr/>
          <w:p>
            <w:pPr>
              <w:pStyle w:val="Compact"/>
            </w:pPr>
          </w:p>
        </w:tc>
        <w:tc>
          <w:tcPr/>
          <w:p>
            <w:pPr>
              <w:pStyle w:val="Compact"/>
              <w:jc w:val="left"/>
            </w:pPr>
            <w:r>
              <w:t xml:space="preserve">Question type:LexTALE:EQ</w:t>
            </w:r>
          </w:p>
        </w:tc>
        <w:tc>
          <w:tcPr/>
          <w:p>
            <w:pPr>
              <w:pStyle w:val="Compact"/>
              <w:jc w:val="right"/>
            </w:pPr>
            <w:r>
              <w:t xml:space="preserve">−0.08</w:t>
            </w:r>
          </w:p>
        </w:tc>
        <w:tc>
          <w:tcPr/>
          <w:p>
            <w:pPr>
              <w:pStyle w:val="Compact"/>
              <w:jc w:val="right"/>
            </w:pPr>
            <w:r>
              <w:t xml:space="preserve">[−0.17, 0.01]</w:t>
            </w:r>
          </w:p>
        </w:tc>
        <w:tc>
          <w:tcPr/>
          <w:p>
            <w:pPr>
              <w:pStyle w:val="Compact"/>
              <w:jc w:val="right"/>
            </w:pPr>
            <w:r>
              <w:t xml:space="preserve">0.51</w:t>
            </w:r>
          </w:p>
        </w:tc>
        <w:tc>
          <w:tcPr/>
          <w:p>
            <w:pPr>
              <w:pStyle w:val="Compact"/>
              <w:jc w:val="right"/>
            </w:pPr>
            <w:r>
              <w:t xml:space="preserve">0.97</w:t>
            </w:r>
          </w:p>
        </w:tc>
        <w:tc>
          <w:tcPr/>
          <w:p>
            <w:pPr>
              <w:pStyle w:val="Compact"/>
              <w:jc w:val="right"/>
            </w:pPr>
            <w:r>
              <w:t xml:space="preserve">2625</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1.24</w:t>
            </w:r>
          </w:p>
        </w:tc>
        <w:tc>
          <w:tcPr/>
          <w:p>
            <w:pPr>
              <w:pStyle w:val="Compact"/>
              <w:jc w:val="right"/>
            </w:pPr>
            <w:r>
              <w:t xml:space="preserve">[1.21, 1.27]</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1290</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3040</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[−0.01, 0.06]</w:t>
            </w:r>
          </w:p>
        </w:tc>
        <w:tc>
          <w:tcPr/>
          <w:p>
            <w:pPr>
              <w:pStyle w:val="Compact"/>
              <w:jc w:val="right"/>
            </w:pPr>
            <w:r>
              <w:t xml:space="preserve">0.69</w:t>
            </w:r>
          </w:p>
        </w:tc>
        <w:tc>
          <w:tcPr/>
          <w:p>
            <w:pPr>
              <w:pStyle w:val="Compact"/>
              <w:jc w:val="right"/>
            </w:pPr>
            <w:r>
              <w:t xml:space="preserve">0.89</w:t>
            </w:r>
          </w:p>
        </w:tc>
        <w:tc>
          <w:tcPr/>
          <w:p>
            <w:pPr>
              <w:pStyle w:val="Compact"/>
              <w:jc w:val="right"/>
            </w:pPr>
            <w:r>
              <w:t xml:space="preserve">1676</w:t>
            </w:r>
          </w:p>
        </w:tc>
      </w:tr>
      <w:tr>
        <w:tc>
          <w:tcPr/>
          <w:p>
            <w:pPr>
              <w:pStyle w:val="Compact"/>
            </w:pPr>
          </w:p>
        </w:tc>
        <w:tc>
          <w:tcPr/>
          <w:p>
            <w:pPr>
              <w:pStyle w:val="Compact"/>
              <w:jc w:val="left"/>
            </w:pPr>
            <w:r>
              <w:t xml:space="preserv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0.95</w:t>
            </w:r>
          </w:p>
        </w:tc>
        <w:tc>
          <w:tcPr/>
          <w:p>
            <w:pPr>
              <w:pStyle w:val="Compact"/>
              <w:jc w:val="right"/>
            </w:pPr>
            <w:r>
              <w:t xml:space="preserve">0.61</w:t>
            </w:r>
          </w:p>
        </w:tc>
        <w:tc>
          <w:tcPr/>
          <w:p>
            <w:pPr>
              <w:pStyle w:val="Compact"/>
              <w:jc w:val="right"/>
            </w:pPr>
            <w:r>
              <w:t xml:space="preserve">1630</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0.86</w:t>
            </w:r>
          </w:p>
        </w:tc>
        <w:tc>
          <w:tcPr/>
          <w:p>
            <w:pPr>
              <w:pStyle w:val="Compact"/>
              <w:jc w:val="right"/>
            </w:pPr>
            <w:r>
              <w:t xml:space="preserve">0.77</w:t>
            </w:r>
          </w:p>
        </w:tc>
        <w:tc>
          <w:tcPr/>
          <w:p>
            <w:pPr>
              <w:pStyle w:val="Compact"/>
              <w:jc w:val="right"/>
            </w:pPr>
            <w:r>
              <w:t xml:space="preserve">2565</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1.00</w:t>
            </w:r>
          </w:p>
        </w:tc>
        <w:tc>
          <w:tcPr/>
          <w:p>
            <w:pPr>
              <w:pStyle w:val="Compact"/>
              <w:jc w:val="right"/>
            </w:pPr>
            <w:r>
              <w:t xml:space="preserve">0.55</w:t>
            </w:r>
          </w:p>
        </w:tc>
        <w:tc>
          <w:tcPr/>
          <w:p>
            <w:pPr>
              <w:pStyle w:val="Compact"/>
              <w:jc w:val="right"/>
            </w:pPr>
            <w:r>
              <w:t xml:space="preserve">3075</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[−0.10, −0.02]</w:t>
            </w:r>
          </w:p>
        </w:tc>
        <w:tc>
          <w:tcPr/>
          <w:p>
            <w:pPr>
              <w:pStyle w:val="Compact"/>
              <w:jc w:val="right"/>
            </w:pPr>
            <w:r>
              <w:t xml:space="preserve">0.08</w:t>
            </w:r>
          </w:p>
        </w:tc>
        <w:tc>
          <w:tcPr/>
          <w:p>
            <w:pPr>
              <w:pStyle w:val="Compact"/>
              <w:jc w:val="right"/>
            </w:pPr>
            <w:r>
              <w:t xml:space="preserve">0.99</w:t>
            </w:r>
          </w:p>
        </w:tc>
        <w:tc>
          <w:tcPr/>
          <w:p>
            <w:pPr>
              <w:pStyle w:val="Compact"/>
              <w:jc w:val="right"/>
            </w:pPr>
            <w:r>
              <w:t xml:space="preserve">1950</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0.90</w:t>
            </w:r>
          </w:p>
        </w:tc>
        <w:tc>
          <w:tcPr/>
          <w:p>
            <w:pPr>
              <w:pStyle w:val="Compact"/>
              <w:jc w:val="right"/>
            </w:pPr>
            <w:r>
              <w:t xml:space="preserve">0.65</w:t>
            </w:r>
          </w:p>
        </w:tc>
        <w:tc>
          <w:tcPr/>
          <w:p>
            <w:pPr>
              <w:pStyle w:val="Compact"/>
              <w:jc w:val="right"/>
            </w:pPr>
            <w:r>
              <w:t xml:space="preserve">2741</w:t>
            </w:r>
          </w:p>
        </w:tc>
      </w:tr>
    </w:tbl>
    <w:bookmarkEnd w:id="113"/>
    <w:bookmarkStart w:id="117" w:name="supplementary-analyses"/>
    <w:p>
      <w:pPr>
        <w:pStyle w:val="berschrift2"/>
      </w:pPr>
      <w:r>
        <w:t xml:space="preserve">Supplementary analyses</w:t>
      </w:r>
    </w:p>
    <w:p>
      <w:pPr>
        <w:pStyle w:val="FirstParagraph"/>
      </w:pPr>
      <w:r>
        <w:t xml:space="preserve">In this section we present supplementary analyses, all of which are exploratory in nature.</w:t>
      </w:r>
      <w:r>
        <w:t xml:space="preserve"> </w:t>
      </w:r>
      <w:r>
        <w:rPr>
          <w:iCs/>
          <w:i/>
        </w:rPr>
        <w:t xml:space="preserve">D’</w:t>
      </w:r>
      <w:r>
        <w:t xml:space="preserve">. Figure</w:t>
      </w:r>
      <w:r>
        <w:t xml:space="preserve"> </w:t>
      </w:r>
      <w:r>
        <w:t xml:space="preserve">8</w:t>
      </w:r>
      <w:r>
        <w:t xml:space="preserve"> </w:t>
      </w:r>
      <w:r>
        <w:t xml:space="preserve">and Table</w:t>
      </w:r>
      <w:r>
        <w:t xml:space="preserve"> </w:t>
      </w:r>
      <w:r>
        <w:t xml:space="preserve">3</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p>
    <w:p>
      <w:pPr>
        <w:pStyle w:val="CaptionedFigure"/>
      </w:pPr>
      <w:r>
        <w:drawing>
          <wp:inline>
            <wp:extent cx="5969000" cy="2808941"/>
            <wp:effectExtent b="0" l="0" r="0" t="0"/>
            <wp:docPr descr="Figure 8.   Exploratory analysis of d’ as a function of utterance type and speaker variety. Points represent posterior medians ±66% and 95% credible intervals." title="" id="1" name="Picture"/>
            <a:graphic>
              <a:graphicData uri="http://schemas.openxmlformats.org/drawingml/2006/picture">
                <pic:pic>
                  <pic:nvPicPr>
                    <pic:cNvPr descr="/Users/casillas/academia/research/in_progress/empathy_intonation_perc/figs/manuscript/learner_dp_utterance_variety.pdf" id="0" name="Picture"/>
                    <pic:cNvPicPr>
                      <a:picLocks noChangeArrowheads="1" noChangeAspect="1"/>
                    </pic:cNvPicPr>
                  </pic:nvPicPr>
                  <pic:blipFill>
                    <a:blip r:embed="rId114"/>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Exploratory analysis of d’ as a function of utterance type and speaker variety. Points represent posterior medians ±66% and 95% credible intervals.</w:t>
      </w:r>
    </w:p>
    <w:p>
      <w:pPr>
        <w:pStyle w:val="TableCaption"/>
      </w:pPr>
      <w:r>
        <w:t xml:space="preserve">Table 3: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3: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Declarative broad focus</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w:t>
            </w:r>
          </w:p>
        </w:tc>
      </w:tr>
      <w:tr>
        <w:tc>
          <w:tcPr/>
          <w:p>
            <w:pPr>
              <w:pStyle w:val="Compact"/>
            </w:pPr>
          </w:p>
        </w:tc>
        <w:tc>
          <w:tcPr/>
          <w:p>
            <w:pPr>
              <w:pStyle w:val="Compact"/>
              <w:jc w:val="left"/>
            </w:pPr>
            <w:r>
              <w:t xml:space="preserve">Declarative narrow focus</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w:t>
            </w:r>
          </w:p>
        </w:tc>
      </w:tr>
      <w:tr>
        <w:tc>
          <w:tcPr/>
          <w:p>
            <w:pPr>
              <w:pStyle w:val="Compact"/>
            </w:pPr>
          </w:p>
        </w:tc>
        <w:tc>
          <w:tcPr/>
          <w:p>
            <w:pPr>
              <w:pStyle w:val="Compact"/>
              <w:jc w:val="left"/>
            </w:pPr>
            <w:r>
              <w:t xml:space="preserve">Interrogative wh-</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w:t>
            </w:r>
          </w:p>
        </w:tc>
      </w:tr>
      <w:tr>
        <w:tc>
          <w:tcPr/>
          <w:p>
            <w:pPr>
              <w:pStyle w:val="Compact"/>
            </w:pPr>
          </w:p>
        </w:tc>
        <w:tc>
          <w:tcPr/>
          <w:p>
            <w:pPr>
              <w:pStyle w:val="Compact"/>
              <w:jc w:val="left"/>
            </w:pPr>
            <w:r>
              <w:t xml:space="preserve">Interrogative y/n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w:t>
            </w:r>
          </w:p>
        </w:tc>
      </w:tr>
      <w:tr>
        <w:tc>
          <w:tcPr/>
          <w:p>
            <w:pPr>
              <w:pStyle w:val="Compact"/>
            </w:pPr>
          </w:p>
        </w:tc>
        <w:tc>
          <w:tcPr/>
          <w:p>
            <w:pPr>
              <w:pStyle w:val="Compact"/>
              <w:jc w:val="left"/>
            </w:pPr>
            <w:r>
              <w:t xml:space="preserve">Peninsular</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w:t>
            </w:r>
          </w:p>
        </w:tc>
      </w:tr>
    </w:tbl>
    <w:p>
      <w:pPr>
        <w:pStyle w:val="Textkrper"/>
      </w:pPr>
      <w:r>
        <w:rPr>
          <w:iCs/>
          <w:i/>
        </w:rPr>
        <w:t xml:space="preserve">Randomization check across participants</w:t>
      </w:r>
      <w:r>
        <w:t xml:space="preserve">.</w:t>
      </w:r>
    </w:p>
    <w:p>
      <w:pPr>
        <w:pStyle w:val="Textkrper"/>
      </w:pPr>
      <w:r>
        <w:t xml:space="preserve">This is Figure</w:t>
      </w:r>
      <w:r>
        <w:t xml:space="preserve"> </w:t>
      </w:r>
      <w:r>
        <w:t xml:space="preserve">9</w:t>
      </w:r>
    </w:p>
    <w:p>
      <w:pPr>
        <w:pStyle w:val="CaptionedFigure"/>
      </w:pPr>
      <w:r>
        <w:drawing>
          <wp:inline>
            <wp:extent cx="5969000" cy="3410857"/>
            <wp:effectExtent b="0" l="0" r="0" t="0"/>
            <wp:docPr descr="Figure 9.   Make sure each variety represented equally over course of experiment."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11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Make sure each variety represented equally over course of experiment.</w:t>
      </w:r>
    </w:p>
    <w:p>
      <w:pPr>
        <w:pStyle w:val="Textkrper"/>
      </w:pPr>
      <w:r>
        <w:rPr>
          <w:iCs/>
          <w:i/>
        </w:rPr>
        <w:t xml:space="preserve">Speech rate</w:t>
      </w:r>
      <w:r>
        <w:t xml:space="preserve">. This is Figure</w:t>
      </w:r>
      <w:r>
        <w:t xml:space="preserve"> </w:t>
      </w:r>
      <w:r>
        <w:t xml:space="preserve">10</w:t>
      </w:r>
    </w:p>
    <w:p>
      <w:pPr>
        <w:pStyle w:val="CaptionedFigure"/>
      </w:pPr>
      <w:r>
        <w:drawing>
          <wp:inline>
            <wp:extent cx="5969000" cy="3410857"/>
            <wp:effectExtent b="0" l="0" r="0" t="0"/>
            <wp:docPr descr="Figure 10.   Make sure each variety represented equally over course of experiment."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116"/>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  </w:t>
      </w:r>
      <w:r>
        <w:t xml:space="preserve"> </w:t>
      </w:r>
      <w:r>
        <w:t xml:space="preserve">Make sure each variety represented equally over course of experiment.</w:t>
      </w:r>
    </w:p>
    <w:p>
      <w:r>
        <w:br w:type="page"/>
      </w:r>
    </w:p>
    <w:bookmarkEnd w:id="117"/>
    <w:bookmarkStart w:id="118"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2021-12-21</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bayestestR            0.11.5 2021-10-30</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0.3.0 2021-12-18</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datawizard             0.2.1 2021-10-04</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insight               0.14.5 2021-10-16</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png                    0.1-7 2013-12-03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0.28 2021-11-04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118"/>
    <w:bookmarkEnd w:id="119"/>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26">
    <w:p>
      <w:pPr>
        <w:pStyle w:val="Funotentext"/>
      </w:pPr>
      <w:r>
        <w:rPr>
          <w:rStyle w:val="Funotenzeichen"/>
        </w:rPr>
        <w:footnoteRef/>
      </w:r>
      <w:r>
        <w:t xml:space="preserve"> </w:t>
      </w:r>
      <w:r>
        <w:t xml:space="preserve">See online supplementary materials for more information.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6" Target="media/rId36.pdf" /><Relationship Type="http://schemas.openxmlformats.org/officeDocument/2006/relationships/image" Id="rId29" Target="media/rId29.pdf" /><Relationship Type="http://schemas.openxmlformats.org/officeDocument/2006/relationships/image" Id="rId37" Target="media/rId37.pdf" /><Relationship Type="http://schemas.openxmlformats.org/officeDocument/2006/relationships/image" Id="rId35" Target="media/rId35.pdf" /><Relationship Type="http://schemas.openxmlformats.org/officeDocument/2006/relationships/image" Id="rId32" Target="media/rId32.pdf" /><Relationship Type="http://schemas.openxmlformats.org/officeDocument/2006/relationships/image" Id="rId34" Target="media/rId34.pdf" /><Relationship Type="http://schemas.openxmlformats.org/officeDocument/2006/relationships/image" Id="rId33" Target="media/rId33.png" /><Relationship Type="http://schemas.openxmlformats.org/officeDocument/2006/relationships/image" Id="rId114" Target="media/rId114.pdf" /><Relationship Type="http://schemas.openxmlformats.org/officeDocument/2006/relationships/image" Id="rId115" Target="media/rId115.pdf" /><Relationship Type="http://schemas.openxmlformats.org/officeDocument/2006/relationships/image" Id="rId116" Target="media/rId116.pdf" /><Relationship Type="http://schemas.openxmlformats.org/officeDocument/2006/relationships/hyperlink" Id="rId50" Target="http://www.praat.org/" TargetMode="External" /><Relationship Type="http://schemas.openxmlformats.org/officeDocument/2006/relationships/hyperlink" Id="rId91" Target="https://doi.org/10.1016/j.jml.2010.06.005" TargetMode="External" /><Relationship Type="http://schemas.openxmlformats.org/officeDocument/2006/relationships/hyperlink" Id="rId60" Target="https://doi.org/10.1017/S0140525X09000545" TargetMode="External" /><Relationship Type="http://schemas.openxmlformats.org/officeDocument/2006/relationships/hyperlink" Id="rId89" Target="https://doi.org/10.1017/S0272263100013735" TargetMode="External" /><Relationship Type="http://schemas.openxmlformats.org/officeDocument/2006/relationships/hyperlink" Id="rId106" Target="https://doi.org/10.1017/S0272263106060013" TargetMode="External" /><Relationship Type="http://schemas.openxmlformats.org/officeDocument/2006/relationships/hyperlink" Id="rId46" Target="https://doi.org/10.1023/B:JADD.0000022607.19833.00" TargetMode="External" /><Relationship Type="http://schemas.openxmlformats.org/officeDocument/2006/relationships/hyperlink" Id="rId58" Target="https://doi.org/10.1037/0022-0663.96.4.671" TargetMode="External" /><Relationship Type="http://schemas.openxmlformats.org/officeDocument/2006/relationships/hyperlink" Id="rId78" Target="https://doi.org/10.1037/t47086-000" TargetMode="External" /><Relationship Type="http://schemas.openxmlformats.org/officeDocument/2006/relationships/hyperlink" Id="rId52" Target="https://doi.org/10.1075/ihll.26" TargetMode="External" /><Relationship Type="http://schemas.openxmlformats.org/officeDocument/2006/relationships/hyperlink" Id="rId41" Target="https://doi.org/10.1075/ihll.6" TargetMode="External" /><Relationship Type="http://schemas.openxmlformats.org/officeDocument/2006/relationships/hyperlink" Id="rId86" Target="https://doi.org/10.1075/jslp.2.2.01lev" TargetMode="External" /><Relationship Type="http://schemas.openxmlformats.org/officeDocument/2006/relationships/hyperlink" Id="rId72" Target="https://doi.org/10.1098/rstb.2002.1218" TargetMode="External" /><Relationship Type="http://schemas.openxmlformats.org/officeDocument/2006/relationships/hyperlink" Id="rId64" Target="https://doi.org/10.1111/cogs.12227" TargetMode="External" /><Relationship Type="http://schemas.openxmlformats.org/officeDocument/2006/relationships/hyperlink" Id="rId99" Target="https://doi.org/10.1111/lang.12079" TargetMode="External" /><Relationship Type="http://schemas.openxmlformats.org/officeDocument/2006/relationships/hyperlink" Id="rId82" Target="https://doi.org/10.1159/000259481" TargetMode="External" /><Relationship Type="http://schemas.openxmlformats.org/officeDocument/2006/relationships/hyperlink" Id="rId102" Target="https://doi.org/10.1162/neco.2008.12-06-420" TargetMode="External" /><Relationship Type="http://schemas.openxmlformats.org/officeDocument/2006/relationships/hyperlink" Id="rId67" Target="https://doi.org/10.13140/RG.2.2.19401.13926" TargetMode="External" /><Relationship Type="http://schemas.openxmlformats.org/officeDocument/2006/relationships/hyperlink" Id="rId54" Target="https://doi.org/10.18637/jss.v080.i01" TargetMode="External" /><Relationship Type="http://schemas.openxmlformats.org/officeDocument/2006/relationships/hyperlink" Id="rId97" Target="https://doi.org/10.2307/3587647" TargetMode="External" /><Relationship Type="http://schemas.openxmlformats.org/officeDocument/2006/relationships/hyperlink" Id="rId56" Target="https://doi.org/10.32614/RJ-2018-017" TargetMode="External" /><Relationship Type="http://schemas.openxmlformats.org/officeDocument/2006/relationships/hyperlink" Id="rId108" Target="https://doi.org/10.3389/fpsyg.2015.01000" TargetMode="External" /><Relationship Type="http://schemas.openxmlformats.org/officeDocument/2006/relationships/hyperlink" Id="rId74" Target="https://doi.org/10.3390/e19100555" TargetMode="External" /><Relationship Type="http://schemas.openxmlformats.org/officeDocument/2006/relationships/hyperlink" Id="rId69" Target="https://doi.org/10.3758/s13421-019-00990-w" TargetMode="External" /><Relationship Type="http://schemas.openxmlformats.org/officeDocument/2006/relationships/hyperlink" Id="rId84" Target="https://doi.org/10.3758/s13428-011-0146-0" TargetMode="External" /><Relationship Type="http://schemas.openxmlformats.org/officeDocument/2006/relationships/hyperlink" Id="rId93" Target="https://doi.org/10.5334/labphon.238" TargetMode="External" /><Relationship Type="http://schemas.openxmlformats.org/officeDocument/2006/relationships/hyperlink" Id="rId43"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50" Target="http://www.praat.org/" TargetMode="External" /><Relationship Type="http://schemas.openxmlformats.org/officeDocument/2006/relationships/hyperlink" Id="rId91" Target="https://doi.org/10.1016/j.jml.2010.06.005" TargetMode="External" /><Relationship Type="http://schemas.openxmlformats.org/officeDocument/2006/relationships/hyperlink" Id="rId60" Target="https://doi.org/10.1017/S0140525X09000545" TargetMode="External" /><Relationship Type="http://schemas.openxmlformats.org/officeDocument/2006/relationships/hyperlink" Id="rId89" Target="https://doi.org/10.1017/S0272263100013735" TargetMode="External" /><Relationship Type="http://schemas.openxmlformats.org/officeDocument/2006/relationships/hyperlink" Id="rId106" Target="https://doi.org/10.1017/S0272263106060013" TargetMode="External" /><Relationship Type="http://schemas.openxmlformats.org/officeDocument/2006/relationships/hyperlink" Id="rId46" Target="https://doi.org/10.1023/B:JADD.0000022607.19833.00" TargetMode="External" /><Relationship Type="http://schemas.openxmlformats.org/officeDocument/2006/relationships/hyperlink" Id="rId58" Target="https://doi.org/10.1037/0022-0663.96.4.671" TargetMode="External" /><Relationship Type="http://schemas.openxmlformats.org/officeDocument/2006/relationships/hyperlink" Id="rId78" Target="https://doi.org/10.1037/t47086-000" TargetMode="External" /><Relationship Type="http://schemas.openxmlformats.org/officeDocument/2006/relationships/hyperlink" Id="rId52" Target="https://doi.org/10.1075/ihll.26" TargetMode="External" /><Relationship Type="http://schemas.openxmlformats.org/officeDocument/2006/relationships/hyperlink" Id="rId41" Target="https://doi.org/10.1075/ihll.6" TargetMode="External" /><Relationship Type="http://schemas.openxmlformats.org/officeDocument/2006/relationships/hyperlink" Id="rId86" Target="https://doi.org/10.1075/jslp.2.2.01lev" TargetMode="External" /><Relationship Type="http://schemas.openxmlformats.org/officeDocument/2006/relationships/hyperlink" Id="rId72" Target="https://doi.org/10.1098/rstb.2002.1218" TargetMode="External" /><Relationship Type="http://schemas.openxmlformats.org/officeDocument/2006/relationships/hyperlink" Id="rId64" Target="https://doi.org/10.1111/cogs.12227" TargetMode="External" /><Relationship Type="http://schemas.openxmlformats.org/officeDocument/2006/relationships/hyperlink" Id="rId99" Target="https://doi.org/10.1111/lang.12079" TargetMode="External" /><Relationship Type="http://schemas.openxmlformats.org/officeDocument/2006/relationships/hyperlink" Id="rId82" Target="https://doi.org/10.1159/000259481" TargetMode="External" /><Relationship Type="http://schemas.openxmlformats.org/officeDocument/2006/relationships/hyperlink" Id="rId102" Target="https://doi.org/10.1162/neco.2008.12-06-420" TargetMode="External" /><Relationship Type="http://schemas.openxmlformats.org/officeDocument/2006/relationships/hyperlink" Id="rId67" Target="https://doi.org/10.13140/RG.2.2.19401.13926" TargetMode="External" /><Relationship Type="http://schemas.openxmlformats.org/officeDocument/2006/relationships/hyperlink" Id="rId54" Target="https://doi.org/10.18637/jss.v080.i01" TargetMode="External" /><Relationship Type="http://schemas.openxmlformats.org/officeDocument/2006/relationships/hyperlink" Id="rId97" Target="https://doi.org/10.2307/3587647" TargetMode="External" /><Relationship Type="http://schemas.openxmlformats.org/officeDocument/2006/relationships/hyperlink" Id="rId56" Target="https://doi.org/10.32614/RJ-2018-017" TargetMode="External" /><Relationship Type="http://schemas.openxmlformats.org/officeDocument/2006/relationships/hyperlink" Id="rId108" Target="https://doi.org/10.3389/fpsyg.2015.01000" TargetMode="External" /><Relationship Type="http://schemas.openxmlformats.org/officeDocument/2006/relationships/hyperlink" Id="rId74" Target="https://doi.org/10.3390/e19100555" TargetMode="External" /><Relationship Type="http://schemas.openxmlformats.org/officeDocument/2006/relationships/hyperlink" Id="rId69" Target="https://doi.org/10.3758/s13421-019-00990-w" TargetMode="External" /><Relationship Type="http://schemas.openxmlformats.org/officeDocument/2006/relationships/hyperlink" Id="rId84" Target="https://doi.org/10.3758/s13428-011-0146-0" TargetMode="External" /><Relationship Type="http://schemas.openxmlformats.org/officeDocument/2006/relationships/hyperlink" Id="rId93" Target="https://doi.org/10.5334/labphon.238" TargetMode="External" /><Relationship Type="http://schemas.openxmlformats.org/officeDocument/2006/relationships/hyperlink" Id="rId43"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2021-12-21T07:07:08Z</dcterms:created>
  <dcterms:modified xsi:type="dcterms:W3CDTF">2021-12-21T07:07:08Z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X</vt:lpwstr>
  </property>
</Properties>
</file>