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8.pdf" ContentType="application/pdf"/>
  <Override PartName="/word/media/rId37.pdf" ContentType="application/pdf"/>
  <Override PartName="/word/media/rId149.pdf" ContentType="application/pdf"/>
  <Override PartName="/word/media/rId150.pdf" ContentType="application/pdf"/>
  <Override PartName="/word/media/rId14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Rascón: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The results</w:t>
      </w:r>
      <w:r>
        <w:t xml:space="preserve"> </w:t>
      </w:r>
      <w:r>
        <w:t xml:space="preserve">show (1) learner response accuracy and sensitivity to intonation improved</w:t>
      </w:r>
      <w:r>
        <w:t xml:space="preserve"> </w:t>
      </w:r>
      <w:r>
        <w:t xml:space="preserve">as a function of proficiency, and (2) .</w:t>
      </w:r>
      <w:r>
        <w:t xml:space="preserve"> </w:t>
      </w:r>
      <w:r>
        <w:t xml:space="preserve">Higher empathic individuals, in comparison with lower empathic individuals,</w:t>
      </w:r>
      <w:r>
        <w:t xml:space="preserve"> </w:t>
      </w:r>
      <w:r>
        <w:t xml:space="preserve">appear 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10,038</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investigated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are faced with suprasegmental challenges as well</w:t>
      </w:r>
      <w:r>
        <w:t xml:space="preserve"> </w:t>
      </w:r>
      <w:r>
        <w:t xml:space="preserve">(Craft, 2015, among others; Henriksen, Geeslin, &amp; Willis, 2010; Thornberry, 2014)</w:t>
      </w:r>
      <w:r>
        <w:t xml:space="preserve">.</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first language (L1) prosodic features when speaking the target language can result in misunderstandings due to the fact that the same prosodic features may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 </w:t>
      </w:r>
      <w:r>
        <w:t xml:space="preserve">Intonational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a pre-, post-test designs</w:t>
      </w:r>
      <w:r>
        <w:t xml:space="preserve"> </w:t>
      </w:r>
      <w:r>
        <w:t xml:space="preserve">(Craft, 2015; See Henriksen et al.,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L2 learners of Spanish.</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has a positive impact on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ambiguity that can lead to confirmatory vs. contrasting interpretations.</w:t>
      </w:r>
      <w:r>
        <w:t xml:space="preserve"> </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work on empathy is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absolute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 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yes/no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yes/no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rPr>
          <w:iCs/>
          <w:i/>
        </w:rPr>
        <w:t xml:space="preserve"> </w:t>
      </w:r>
      <w:r>
        <w:rPr>
          <w:iCs/>
          <w:i/>
        </w:rPr>
        <w:t xml:space="preserve">(i.e., Brandl et al., 2020)</w:t>
      </w:r>
      <w:r>
        <w:rPr>
          <w:iCs/>
          <w:i/>
        </w:rPr>
        <w:t xml:space="preserve">?</w:t>
      </w:r>
      <w:r>
        <w:t xml:space="preserve">, was developed as a direct result of the previous literature examining the acquisition of Spanish prosody</w:t>
      </w:r>
      <w:r>
        <w:t xml:space="preserve"> </w:t>
      </w:r>
      <w:r>
        <w:t xml:space="preserve">(Brandl et al., 2020; i.e.,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(Guiora et al., 1972, i.e., 1968;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 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Aside from addressing response accuracy, we also show that in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higher empathy individuals might show more sensitivity to intonation cues out of a general tendency to be more willing to devote their cognitive efforts to this area, which, consequently, may require more time than not devoting that effort.</w:t>
      </w:r>
      <w:r>
        <w:t xml:space="preserve"> </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11</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(Bertrand, Guegan, Robieux, McCall, &amp; Zenasni, 2018; i.e.,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2" w:name="references"/>
    <w:p>
      <w:pPr>
        <w:pStyle w:val="berschrift1"/>
      </w:pPr>
      <w:r>
        <w:t xml:space="preserve">References</w:t>
      </w:r>
    </w:p>
    <w:bookmarkStart w:id="141"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86">
        <w:r>
          <w:rPr>
            <w:rStyle w:val="Hyperlink"/>
          </w:rPr>
          <w:t xml:space="preserve">https://doi.org/10.1111/j.1467-1770.1979.tb01059.x</w:t>
        </w:r>
      </w:hyperlink>
    </w:p>
    <w:bookmarkEnd w:id="87"/>
    <w:bookmarkStart w:id="89"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8">
        <w:r>
          <w:rPr>
            <w:rStyle w:val="Hyperlink"/>
          </w:rPr>
          <w:t xml:space="preserve">https://doi.org/10.1016/0010-440X(72)90083-1</w:t>
        </w:r>
      </w:hyperlink>
    </w:p>
    <w:bookmarkEnd w:id="89"/>
    <w:bookmarkStart w:id="91"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90">
        <w:r>
          <w:rPr>
            <w:rStyle w:val="Hyperlink"/>
          </w:rPr>
          <w:t xml:space="preserve">https://doi.org/10.1111/j.1467-1770.1972.tb00077.x</w:t>
        </w:r>
      </w:hyperlink>
    </w:p>
    <w:bookmarkEnd w:id="91"/>
    <w:bookmarkStart w:id="92"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2"/>
    <w:bookmarkStart w:id="9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3"/>
    <w:bookmarkStart w:id="95"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4">
        <w:r>
          <w:rPr>
            <w:rStyle w:val="Hyperlink"/>
          </w:rPr>
          <w:t xml:space="preserve">https://doi.org/10.1515/shll-2010-1067</w:t>
        </w:r>
      </w:hyperlink>
    </w:p>
    <w:bookmarkEnd w:id="95"/>
    <w:bookmarkStart w:id="97"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6">
        <w:r>
          <w:rPr>
            <w:rStyle w:val="Hyperlink"/>
          </w:rPr>
          <w:t xml:space="preserve">https://doi.org/10.1016/j.bandl.2012.11.006</w:t>
        </w:r>
      </w:hyperlink>
    </w:p>
    <w:bookmarkEnd w:id="97"/>
    <w:bookmarkStart w:id="98"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8"/>
    <w:bookmarkStart w:id="10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9">
        <w:r>
          <w:rPr>
            <w:rStyle w:val="Hyperlink"/>
          </w:rPr>
          <w:t xml:space="preserve">https://doi.org/10.1037/t47086-000</w:t>
        </w:r>
      </w:hyperlink>
    </w:p>
    <w:bookmarkEnd w:id="100"/>
    <w:bookmarkStart w:id="101"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01"/>
    <w:bookmarkStart w:id="102"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2"/>
    <w:bookmarkStart w:id="104"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3">
        <w:r>
          <w:rPr>
            <w:rStyle w:val="Hyperlink"/>
          </w:rPr>
          <w:t xml:space="preserve">https://doi.org/10.1159/000259481</w:t>
        </w:r>
      </w:hyperlink>
    </w:p>
    <w:bookmarkEnd w:id="104"/>
    <w:bookmarkStart w:id="105"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5"/>
    <w:bookmarkStart w:id="107"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6">
        <w:r>
          <w:rPr>
            <w:rStyle w:val="Hyperlink"/>
          </w:rPr>
          <w:t xml:space="preserve">https://doi.org/10.3758/s13428-011-0146-0</w:t>
        </w:r>
      </w:hyperlink>
    </w:p>
    <w:bookmarkEnd w:id="107"/>
    <w:bookmarkStart w:id="109"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8">
        <w:r>
          <w:rPr>
            <w:rStyle w:val="Hyperlink"/>
          </w:rPr>
          <w:t xml:space="preserve">https://doi.org/10.1075/jslp.2.2.01lev</w:t>
        </w:r>
      </w:hyperlink>
    </w:p>
    <w:bookmarkEnd w:id="109"/>
    <w:bookmarkStart w:id="111"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10">
        <w:r>
          <w:rPr>
            <w:rStyle w:val="Hyperlink"/>
          </w:rPr>
          <w:t xml:space="preserve">https://doi.org/10.25236/fmess.2017.55</w:t>
        </w:r>
      </w:hyperlink>
    </w:p>
    <w:bookmarkEnd w:id="111"/>
    <w:bookmarkStart w:id="112"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2"/>
    <w:bookmarkStart w:id="114"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3">
        <w:r>
          <w:rPr>
            <w:rStyle w:val="Hyperlink"/>
          </w:rPr>
          <w:t xml:space="preserve">https://doi.org/10.1017/S0272263100013735</w:t>
        </w:r>
      </w:hyperlink>
    </w:p>
    <w:bookmarkEnd w:id="114"/>
    <w:bookmarkStart w:id="115"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5"/>
    <w:bookmarkStart w:id="116"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6"/>
    <w:bookmarkStart w:id="118"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7">
        <w:r>
          <w:rPr>
            <w:rStyle w:val="Hyperlink"/>
          </w:rPr>
          <w:t xml:space="preserve">https://doi.org/10.1016/j.jml.2010.06.005</w:t>
        </w:r>
      </w:hyperlink>
    </w:p>
    <w:bookmarkEnd w:id="118"/>
    <w:bookmarkStart w:id="120"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9">
        <w:r>
          <w:rPr>
            <w:rStyle w:val="Hyperlink"/>
          </w:rPr>
          <w:t xml:space="preserve">https://doi.org/10.5334/labphon.238</w:t>
        </w:r>
      </w:hyperlink>
    </w:p>
    <w:bookmarkEnd w:id="120"/>
    <w:bookmarkStart w:id="121"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21"/>
    <w:bookmarkStart w:id="123"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2">
        <w:r>
          <w:rPr>
            <w:rStyle w:val="Hyperlink"/>
          </w:rPr>
          <w:t xml:space="preserve">https://doi.org/10.3758/s13423-017-1297-5</w:t>
        </w:r>
      </w:hyperlink>
    </w:p>
    <w:bookmarkEnd w:id="123"/>
    <w:bookmarkStart w:id="124"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4"/>
    <w:bookmarkStart w:id="126"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5">
        <w:r>
          <w:rPr>
            <w:rStyle w:val="Hyperlink"/>
          </w:rPr>
          <w:t xml:space="preserve">https://doi.org/10.2307/3587647</w:t>
        </w:r>
      </w:hyperlink>
    </w:p>
    <w:bookmarkEnd w:id="126"/>
    <w:bookmarkStart w:id="128"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7">
        <w:r>
          <w:rPr>
            <w:rStyle w:val="Hyperlink"/>
          </w:rPr>
          <w:t xml:space="preserve">https://doi.org/10.1111/lang.12079</w:t>
        </w:r>
      </w:hyperlink>
    </w:p>
    <w:bookmarkEnd w:id="128"/>
    <w:bookmarkStart w:id="129"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9"/>
    <w:bookmarkStart w:id="131"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0">
        <w:r>
          <w:rPr>
            <w:rStyle w:val="Hyperlink"/>
          </w:rPr>
          <w:t xml:space="preserve">https://doi.org/10.1162/neco.2008.12-06-420</w:t>
        </w:r>
      </w:hyperlink>
    </w:p>
    <w:bookmarkEnd w:id="131"/>
    <w:bookmarkStart w:id="133"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2">
        <w:r>
          <w:rPr>
            <w:rStyle w:val="Hyperlink"/>
          </w:rPr>
          <w:t xml:space="preserve">https://doi.org/10.1515/9783110215496</w:t>
        </w:r>
      </w:hyperlink>
    </w:p>
    <w:bookmarkEnd w:id="133"/>
    <w:bookmarkStart w:id="134"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4"/>
    <w:bookmarkStart w:id="135"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35"/>
    <w:bookmarkStart w:id="13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6"/>
    <w:bookmarkStart w:id="13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7">
        <w:r>
          <w:rPr>
            <w:rStyle w:val="Hyperlink"/>
          </w:rPr>
          <w:t xml:space="preserve">https://doi.org/10.1017/S0272263106060013</w:t>
        </w:r>
      </w:hyperlink>
    </w:p>
    <w:bookmarkEnd w:id="138"/>
    <w:bookmarkStart w:id="14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9">
        <w:r>
          <w:rPr>
            <w:rStyle w:val="Hyperlink"/>
          </w:rPr>
          <w:t xml:space="preserve">https://doi.org/10.3389/fpsyg.2015.01000</w:t>
        </w:r>
      </w:hyperlink>
    </w:p>
    <w:bookmarkEnd w:id="140"/>
    <w:bookmarkEnd w:id="141"/>
    <w:p>
      <w:pPr>
        <w:pStyle w:val="h1-pagebreak"/>
      </w:pPr>
      <w:r>
        <w:t xml:space="preserve">Appendix</w:t>
      </w:r>
    </w:p>
    <w:bookmarkEnd w:id="142"/>
    <w:bookmarkStart w:id="153" w:name="on-line-supplementary-material"/>
    <w:p>
      <w:pPr>
        <w:pStyle w:val="berschrift1"/>
      </w:pPr>
      <w:r>
        <w:t xml:space="preserve">On-line supplementary material</w:t>
      </w:r>
    </w:p>
    <w:bookmarkStart w:id="144" w:name="author-contributions"/>
    <w:p>
      <w:pPr>
        <w:pStyle w:val="berschrift2"/>
      </w:pPr>
      <w:r>
        <w:t xml:space="preserve">Author contributions</w:t>
      </w:r>
    </w:p>
    <w:p>
      <w:pPr>
        <w:pStyle w:val="CaptionedFigure"/>
      </w:pPr>
      <w:r>
        <w:drawing>
          <wp:inline>
            <wp:extent cx="5969000" cy="3410857"/>
            <wp:effectExtent b="0" l="0" r="0" t="0"/>
            <wp:docPr descr="Figure 8.   Author contributions according to the CREDiT author roles taxonomy. Contributions are indicated as being substantial (dark diamonds) or moderate (light diamonds)." title="" id="1" name="Picture"/>
            <a:graphic>
              <a:graphicData uri="http://schemas.openxmlformats.org/drawingml/2006/picture">
                <pic:pic>
                  <pic:nvPicPr>
                    <pic:cNvPr descr="/Users/casillas/academia/research/in_progress/empathy_intonation_perc/figs/project_contributors.pdf" id="0" name="Picture"/>
                    <pic:cNvPicPr>
                      <a:picLocks noChangeArrowheads="1" noChangeAspect="1"/>
                    </pic:cNvPicPr>
                  </pic:nvPicPr>
                  <pic:blipFill>
                    <a:blip r:embed="rId14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Author contributions according to the CREDiT author roles taxonomy. Contributions are indicated as being substantial (dark diamonds) or moderate (light diamonds).</w:t>
      </w:r>
    </w:p>
    <w:bookmarkEnd w:id="144"/>
    <w:bookmarkStart w:id="145"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5"/>
    <w:bookmarkStart w:id="147"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6"/>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7"/>
    <w:bookmarkStart w:id="151"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Madrileño</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4</w:t>
      </w:r>
      <w:r>
        <w:t xml:space="preserve"> </w:t>
      </w:r>
      <w:r>
        <w:t xml:space="preserve">contains demographic information about the speakers.</w:t>
      </w:r>
    </w:p>
    <w:p>
      <w:pPr>
        <w:pStyle w:val="TableCaption"/>
      </w:pPr>
      <w:r>
        <w:t xml:space="preserve">Table 4: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4: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11</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coincide with those associated with higher response accuracy (compare with Figure</w:t>
      </w:r>
      <w:r>
        <w:t xml:space="preserve"> </w:t>
      </w:r>
      <w:r>
        <w:t xml:space="preserve">5</w:t>
      </w:r>
      <w:r>
        <w:t xml:space="preserve">), the opposite is also true, e.g., Mexican Spanish.</w:t>
      </w:r>
    </w:p>
    <w:p>
      <w:pPr>
        <w:pStyle w:val="CaptionedFigure"/>
      </w:pPr>
      <w:r>
        <w:drawing>
          <wp:inline>
            <wp:extent cx="5969000" cy="3410857"/>
            <wp:effectExtent b="0" l="0" r="0" t="0"/>
            <wp:docPr descr="Figure 11.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5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  </w:t>
      </w:r>
      <w:r>
        <w:t xml:space="preserve"> </w:t>
      </w:r>
      <w:r>
        <w:t xml:space="preserve">Standardized articulation rate as a function of speaker variety. Points represent posterior medians ±66% and 95% HDI.</w:t>
      </w:r>
    </w:p>
    <w:p>
      <w:r>
        <w:br w:type="page"/>
      </w:r>
    </w:p>
    <w:bookmarkEnd w:id="151"/>
    <w:bookmarkStart w:id="152"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2022-01-25</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52"/>
    <w:bookmarkEnd w:id="15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yes/no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9</w:t>
      </w:r>
      <w:r>
        <w:t xml:space="preserve">).</w:t>
      </w:r>
    </w:p>
  </w:footnote>
  <w:footnote w:id="146">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8" Target="media/rId148.pdf" /><Relationship Type="http://schemas.openxmlformats.org/officeDocument/2006/relationships/image" Id="rId37" Target="media/rId37.pdf" /><Relationship Type="http://schemas.openxmlformats.org/officeDocument/2006/relationships/image" Id="rId149" Target="media/rId149.pdf" /><Relationship Type="http://schemas.openxmlformats.org/officeDocument/2006/relationships/image" Id="rId150" Target="media/rId150.pdf" /><Relationship Type="http://schemas.openxmlformats.org/officeDocument/2006/relationships/image" Id="rId143" Target="media/rId143.pdf" /><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2022-01-26T02:22:23Z</dcterms:created>
  <dcterms:modified xsi:type="dcterms:W3CDTF">2022-01-26T02:22:23Z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10,038</vt:lpwstr>
  </property>
</Properties>
</file>