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3.pdf" ContentType="application/pdf"/>
  <Override PartName="/word/media/rId11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7" w:name="on-line-supplementary-material"/>
    <w:p>
      <w:pPr>
        <w:pStyle w:val="berschrift1"/>
      </w:pPr>
      <w:r>
        <w:t xml:space="preserve">On-line supplementary material</w:t>
      </w:r>
    </w:p>
    <w:bookmarkStart w:id="112" w:name="drift-diffusion-models"/>
    <w:p>
      <w:pPr>
        <w:pStyle w:val="berschrift2"/>
      </w:pPr>
      <w:r>
        <w:t xml:space="preserve">Drift diffusion models</w:t>
      </w:r>
    </w:p>
    <w:p>
      <w:r>
        <w:br w:type="page"/>
      </w:r>
    </w:p>
    <w:bookmarkEnd w:id="112"/>
    <w:bookmarkStart w:id="115" w:name="supplementary-analyses"/>
    <w:p>
      <w:pPr>
        <w:pStyle w:val="berschrift2"/>
      </w:pPr>
      <w:r>
        <w:t xml:space="preserve">Supplementary analyses</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320"/>
        <w:gridCol w:w="1320"/>
        <w:gridCol w:w="1320"/>
        <w:gridCol w:w="1320"/>
        <w:gridCol w:w="1320"/>
        <w:gridCol w:w="1320"/>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2099.20</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2722.77</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2608.20</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2576.40</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5245.13</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5351.29</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4977.05</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8449.56</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9482.35</w:t>
            </w:r>
          </w:p>
        </w:tc>
      </w:tr>
      <w:tr>
        <w:tc>
          <w:tcPr/>
          <w:p>
            <w:pPr>
              <w:pStyle w:val="Compact"/>
              <w:jc w:val="left"/>
            </w:pPr>
            <w:r>
              <w:t xml:space="preserve">Int. wh-:Empathy quotient</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4911.53</w:t>
            </w:r>
          </w:p>
        </w:tc>
      </w:tr>
      <w:tr>
        <w:tc>
          <w:tcPr/>
          <w:p>
            <w:pPr>
              <w:pStyle w:val="Compact"/>
              <w:jc w:val="left"/>
            </w:pPr>
            <w:r>
              <w:t xml:space="preserve">Dec. narrow focus:Empathy quotient</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8388.63</w:t>
            </w:r>
          </w:p>
        </w:tc>
      </w:tr>
      <w:tr>
        <w:tc>
          <w:tcPr/>
          <w:p>
            <w:pPr>
              <w:pStyle w:val="Compact"/>
              <w:jc w:val="left"/>
            </w:pPr>
            <w:r>
              <w:t xml:space="preserve">Dec. broad focus:Empathy quotient</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8180.49</w:t>
            </w:r>
          </w:p>
        </w:tc>
      </w:tr>
      <w:tr>
        <w:tc>
          <w:tcPr/>
          <w:p>
            <w:pPr>
              <w:pStyle w:val="Compact"/>
              <w:jc w:val="left"/>
            </w:pPr>
            <w:r>
              <w:t xml:space="preserve">LexTALE:Empathy quotient</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5954.09</w:t>
            </w:r>
          </w:p>
        </w:tc>
      </w:tr>
      <w:tr>
        <w:tc>
          <w:tcPr/>
          <w:p>
            <w:pPr>
              <w:pStyle w:val="Compact"/>
              <w:jc w:val="left"/>
            </w:pPr>
            <w:r>
              <w:t xml:space="preserve">Int. wh-:LexTALE:Empathy quotient</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5603.57</w:t>
            </w:r>
          </w:p>
        </w:tc>
      </w:tr>
      <w:tr>
        <w:tc>
          <w:tcPr/>
          <w:p>
            <w:pPr>
              <w:pStyle w:val="Compact"/>
              <w:jc w:val="left"/>
            </w:pPr>
            <w:r>
              <w:t xml:space="preserve">Dec. narrow focus:LexTALE:Empathy quotient</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8343.81</w:t>
            </w:r>
          </w:p>
        </w:tc>
      </w:tr>
      <w:tr>
        <w:tc>
          <w:tcPr/>
          <w:p>
            <w:pPr>
              <w:pStyle w:val="Compact"/>
              <w:jc w:val="left"/>
            </w:pPr>
            <w:r>
              <w:t xml:space="preserve">Dec. broad focus:LexTALE:Empathy quotient</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8697.81</w:t>
            </w:r>
          </w:p>
        </w:tc>
      </w:tr>
    </w:tbl>
    <w:p>
      <w:pPr>
        <w:pStyle w:val="Textkrper"/>
      </w:pPr>
      <w:r>
        <w:t xml:space="preserve">This is Figure</w:t>
      </w:r>
      <w:r>
        <w:t xml:space="preserve"> </w:t>
      </w:r>
      <w:r>
        <w:t xml:space="preserve">8</w:t>
      </w:r>
    </w:p>
    <w:p>
      <w:pPr>
        <w:pStyle w:val="CaptionedFigure"/>
      </w:pPr>
      <w:r>
        <w:drawing>
          <wp:inline>
            <wp:extent cx="5969000" cy="3410857"/>
            <wp:effectExtent b="0" l="0" r="0" t="0"/>
            <wp:docPr descr="Figure 8.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Make sure each variety represented equally over course of experiment.</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r>
        <w:br w:type="page"/>
      </w:r>
    </w:p>
    <w:bookmarkEnd w:id="115"/>
    <w:bookmarkStart w:id="11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2021-12-19</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6"/>
    <w:bookmarkEnd w:id="11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3" Target="media/rId113.pdf" /><Relationship Type="http://schemas.openxmlformats.org/officeDocument/2006/relationships/image" Id="rId114" Target="media/rId114.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2021-12-19T14:43:13Z</dcterms:created>
  <dcterms:modified xsi:type="dcterms:W3CDTF">2021-12-19T14:43:13Z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