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85.pdf" ContentType="application/pdf"/>
  <Override PartName="/word/media/rId188.pdf" ContentType="application/pdf"/>
  <Override PartName="/word/media/rId57.pdf" ContentType="application/pdf"/>
  <Override PartName="/word/media/rId48.pdf" ContentType="application/pdf"/>
  <Override PartName="/word/media/rId191.pdf" ContentType="application/pdf"/>
  <Override PartName="/word/media/rId198.pdf" ContentType="application/pdf"/>
  <Override PartName="/word/media/rId195.pdf" ContentType="application/pdf"/>
  <Override PartName="/word/media/rId20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information structure</w:t>
      </w:r>
      <w:r>
        <w:t xml:space="preserve"> </w:t>
      </w:r>
      <w:r>
        <w:t xml:space="preserve">(Casielles-Suárez, 2004; Erteschik-Shir, 2007)</w:t>
      </w:r>
      <w:r>
        <w:t xml:space="preserve">, speaker belief states</w:t>
      </w:r>
      <w:r>
        <w:t xml:space="preserve"> </w:t>
      </w:r>
      <w:r>
        <w:t xml:space="preserve">(Pierrehumbert &amp; Hirschberg, 1990)</w:t>
      </w:r>
      <w:r>
        <w:t xml:space="preserve">,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(Aziz-Zadeh, Sheng, &amp; Gheytanchi, 2010; J. B. 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Thornberry, 2014; Trofimovich &amp; Baker, 2006, among others)</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For example, an information-seeking yes-no question can be contrasted with an echo yes-no question in Chilean Spanish by using L+H* HH% or L* HH% nuclear contour, respectively.</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 Derwing &amp; Munro, 2015)</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centered on prosody in the acquisition of L2 phonology is relatively much less common,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One clear example of this is the L2 Intonation Learning Theory</w:t>
      </w:r>
      <w:r>
        <w:t xml:space="preserve"> </w:t>
      </w:r>
      <w:r>
        <w:t xml:space="preserve">(LILt, Mennen, 2015)</w:t>
      </w:r>
      <w:r>
        <w:t xml:space="preserve">.</w:t>
      </w:r>
      <w:r>
        <w:t xml:space="preserve"> </w:t>
      </w:r>
      <w:r>
        <w:t xml:space="preserve">LILt incorporates the basic assumptions of the SLM and PAM-L2, that L2 categories similar to L1 categories may be assimilated, but L2 categories that are perceptually different may be incorporated as new categories.</w:t>
      </w:r>
      <w:r>
        <w:t xml:space="preserve"> </w:t>
      </w:r>
      <w:r>
        <w:t xml:space="preserve">Under this model, cross-language differences may occur along one or more intonation dimensions (systemic, realizational, semantic, and frequency)</w:t>
      </w:r>
      <w:r>
        <w:t xml:space="preserve"> </w:t>
      </w:r>
      <w:r>
        <w:t xml:space="preserve">(See also Ladd, 2008)</w:t>
      </w:r>
      <w:r>
        <w:t xml:space="preserve"> </w:t>
      </w:r>
      <w:r>
        <w:t xml:space="preserve">and the age of onset of acquisition may influence the degree of success in acquiring elements in different dimensions of language variation.</w:t>
      </w:r>
    </w:p>
    <w:p>
      <w:pPr>
        <w:pStyle w:val="Textkrper"/>
      </w:pPr>
      <w:r>
        <w:t xml:space="preserve">A dearth of knowledge remains regarding how perception of intonation develops in L2 learning, and even less is known about how individual pragmatic differences account for learner outcomes.</w:t>
      </w:r>
      <w:r>
        <w:t xml:space="preserve"> </w:t>
      </w:r>
      <w:r>
        <w:t xml:space="preserve">Similar to the SLM, LILt focuses mostly on intonation production rather than perception, and adopts the assumption that difficulties in intonation production are perceptually motivated.</w:t>
      </w:r>
      <w:r>
        <w:t xml:space="preserve"> </w:t>
      </w:r>
      <w:r>
        <w:t xml:space="preserve">The purpose of the present project is to address this gap in the literature by examining the perception of intonation during adult L2 phonological acquisition.</w:t>
      </w:r>
      <w:r>
        <w:t xml:space="preserve"> </w:t>
      </w:r>
      <w:r>
        <w:t xml:space="preserve">For the present study, investigating L2 perception of intonation in statements and questions in L2 learners of Spanish provides an opportunity to examine how L2 perception develops and may differ from L1 perception, especially along the</w:t>
      </w:r>
      <w:r>
        <w:t xml:space="preserve"> </w:t>
      </w:r>
      <w:r>
        <w:t xml:space="preserve">‘</w:t>
      </w:r>
      <w:r>
        <w:t xml:space="preserve">semantic dimension</w:t>
      </w:r>
      <w:r>
        <w:t xml:space="preserve">’</w:t>
      </w:r>
      <w:r>
        <w:t xml:space="preserve"> </w:t>
      </w:r>
      <w:r>
        <w:t xml:space="preserve">of the LILt model, which focuses on how intonation is used to convey meaning.</w:t>
      </w:r>
      <w:r>
        <w:t xml:space="preserve"> </w:t>
      </w:r>
      <w:r>
        <w:t xml:space="preserve">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information-seeking yes/no questions, which, in some varieties like Puerto Rican, Dominican, and Argentine Spanish, can be produced with a falling F0 contour.</w:t>
      </w:r>
      <w:r>
        <w:t xml:space="preserve"> </w:t>
      </w:r>
      <w:r>
        <w:t xml:space="preserve">These examples illustrate between-variety variability because they can differ from the more common final rise found in many other varieties of Spanish</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p>
    <w:p>
      <w:pPr>
        <w:pStyle w:val="Textkrper"/>
      </w:pP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Shang, 2022;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 though this is a recent and promising field of research that, moving forward, will help us understand individual variation</w:t>
      </w:r>
      <w:r>
        <w:t xml:space="preserve"> </w:t>
      </w:r>
      <w:r>
        <w:t xml:space="preserve">(J. Bishop, Kuo, &amp; Kim, 2020; see also Shang, 2022; Wiener &amp; Bradley, 2020)</w:t>
      </w:r>
      <w:r>
        <w:t xml:space="preserve">.</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(J. B. Bishop, 2016; J. B. Bishop, Chong, &amp; Jun, 2015; J. B.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(J. B. 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120 monolingual Spanish speakers in which responses to the Cuban variety were the least accurate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intonation processing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compared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60"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r>
        <w:t xml:space="preserve"> </w:t>
      </w:r>
      <w:r>
        <w:t xml:space="preserve">While it is not clear exactly why yes/no question are the most difficult, one possibility is that wh- questions pose less of a challenge because they contain a wh- word (e.g.,</w:t>
      </w:r>
      <w:r>
        <w:t xml:space="preserve"> </w:t>
      </w:r>
      <w:r>
        <w:rPr>
          <w:iCs/>
          <w:i/>
        </w:rPr>
        <w:t xml:space="preserve">cuándo</w:t>
      </w:r>
      <w:r>
        <w:t xml:space="preserve">,</w:t>
      </w:r>
      <w:r>
        <w:t xml:space="preserve"> </w:t>
      </w:r>
      <w:r>
        <w:rPr>
          <w:iCs/>
          <w:i/>
        </w:rPr>
        <w:t xml:space="preserve">cómo</w:t>
      </w:r>
      <w:r>
        <w:t xml:space="preserve">, etc.).</w:t>
      </w:r>
      <w:r>
        <w:t xml:space="preserve"> </w:t>
      </w:r>
      <w:r>
        <w:t xml:space="preserve">In other words, it might be the presence of a lexical cue in our task</w:t>
      </w:r>
      <w:r>
        <w:t xml:space="preserve"> </w:t>
      </w:r>
      <w:r>
        <w:t xml:space="preserve">(and that of Brandl et al., 2020)</w:t>
      </w:r>
      <w:r>
        <w:t xml:space="preserve"> </w:t>
      </w:r>
      <w:r>
        <w:t xml:space="preserve">that facilitates the interpretation of a wh- question in addition to intonation.</w:t>
      </w:r>
      <w:r>
        <w:t xml:space="preserve"> </w:t>
      </w:r>
      <w:r>
        <w:t xml:space="preserve">At this juncture this possibility cannot be discarded, though it is worth noting that the presence of these words alone does not imply a question.</w:t>
      </w:r>
      <w:r>
        <w:t xml:space="preserve"> </w:t>
      </w:r>
      <w:r>
        <w:t xml:space="preserve">That is to say, in specific contexts these same words appear in statements as well, e.g.,</w:t>
      </w:r>
      <w:r>
        <w:t xml:space="preserve"> </w:t>
      </w:r>
      <w:r>
        <w:rPr>
          <w:iCs/>
          <w:i/>
        </w:rPr>
        <w:t xml:space="preserve">Que bebe María</w:t>
      </w:r>
      <w:r>
        <w:t xml:space="preserve">,</w:t>
      </w:r>
      <w:r>
        <w:t xml:space="preserve"> </w:t>
      </w:r>
      <w:r>
        <w:rPr>
          <w:iCs/>
          <w:i/>
        </w:rPr>
        <w:t xml:space="preserve">Que beba María</w:t>
      </w:r>
      <w:r>
        <w:t xml:space="preserve">, etc.</w:t>
      </w:r>
      <w:r>
        <w:t xml:space="preserve"> </w:t>
      </w:r>
      <w:r>
        <w:t xml:space="preserve">A specific intonation contour is obligatory to force a question interpretation.</w:t>
      </w:r>
      <w:r>
        <w:t xml:space="preserve"> </w:t>
      </w:r>
      <w:r>
        <w:t xml:space="preserve">Moreover, apart from the propositional content, a wh- question also implies a presupposition, and, thus, is more pragmatically complex.</w:t>
      </w:r>
      <w:r>
        <w:t xml:space="preserve"> </w:t>
      </w:r>
      <w:r>
        <w:t xml:space="preserve">On the other hand, the yes/no questions in our experimental task have the same syntactic structure as the declarative statements.</w:t>
      </w:r>
      <w:r>
        <w:t xml:space="preserve"> </w:t>
      </w:r>
      <w:r>
        <w:t xml:space="preserve">Perhaps for this reason yes/no questions require more effort and attention to intonation in order to distinguish them from statements in our task.</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we found empathy to have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empathy can potentially modulate the rate of development of L2 prosody.</w:t>
      </w:r>
      <w:r>
        <w:t xml:space="preserve"> </w:t>
      </w:r>
      <w:r>
        <w:t xml:space="preserve">In other words, higher empathy individuals may develop L2 prosody at an earlier stage than lower empathy individuals.</w:t>
      </w:r>
      <w:r>
        <w:t xml:space="preserve"> </w:t>
      </w:r>
      <w:r>
        <w:t xml:space="preserve">That being said, we do not find the same effect with yes/no questions.</w:t>
      </w:r>
      <w:r>
        <w:t xml:space="preserve"> </w:t>
      </w:r>
      <w:r>
        <w:t xml:space="preserve">This finding is quite puzzling, particularly because previous research on sentence processing has found an effect for empathy in yes/no questions, e.g., in Salerno Italian</w:t>
      </w:r>
      <w:r>
        <w:t xml:space="preserve"> </w:t>
      </w:r>
      <w:r>
        <w:t xml:space="preserve">(Orrico &amp; D’Imperio, 2020)</w:t>
      </w:r>
      <w:r>
        <w:t xml:space="preserve">.</w:t>
      </w:r>
      <w:r>
        <w:t xml:space="preserve"> </w:t>
      </w:r>
      <w:r>
        <w:t xml:space="preserve">At this time, we are uncertain as to why our results differ in this regard, though the nature of the outcome variable measured in the task used in</w:t>
      </w:r>
      <w:r>
        <w:t xml:space="preserve"> </w:t>
      </w:r>
      <w:r>
        <w:t xml:space="preserve">Orrico and D’Imperio (2020)</w:t>
      </w:r>
      <w:r>
        <w:t xml:space="preserve"> </w:t>
      </w:r>
      <w:r>
        <w:t xml:space="preserve">(certainty scores bounded at 0 and 100) may have provided a more fine-grained window into the effect of empathy.</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rPr>
          <w:rStyle w:val="Funotenzeichen"/>
        </w:rPr>
        <w:footnoteReference w:id="56"/>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 title="" id="58" name="Picture"/>
            <a:graphic>
              <a:graphicData uri="http://schemas.openxmlformats.org/drawingml/2006/picture">
                <pic:pic>
                  <pic:nvPicPr>
                    <pic:cNvPr descr="../../figs/manuscript/learner_variety_familiarity.pdf" id="59" name="Picture"/>
                    <pic:cNvPicPr>
                      <a:picLocks noChangeArrowheads="1" noChangeAspect="1"/>
                    </pic:cNvPicPr>
                  </pic:nvPicPr>
                  <pic:blipFill>
                    <a:blip r:embed="rId57"/>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12</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 LILt model</w:t>
      </w:r>
      <w:r>
        <w:t xml:space="preserve"> </w:t>
      </w:r>
      <w:r>
        <w:t xml:space="preserve">(Mennen, 2015)</w:t>
      </w:r>
      <w:r>
        <w:t xml:space="preserve"> </w:t>
      </w:r>
      <w:r>
        <w:t xml:space="preserve">has served as a starting point in the analysis of intonation across languages and L2 acquisition of intonation, framing the process of L2 acquisition of intonation along different developmental and structural dimensions.</w:t>
      </w:r>
      <w:r>
        <w:t xml:space="preserve"> </w:t>
      </w:r>
      <w:r>
        <w:t xml:space="preserve">The findings of the present study are in line with LILt since they show that perception of intonation in an L2 progresses with higher proficiency.</w:t>
      </w:r>
      <w:r>
        <w:t xml:space="preserve"> </w:t>
      </w:r>
      <w:r>
        <w:t xml:space="preserve">In addition, these findings also emphasize the need for models like LILt to account for how individual differences pragmatic skills, such as empathy, can influence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role of proficiency and empathy on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A primary focus of the present project was to expand the line of research involving empathy and intonation perception in two ways: first, to individuals with different linguistic experience (specifically, L2 learners), and, second, to different communicative situations (utterance types).</w:t>
      </w:r>
      <w:r>
        <w:t xml:space="preserve"> </w:t>
      </w:r>
      <w:r>
        <w:t xml:space="preserve">This project was not concerned with understanding</w:t>
      </w:r>
      <w:r>
        <w:t xml:space="preserve"> </w:t>
      </w:r>
      <w:r>
        <w:rPr>
          <w:iCs/>
          <w:i/>
        </w:rPr>
        <w:t xml:space="preserve">why</w:t>
      </w:r>
      <w:r>
        <w:t xml:space="preserve"> </w:t>
      </w:r>
      <w:r>
        <w:t xml:space="preserve">different pitch contours affect intonation perception, particularly with regard to the role of empathy, primarily because there is inherent variability in how speakers realize their communicative intentions, at both the variety and individual-level, within utterance types.</w:t>
      </w:r>
      <w:r>
        <w:t xml:space="preserve"> </w:t>
      </w:r>
      <w:r>
        <w:t xml:space="preserve">This variability is also present in our stimuli.</w:t>
      </w:r>
      <w:r>
        <w:t xml:space="preserve"> </w:t>
      </w:r>
      <w:r>
        <w:t xml:space="preserve">Future research would benefit from exploring</w:t>
      </w:r>
      <w:r>
        <w:t xml:space="preserve"> </w:t>
      </w:r>
      <w:r>
        <w:rPr>
          <w:iCs/>
          <w:i/>
        </w:rPr>
        <w:t xml:space="preserve">why</w:t>
      </w:r>
      <w:r>
        <w:t xml:space="preserve"> </w:t>
      </w:r>
      <w:r>
        <w:t xml:space="preserve">and</w:t>
      </w:r>
      <w:r>
        <w:t xml:space="preserve"> </w:t>
      </w:r>
      <w:r>
        <w:rPr>
          <w:iCs/>
          <w:i/>
        </w:rPr>
        <w:t xml:space="preserve">how</w:t>
      </w:r>
      <w:r>
        <w:t xml:space="preserve"> </w:t>
      </w:r>
      <w:r>
        <w:t xml:space="preserve">particular acoustic realizations of pitch within utterance types lead to distinct processing outcomes and how they might interact with pragmatic skill.</w:t>
      </w:r>
    </w:p>
    <w:bookmarkEnd w:id="60"/>
    <w:bookmarkStart w:id="61"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1"/>
    <w:bookmarkStart w:id="181" w:name="references"/>
    <w:p>
      <w:pPr>
        <w:pStyle w:val="berschrift1"/>
      </w:pPr>
      <w:r>
        <w:t xml:space="preserve">References</w:t>
      </w:r>
    </w:p>
    <w:bookmarkStart w:id="180" w:name="refs"/>
    <w:bookmarkStart w:id="63"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2">
        <w:r>
          <w:rPr>
            <w:rStyle w:val="Hyperlink"/>
          </w:rPr>
          <w:t xml:space="preserve">https://doi.org/10.1075/ihll.6</w:t>
        </w:r>
      </w:hyperlink>
    </w:p>
    <w:bookmarkEnd w:id="63"/>
    <w:bookmarkStart w:id="65"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4">
        <w:r>
          <w:rPr>
            <w:rStyle w:val="Hyperlink"/>
          </w:rPr>
          <w:t xml:space="preserve">https://github.com/crsh/papaja</w:t>
        </w:r>
      </w:hyperlink>
    </w:p>
    <w:bookmarkEnd w:id="65"/>
    <w:bookmarkStart w:id="67" w:name="ref-aziz2010common"/>
    <w:p>
      <w:pPr>
        <w:pStyle w:val="Literaturverzeichnis"/>
      </w:pPr>
      <w:r>
        <w:t xml:space="preserve">Aziz-Zadeh, L., Sheng, T., &amp; Gheytanchi, A. (2010). Common premotor regions for the perception and production of prosody and correlations with empathy and prosodic ability.</w:t>
      </w:r>
      <w:r>
        <w:t xml:space="preserve"> </w:t>
      </w:r>
      <w:r>
        <w:rPr>
          <w:iCs/>
          <w:i/>
        </w:rPr>
        <w:t xml:space="preserve">PloS One</w:t>
      </w:r>
      <w:r>
        <w:t xml:space="preserve">,</w:t>
      </w:r>
      <w:r>
        <w:t xml:space="preserve"> </w:t>
      </w:r>
      <w:r>
        <w:rPr>
          <w:iCs/>
          <w:i/>
        </w:rPr>
        <w:t xml:space="preserve">5</w:t>
      </w:r>
      <w:r>
        <w:t xml:space="preserve">(1), e8759.</w:t>
      </w:r>
      <w:r>
        <w:t xml:space="preserve"> </w:t>
      </w:r>
      <w:hyperlink r:id="rId66">
        <w:r>
          <w:rPr>
            <w:rStyle w:val="Hyperlink"/>
          </w:rPr>
          <w:t xml:space="preserve">https://doi.org/10.1371/journal.pone.0008759</w:t>
        </w:r>
      </w:hyperlink>
    </w:p>
    <w:bookmarkEnd w:id="67"/>
    <w:bookmarkStart w:id="69"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8">
        <w:r>
          <w:rPr>
            <w:rStyle w:val="Hyperlink"/>
          </w:rPr>
          <w:t xml:space="preserve">https://doi.org/10.1159/000493981</w:t>
        </w:r>
      </w:hyperlink>
    </w:p>
    <w:bookmarkEnd w:id="69"/>
    <w:bookmarkStart w:id="70"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70"/>
    <w:bookmarkStart w:id="72"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71">
        <w:r>
          <w:rPr>
            <w:rStyle w:val="Hyperlink"/>
          </w:rPr>
          <w:t xml:space="preserve">https://doi.org/10.1023/B:JADD.0000022607.19833.00</w:t>
        </w:r>
      </w:hyperlink>
    </w:p>
    <w:bookmarkEnd w:id="72"/>
    <w:bookmarkStart w:id="74"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3">
        <w:r>
          <w:rPr>
            <w:rStyle w:val="Hyperlink"/>
          </w:rPr>
          <w:t xml:space="preserve">https://doi.org/10.3389/frobt.2018.00026</w:t>
        </w:r>
      </w:hyperlink>
    </w:p>
    <w:bookmarkEnd w:id="74"/>
    <w:bookmarkStart w:id="75"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5"/>
    <w:bookmarkStart w:id="76"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6"/>
    <w:bookmarkStart w:id="77"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7"/>
    <w:bookmarkStart w:id="78"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8"/>
    <w:bookmarkStart w:id="80" w:name="ref-bishop2020phonology"/>
    <w:p>
      <w:pPr>
        <w:pStyle w:val="Literaturverzeichnis"/>
      </w:pPr>
      <w:r>
        <w:t xml:space="preserve">Bishop, J., Kuo, G., &amp; Kim, B. (2020). Phonology, phonetics, and signal-extrinsic factors in the perception of prosodic prominence: Evidence from rapid prosody transcription.</w:t>
      </w:r>
      <w:r>
        <w:t xml:space="preserve"> </w:t>
      </w:r>
      <w:r>
        <w:rPr>
          <w:iCs/>
          <w:i/>
        </w:rPr>
        <w:t xml:space="preserve">Journal of Phonetics</w:t>
      </w:r>
      <w:r>
        <w:t xml:space="preserve">,</w:t>
      </w:r>
      <w:r>
        <w:t xml:space="preserve"> </w:t>
      </w:r>
      <w:r>
        <w:rPr>
          <w:iCs/>
          <w:i/>
        </w:rPr>
        <w:t xml:space="preserve">82</w:t>
      </w:r>
      <w:r>
        <w:t xml:space="preserve">, 100977.</w:t>
      </w:r>
      <w:r>
        <w:t xml:space="preserve"> </w:t>
      </w:r>
      <w:hyperlink r:id="rId79">
        <w:r>
          <w:rPr>
            <w:rStyle w:val="Hyperlink"/>
          </w:rPr>
          <w:t xml:space="preserve">https://doi.org/10.1016/j.wocn.2020.100977</w:t>
        </w:r>
      </w:hyperlink>
    </w:p>
    <w:bookmarkEnd w:id="80"/>
    <w:bookmarkStart w:id="82"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81">
        <w:r>
          <w:rPr>
            <w:rStyle w:val="Hyperlink"/>
          </w:rPr>
          <w:t xml:space="preserve">http://www.praat.org/</w:t>
        </w:r>
      </w:hyperlink>
    </w:p>
    <w:bookmarkEnd w:id="82"/>
    <w:bookmarkStart w:id="84"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83">
        <w:r>
          <w:rPr>
            <w:rStyle w:val="Hyperlink"/>
          </w:rPr>
          <w:t xml:space="preserve">https://doi.org/10.1075/ihll.26</w:t>
        </w:r>
      </w:hyperlink>
    </w:p>
    <w:bookmarkEnd w:id="84"/>
    <w:bookmarkStart w:id="86"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5">
        <w:r>
          <w:rPr>
            <w:rStyle w:val="Hyperlink"/>
          </w:rPr>
          <w:t xml:space="preserve">https://doi.org/10.1111/j.1467-1770.1973.tb00658.x</w:t>
        </w:r>
      </w:hyperlink>
    </w:p>
    <w:bookmarkEnd w:id="86"/>
    <w:bookmarkStart w:id="88"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7">
        <w:r>
          <w:rPr>
            <w:rStyle w:val="Hyperlink"/>
          </w:rPr>
          <w:t xml:space="preserve">https://doi.org/10.18637/jss.v080.i01</w:t>
        </w:r>
      </w:hyperlink>
    </w:p>
    <w:bookmarkEnd w:id="88"/>
    <w:bookmarkStart w:id="90"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9">
        <w:r>
          <w:rPr>
            <w:rStyle w:val="Hyperlink"/>
          </w:rPr>
          <w:t xml:space="preserve">https://doi.org/10.32614/RJ-2018-017</w:t>
        </w:r>
      </w:hyperlink>
    </w:p>
    <w:bookmarkEnd w:id="90"/>
    <w:bookmarkStart w:id="92"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91">
        <w:r>
          <w:rPr>
            <w:rStyle w:val="Hyperlink"/>
          </w:rPr>
          <w:t xml:space="preserve">https://doi.org/10.1037/0022-0663.96.4.671</w:t>
        </w:r>
      </w:hyperlink>
    </w:p>
    <w:bookmarkEnd w:id="92"/>
    <w:bookmarkStart w:id="94"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93">
        <w:r>
          <w:rPr>
            <w:rStyle w:val="Hyperlink"/>
          </w:rPr>
          <w:t xml:space="preserve">https://doi.org/10.1017/S0140525X09000545</w:t>
        </w:r>
      </w:hyperlink>
    </w:p>
    <w:bookmarkEnd w:id="94"/>
    <w:bookmarkStart w:id="95" w:name="ref-casielles2004syntax"/>
    <w:p>
      <w:pPr>
        <w:pStyle w:val="Literaturverzeichnis"/>
      </w:pPr>
      <w:r>
        <w:t xml:space="preserve">Casielles-Suárez, E. (2004).</w:t>
      </w:r>
      <w:r>
        <w:t xml:space="preserve"> </w:t>
      </w:r>
      <w:r>
        <w:rPr>
          <w:iCs/>
          <w:i/>
        </w:rPr>
        <w:t xml:space="preserve">The syntax-information structure interface:</w:t>
      </w:r>
      <w:r>
        <w:rPr>
          <w:iCs/>
          <w:i/>
        </w:rPr>
        <w:t xml:space="preserve"> </w:t>
      </w:r>
      <w:r>
        <w:rPr>
          <w:iCs/>
          <w:i/>
        </w:rPr>
        <w:t xml:space="preserve">E</w:t>
      </w:r>
      <w:r>
        <w:rPr>
          <w:iCs/>
          <w:i/>
        </w:rPr>
        <w:t xml:space="preserve">vidence from</w:t>
      </w:r>
      <w:r>
        <w:rPr>
          <w:iCs/>
          <w:i/>
        </w:rPr>
        <w:t xml:space="preserve"> </w:t>
      </w:r>
      <w:r>
        <w:rPr>
          <w:iCs/>
          <w:i/>
        </w:rPr>
        <w:t xml:space="preserve">S</w:t>
      </w:r>
      <w:r>
        <w:rPr>
          <w:iCs/>
          <w:i/>
        </w:rPr>
        <w:t xml:space="preserve">panish and</w:t>
      </w:r>
      <w:r>
        <w:rPr>
          <w:iCs/>
          <w:i/>
        </w:rPr>
        <w:t xml:space="preserve"> </w:t>
      </w:r>
      <w:r>
        <w:rPr>
          <w:iCs/>
          <w:i/>
        </w:rPr>
        <w:t xml:space="preserve">E</w:t>
      </w:r>
      <w:r>
        <w:rPr>
          <w:iCs/>
          <w:i/>
        </w:rPr>
        <w:t xml:space="preserve">nglish</w:t>
      </w:r>
      <w:r>
        <w:t xml:space="preserve">. Routledge.</w:t>
      </w:r>
    </w:p>
    <w:bookmarkEnd w:id="95"/>
    <w:bookmarkStart w:id="96"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6"/>
    <w:bookmarkStart w:id="97"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7"/>
    <w:bookmarkStart w:id="98"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8"/>
    <w:bookmarkStart w:id="100"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9">
        <w:r>
          <w:rPr>
            <w:rStyle w:val="Hyperlink"/>
          </w:rPr>
          <w:t xml:space="preserve">https://doi.org/10.1111/cogs.12227</w:t>
        </w:r>
      </w:hyperlink>
    </w:p>
    <w:bookmarkEnd w:id="100"/>
    <w:bookmarkStart w:id="101"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101"/>
    <w:bookmarkStart w:id="102" w:name="ref-derwing2015pronunciation"/>
    <w:p>
      <w:pPr>
        <w:pStyle w:val="Literaturverzeichnis"/>
      </w:pPr>
      <w:r>
        <w:t xml:space="preserve">Derwing, T. M., &amp; Munro, M. J. (2015).</w:t>
      </w:r>
      <w:r>
        <w:t xml:space="preserve"> </w:t>
      </w:r>
      <w:r>
        <w:rPr>
          <w:iCs/>
          <w:i/>
        </w:rPr>
        <w:t xml:space="preserve">Pronunciation fundamentals: Evidence-based perspectives for L2 teaching and research</w:t>
      </w:r>
      <w:r>
        <w:t xml:space="preserve"> </w:t>
      </w:r>
      <w:r>
        <w:t xml:space="preserve">(Vol. 42). John Benjamins Publishing Company.</w:t>
      </w:r>
    </w:p>
    <w:bookmarkEnd w:id="102"/>
    <w:bookmarkStart w:id="104"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103">
        <w:r>
          <w:rPr>
            <w:rStyle w:val="Hyperlink"/>
          </w:rPr>
          <w:t xml:space="preserve">https://doi.org/10.1016/j.bandl.2008.04.002</w:t>
        </w:r>
      </w:hyperlink>
    </w:p>
    <w:bookmarkEnd w:id="104"/>
    <w:bookmarkStart w:id="105" w:name="ref-erteschik2007information"/>
    <w:p>
      <w:pPr>
        <w:pStyle w:val="Literaturverzeichnis"/>
      </w:pPr>
      <w:r>
        <w:t xml:space="preserve">Erteschik-Shir, N. (2007).</w:t>
      </w:r>
      <w:r>
        <w:t xml:space="preserve"> </w:t>
      </w:r>
      <w:r>
        <w:rPr>
          <w:iCs/>
          <w:i/>
        </w:rPr>
        <w:t xml:space="preserve">Information structure:</w:t>
      </w:r>
      <w:r>
        <w:rPr>
          <w:iCs/>
          <w:i/>
        </w:rPr>
        <w:t xml:space="preserve"> </w:t>
      </w:r>
      <w:r>
        <w:rPr>
          <w:iCs/>
          <w:i/>
        </w:rPr>
        <w:t xml:space="preserve">T</w:t>
      </w:r>
      <w:r>
        <w:rPr>
          <w:iCs/>
          <w:i/>
        </w:rPr>
        <w:t xml:space="preserve">he syntax-discourse interface</w:t>
      </w:r>
      <w:r>
        <w:t xml:space="preserve"> </w:t>
      </w:r>
      <w:r>
        <w:t xml:space="preserve">(Vol. 3). OUP Oxford.</w:t>
      </w:r>
    </w:p>
    <w:bookmarkEnd w:id="105"/>
    <w:bookmarkStart w:id="10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106">
        <w:r>
          <w:rPr>
            <w:rStyle w:val="Hyperlink"/>
          </w:rPr>
          <w:t xml:space="preserve">https://doi.org/10.13140/RG.2.2.19401.13926</w:t>
        </w:r>
      </w:hyperlink>
    </w:p>
    <w:bookmarkEnd w:id="107"/>
    <w:bookmarkStart w:id="10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8">
        <w:r>
          <w:rPr>
            <w:rStyle w:val="Hyperlink"/>
          </w:rPr>
          <w:t xml:space="preserve">https://doi.org/10.3758/s13421-019-00990-w</w:t>
        </w:r>
      </w:hyperlink>
    </w:p>
    <w:bookmarkEnd w:id="109"/>
    <w:bookmarkStart w:id="11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10">
        <w:r>
          <w:rPr>
            <w:rStyle w:val="Hyperlink"/>
          </w:rPr>
          <w:t xml:space="preserve">https://doi.org/10.1017/9781108886901.002</w:t>
        </w:r>
      </w:hyperlink>
    </w:p>
    <w:bookmarkEnd w:id="111"/>
    <w:bookmarkStart w:id="11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12">
        <w:r>
          <w:rPr>
            <w:rStyle w:val="Hyperlink"/>
          </w:rPr>
          <w:t xml:space="preserve">https://doi.org/10.1098/rstb.2002.1218</w:t>
        </w:r>
      </w:hyperlink>
    </w:p>
    <w:bookmarkEnd w:id="113"/>
    <w:bookmarkStart w:id="11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14">
        <w:r>
          <w:rPr>
            <w:rStyle w:val="Hyperlink"/>
          </w:rPr>
          <w:t xml:space="preserve">https://doi.org/10.3390/e19100555</w:t>
        </w:r>
      </w:hyperlink>
    </w:p>
    <w:bookmarkEnd w:id="115"/>
    <w:bookmarkStart w:id="11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16">
        <w:r>
          <w:rPr>
            <w:rStyle w:val="Hyperlink"/>
          </w:rPr>
          <w:t xml:space="preserve">https://doi.org/10.1111/j.1467-1770.1979.tb01059.x</w:t>
        </w:r>
      </w:hyperlink>
    </w:p>
    <w:bookmarkEnd w:id="117"/>
    <w:bookmarkStart w:id="11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8">
        <w:r>
          <w:rPr>
            <w:rStyle w:val="Hyperlink"/>
          </w:rPr>
          <w:t xml:space="preserve">https://doi.org/10.1016/0010-440X(72)90083-1</w:t>
        </w:r>
      </w:hyperlink>
    </w:p>
    <w:bookmarkEnd w:id="119"/>
    <w:bookmarkStart w:id="12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20">
        <w:r>
          <w:rPr>
            <w:rStyle w:val="Hyperlink"/>
          </w:rPr>
          <w:t xml:space="preserve">https://doi.org/10.1111/j.1467-1770.1972.tb00077.x</w:t>
        </w:r>
      </w:hyperlink>
    </w:p>
    <w:bookmarkEnd w:id="121"/>
    <w:bookmarkStart w:id="12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22"/>
    <w:bookmarkStart w:id="123"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2">
        <w:r>
          <w:rPr>
            <w:rStyle w:val="Hyperlink"/>
          </w:rPr>
          <w:t xml:space="preserve">https://doi.org/10.1075/ihll.6</w:t>
        </w:r>
      </w:hyperlink>
    </w:p>
    <w:bookmarkEnd w:id="123"/>
    <w:bookmarkStart w:id="12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24">
        <w:r>
          <w:rPr>
            <w:rStyle w:val="Hyperlink"/>
          </w:rPr>
          <w:t xml:space="preserve">https://doi.org/10.1515/shll-2010-1067</w:t>
        </w:r>
      </w:hyperlink>
    </w:p>
    <w:bookmarkEnd w:id="125"/>
    <w:bookmarkStart w:id="12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26">
        <w:r>
          <w:rPr>
            <w:rStyle w:val="Hyperlink"/>
          </w:rPr>
          <w:t xml:space="preserve">https://doi.org/10.1016/j.bandl.2012.11.006</w:t>
        </w:r>
      </w:hyperlink>
    </w:p>
    <w:bookmarkEnd w:id="127"/>
    <w:bookmarkStart w:id="12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8"/>
    <w:bookmarkStart w:id="13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9">
        <w:r>
          <w:rPr>
            <w:rStyle w:val="Hyperlink"/>
          </w:rPr>
          <w:t xml:space="preserve">https://doi.org/10.1037/t47086-000</w:t>
        </w:r>
      </w:hyperlink>
    </w:p>
    <w:bookmarkEnd w:id="130"/>
    <w:bookmarkStart w:id="13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31"/>
    <w:bookmarkStart w:id="13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32"/>
    <w:bookmarkStart w:id="13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33">
        <w:r>
          <w:rPr>
            <w:rStyle w:val="Hyperlink"/>
          </w:rPr>
          <w:t xml:space="preserve">https://doi.org/10.1159/000259481</w:t>
        </w:r>
      </w:hyperlink>
    </w:p>
    <w:bookmarkEnd w:id="134"/>
    <w:bookmarkStart w:id="135" w:name="ref-ladd2008intonational"/>
    <w:p>
      <w:pPr>
        <w:pStyle w:val="Literaturverzeichnis"/>
      </w:pPr>
      <w:r>
        <w:t xml:space="preserve">Ladd, D. R. (2008).</w:t>
      </w:r>
      <w:r>
        <w:t xml:space="preserve"> </w:t>
      </w:r>
      <w:r>
        <w:rPr>
          <w:iCs/>
          <w:i/>
        </w:rPr>
        <w:t xml:space="preserve">Intonational phonology</w:t>
      </w:r>
      <w:r>
        <w:t xml:space="preserve">. Cambridge University Press.</w:t>
      </w:r>
    </w:p>
    <w:bookmarkEnd w:id="135"/>
    <w:bookmarkStart w:id="136"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36"/>
    <w:bookmarkStart w:id="138"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37">
        <w:r>
          <w:rPr>
            <w:rStyle w:val="Hyperlink"/>
          </w:rPr>
          <w:t xml:space="preserve">https://doi.org/10.3758/s13428-011-0146-0</w:t>
        </w:r>
      </w:hyperlink>
    </w:p>
    <w:bookmarkEnd w:id="138"/>
    <w:bookmarkStart w:id="140"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9">
        <w:r>
          <w:rPr>
            <w:rStyle w:val="Hyperlink"/>
          </w:rPr>
          <w:t xml:space="preserve">https://doi.org/10.1075/jslp.2.2.01lev</w:t>
        </w:r>
      </w:hyperlink>
    </w:p>
    <w:bookmarkEnd w:id="140"/>
    <w:bookmarkStart w:id="142"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41">
        <w:r>
          <w:rPr>
            <w:rStyle w:val="Hyperlink"/>
          </w:rPr>
          <w:t xml:space="preserve">https://doi.org/10.25236/fmess.2017.55</w:t>
        </w:r>
      </w:hyperlink>
    </w:p>
    <w:bookmarkEnd w:id="142"/>
    <w:bookmarkStart w:id="143"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43"/>
    <w:bookmarkStart w:id="145" w:name="ref-mennen2015beyond"/>
    <w:p>
      <w:pPr>
        <w:pStyle w:val="Literaturverzeichnis"/>
      </w:pPr>
      <w:r>
        <w:t xml:space="preserve">Mennen, I. (2015). Beyond segments:</w:t>
      </w:r>
      <w:r>
        <w:t xml:space="preserve"> </w:t>
      </w:r>
      <w:r>
        <w:t xml:space="preserve">T</w:t>
      </w:r>
      <w:r>
        <w:t xml:space="preserve">owards a</w:t>
      </w:r>
      <w:r>
        <w:t xml:space="preserve"> </w:t>
      </w:r>
      <w:r>
        <w:t xml:space="preserve">L</w:t>
      </w:r>
      <w:r>
        <w:t xml:space="preserve">2 intonation learning theory. In</w:t>
      </w:r>
      <w:r>
        <w:t xml:space="preserve"> </w:t>
      </w:r>
      <w:r>
        <w:rPr>
          <w:iCs/>
          <w:i/>
        </w:rPr>
        <w:t xml:space="preserve">Prosody and language in contact</w:t>
      </w:r>
      <w:r>
        <w:t xml:space="preserve"> </w:t>
      </w:r>
      <w:r>
        <w:t xml:space="preserve">(pp. 171–188). Springer.</w:t>
      </w:r>
      <w:r>
        <w:t xml:space="preserve"> </w:t>
      </w:r>
      <w:hyperlink r:id="rId144">
        <w:r>
          <w:rPr>
            <w:rStyle w:val="Hyperlink"/>
          </w:rPr>
          <w:t xml:space="preserve">https://doi.org/10.1007/978-3-662-45168-7_9</w:t>
        </w:r>
      </w:hyperlink>
    </w:p>
    <w:bookmarkEnd w:id="145"/>
    <w:bookmarkStart w:id="147"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46">
        <w:r>
          <w:rPr>
            <w:rStyle w:val="Hyperlink"/>
          </w:rPr>
          <w:t xml:space="preserve">https://doi.org/10.1017/S0272263100013735</w:t>
        </w:r>
      </w:hyperlink>
    </w:p>
    <w:bookmarkEnd w:id="147"/>
    <w:bookmarkStart w:id="148"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48"/>
    <w:bookmarkStart w:id="149"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49"/>
    <w:bookmarkStart w:id="151"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50">
        <w:r>
          <w:rPr>
            <w:rStyle w:val="Hyperlink"/>
          </w:rPr>
          <w:t xml:space="preserve">https://doi.org/10.1016/j.jml.2010.06.005</w:t>
        </w:r>
      </w:hyperlink>
    </w:p>
    <w:bookmarkEnd w:id="151"/>
    <w:bookmarkStart w:id="153"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52">
        <w:r>
          <w:rPr>
            <w:rStyle w:val="Hyperlink"/>
          </w:rPr>
          <w:t xml:space="preserve">https://doi.org/10.5334/labphon.238</w:t>
        </w:r>
      </w:hyperlink>
    </w:p>
    <w:bookmarkEnd w:id="153"/>
    <w:bookmarkStart w:id="154"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54"/>
    <w:bookmarkStart w:id="156"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55">
        <w:r>
          <w:rPr>
            <w:rStyle w:val="Hyperlink"/>
          </w:rPr>
          <w:t xml:space="preserve">https://doi.org/10.3758/s13423-017-1297-5</w:t>
        </w:r>
      </w:hyperlink>
    </w:p>
    <w:bookmarkEnd w:id="156"/>
    <w:bookmarkStart w:id="157"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57"/>
    <w:bookmarkStart w:id="159"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58">
        <w:r>
          <w:rPr>
            <w:rStyle w:val="Hyperlink"/>
          </w:rPr>
          <w:t xml:space="preserve">https://doi.org/10.2307/3587647</w:t>
        </w:r>
      </w:hyperlink>
    </w:p>
    <w:bookmarkEnd w:id="159"/>
    <w:bookmarkStart w:id="160" w:name="ref-pierrehumbert1990meaning"/>
    <w:p>
      <w:pPr>
        <w:pStyle w:val="Literaturverzeichnis"/>
      </w:pPr>
      <w:r>
        <w:t xml:space="preserve">Pierrehumbert, J., &amp; Hirschberg, J. (1990). The meaning of intonational contours in the interpretation of discourse. In P. R. Cohen, J. L. Morgan, &amp; M. E. Pollack (Eds.),</w:t>
      </w:r>
      <w:r>
        <w:t xml:space="preserve"> </w:t>
      </w:r>
      <w:r>
        <w:rPr>
          <w:iCs/>
          <w:i/>
        </w:rPr>
        <w:t xml:space="preserve">Intentions in communication</w:t>
      </w:r>
      <w:r>
        <w:t xml:space="preserve"> </w:t>
      </w:r>
      <w:r>
        <w:t xml:space="preserve">(pp. 271–312).</w:t>
      </w:r>
      <w:r>
        <w:t xml:space="preserve"> </w:t>
      </w:r>
      <w:r>
        <w:t xml:space="preserve">MIT</w:t>
      </w:r>
      <w:r>
        <w:t xml:space="preserve"> </w:t>
      </w:r>
      <w:r>
        <w:t xml:space="preserve">press.</w:t>
      </w:r>
    </w:p>
    <w:bookmarkEnd w:id="160"/>
    <w:bookmarkStart w:id="162"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61">
        <w:r>
          <w:rPr>
            <w:rStyle w:val="Hyperlink"/>
          </w:rPr>
          <w:t xml:space="preserve">https://doi.org/10.1111/lang.12079</w:t>
        </w:r>
      </w:hyperlink>
    </w:p>
    <w:bookmarkEnd w:id="162"/>
    <w:bookmarkStart w:id="163"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63"/>
    <w:bookmarkStart w:id="165"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64">
        <w:r>
          <w:rPr>
            <w:rStyle w:val="Hyperlink"/>
          </w:rPr>
          <w:t xml:space="preserve">https://doi.org/10.1162/neco.2008.12-06-420</w:t>
        </w:r>
      </w:hyperlink>
    </w:p>
    <w:bookmarkEnd w:id="165"/>
    <w:bookmarkStart w:id="167"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66">
        <w:r>
          <w:rPr>
            <w:rStyle w:val="Hyperlink"/>
          </w:rPr>
          <w:t xml:space="preserve">https://doi.org/10.1515/9783110215496</w:t>
        </w:r>
      </w:hyperlink>
    </w:p>
    <w:bookmarkEnd w:id="167"/>
    <w:bookmarkStart w:id="169" w:name="ref-shang2022ns"/>
    <w:p>
      <w:pPr>
        <w:pStyle w:val="Literaturverzeichnis"/>
      </w:pPr>
      <w:r>
        <w:t xml:space="preserve">Shang, P. (2022). The role of native language experience and individual features in the cross-linguistic perception of</w:t>
      </w:r>
      <w:r>
        <w:t xml:space="preserve"> </w:t>
      </w:r>
      <w:r>
        <w:t xml:space="preserve">S</w:t>
      </w:r>
      <w:r>
        <w:t xml:space="preserve">panish intonation.</w:t>
      </w:r>
      <w:r>
        <w:t xml:space="preserve"> </w:t>
      </w:r>
      <w:r>
        <w:rPr>
          <w:iCs/>
          <w:i/>
        </w:rPr>
        <w:t xml:space="preserve">Proceedings of the 10th International Symposium on the Acquisition of Second Language Speech</w:t>
      </w:r>
      <w:r>
        <w:t xml:space="preserve">.</w:t>
      </w:r>
      <w:r>
        <w:t xml:space="preserve"> </w:t>
      </w:r>
      <w:hyperlink r:id="rId168">
        <w:r>
          <w:rPr>
            <w:rStyle w:val="Hyperlink"/>
          </w:rPr>
          <w:t xml:space="preserve">https://doi.org/10.13140/RG.2.2.13005.31201</w:t>
        </w:r>
      </w:hyperlink>
    </w:p>
    <w:bookmarkEnd w:id="169"/>
    <w:bookmarkStart w:id="170"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70"/>
    <w:bookmarkStart w:id="171"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71"/>
    <w:bookmarkStart w:id="172"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72"/>
    <w:bookmarkStart w:id="174"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73">
        <w:r>
          <w:rPr>
            <w:rStyle w:val="Hyperlink"/>
          </w:rPr>
          <w:t xml:space="preserve">https://doi.org/10.1017/S0272263106060013</w:t>
        </w:r>
      </w:hyperlink>
    </w:p>
    <w:bookmarkEnd w:id="174"/>
    <w:bookmarkStart w:id="176"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75">
        <w:r>
          <w:rPr>
            <w:rStyle w:val="Hyperlink"/>
          </w:rPr>
          <w:t xml:space="preserve">https://doi.org/10.3389/fpsyg.2015.01000</w:t>
        </w:r>
      </w:hyperlink>
    </w:p>
    <w:bookmarkEnd w:id="176"/>
    <w:bookmarkStart w:id="177"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77"/>
    <w:bookmarkStart w:id="179" w:name="ref-wiener2020harnessing"/>
    <w:p>
      <w:pPr>
        <w:pStyle w:val="Literaturverzeichnis"/>
      </w:pPr>
      <w:r>
        <w:t xml:space="preserve">Wiener, S., &amp; Bradley, E. D. (2020). Harnessing the musician advantage: Short-term musical training affects non-native cue weighting of linguistic pitch.</w:t>
      </w:r>
      <w:r>
        <w:t xml:space="preserve"> </w:t>
      </w:r>
      <w:r>
        <w:rPr>
          <w:iCs/>
          <w:i/>
        </w:rPr>
        <w:t xml:space="preserve">Language Teaching Research</w:t>
      </w:r>
      <w:r>
        <w:t xml:space="preserve">.</w:t>
      </w:r>
      <w:r>
        <w:t xml:space="preserve"> </w:t>
      </w:r>
      <w:hyperlink r:id="rId178">
        <w:r>
          <w:rPr>
            <w:rStyle w:val="Hyperlink"/>
          </w:rPr>
          <w:t xml:space="preserve">https://doi.org/10.1177/13621688209717</w:t>
        </w:r>
      </w:hyperlink>
    </w:p>
    <w:bookmarkEnd w:id="179"/>
    <w:bookmarkEnd w:id="180"/>
    <w:p>
      <w:r>
        <w:br w:type="page"/>
      </w:r>
    </w:p>
    <w:bookmarkEnd w:id="181"/>
    <w:bookmarkStart w:id="207" w:name="supplementary-materials"/>
    <w:p>
      <w:pPr>
        <w:pStyle w:val="berschrift1"/>
      </w:pPr>
      <w:r>
        <w:t xml:space="preserve">Supplementary materials</w:t>
      </w:r>
    </w:p>
    <w:bookmarkStart w:id="182"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82"/>
    <w:bookmarkStart w:id="184"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83"/>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84"/>
    <w:bookmarkStart w:id="194"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86" name="Picture"/>
            <a:graphic>
              <a:graphicData uri="http://schemas.openxmlformats.org/drawingml/2006/picture">
                <pic:pic>
                  <pic:nvPicPr>
                    <pic:cNvPr descr="../../figs/manuscript/learner_dp_utterance_variety.pdf" id="187" name="Picture"/>
                    <pic:cNvPicPr>
                      <a:picLocks noChangeArrowheads="1" noChangeAspect="1"/>
                    </pic:cNvPicPr>
                  </pic:nvPicPr>
                  <pic:blipFill>
                    <a:blip r:embed="rId18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iCs/>
          <w:i/>
        </w:rPr>
        <w:t xml:space="preserve">Monolingual response accuracy</w:t>
      </w:r>
      <w:r>
        <w:t xml:space="preserve">.</w:t>
      </w:r>
    </w:p>
    <w:p>
      <w:pPr>
        <w:pStyle w:val="Textkrper"/>
      </w:pPr>
      <w:r>
        <w:t xml:space="preserve">Raw accuracy plot</w:t>
      </w:r>
      <w:r>
        <w:t xml:space="preserve"> </w:t>
      </w:r>
      <w:r>
        <w:t xml:space="preserve">10</w:t>
      </w:r>
    </w:p>
    <w:p>
      <w:pPr>
        <w:pStyle w:val="CaptionedFigure"/>
      </w:pPr>
      <w:r>
        <w:drawing>
          <wp:inline>
            <wp:extent cx="5969000" cy="3410857"/>
            <wp:effectExtent b="0" l="0" r="0" t="0"/>
            <wp:docPr descr="Figure 10.  Stuff they made me do." title="" id="189" name="Picture"/>
            <a:graphic>
              <a:graphicData uri="http://schemas.openxmlformats.org/drawingml/2006/picture">
                <pic:pic>
                  <pic:nvPicPr>
                    <pic:cNvPr descr="../../figs/manuscript/learner_native_accuracy.pdf" id="190" name="Picture"/>
                    <pic:cNvPicPr>
                      <a:picLocks noChangeArrowheads="1" noChangeAspect="1"/>
                    </pic:cNvPicPr>
                  </pic:nvPicPr>
                  <pic:blipFill>
                    <a:blip r:embed="rId18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t xml:space="preserve">Raw accuracy table</w:t>
      </w:r>
      <w:r>
        <w:t xml:space="preserve"> </w:t>
      </w:r>
      <w:r>
        <w:t xml:space="preserve">7</w:t>
      </w:r>
    </w:p>
    <w:p>
      <w:pPr>
        <w:pStyle w:val="TableCaption"/>
      </w:pPr>
      <w:r>
        <w:t xml:space="preserve">Table 7: Summary of the.</w:t>
      </w:r>
    </w:p>
    <w:tbl>
      <w:tblPr>
        <w:tblStyle w:val="Table"/>
        <w:tblW w:type="auto" w:w="0"/>
        <w:tblLook w:firstRow="1" w:lastRow="0" w:firstColumn="0" w:lastColumn="0" w:noHBand="0" w:noVBand="0" w:val="0020"/>
        <w:tblCaption w:val="Table 7: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[0.98,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0.94 [0.93, 0.95]</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0.92 [0.91, 0.93]</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0.85 [0.82, 0.87]</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0.55 [0.52, 0.58]</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11</w:t>
      </w:r>
    </w:p>
    <w:p>
      <w:pPr>
        <w:pStyle w:val="CaptionedFigure"/>
      </w:pPr>
      <w:r>
        <w:drawing>
          <wp:inline>
            <wp:extent cx="5969000" cy="2808941"/>
            <wp:effectExtent b="0" l="0" r="0" t="0"/>
            <wp:docPr descr="Figure 11.  Stuff they made me do." title="" id="192" name="Picture"/>
            <a:graphic>
              <a:graphicData uri="http://schemas.openxmlformats.org/drawingml/2006/picture">
                <pic:pic>
                  <pic:nvPicPr>
                    <pic:cNvPr descr="../../figs/manuscript/native_variety_matched_accuracy.pdf" id="193" name="Picture"/>
                    <pic:cNvPicPr>
                      <a:picLocks noChangeArrowheads="1" noChangeAspect="1"/>
                    </pic:cNvPicPr>
                  </pic:nvPicPr>
                  <pic:blipFill>
                    <a:blip r:embed="rId19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8</w:t>
      </w:r>
    </w:p>
    <w:p>
      <w:pPr>
        <w:pStyle w:val="TableCaption"/>
      </w:pPr>
      <w:r>
        <w:t xml:space="preserve">Table 8: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8: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[0.99, 1.00]</w:t>
            </w:r>
          </w:p>
        </w:tc>
        <w:tc>
          <w:tcPr/>
          <w:p>
            <w:pPr>
              <w:pStyle w:val="Compact"/>
              <w:jc w:val="right"/>
            </w:pPr>
            <w:r>
              <w:t xml:space="preserve">0.97 [0.96, 0.98]</w:t>
            </w:r>
          </w:p>
        </w:tc>
        <w:tc>
          <w:tcPr/>
          <w:p>
            <w:pPr>
              <w:pStyle w:val="Compact"/>
              <w:jc w:val="right"/>
            </w:pPr>
            <w:r>
              <w:t xml:space="preserve">0.98 [0.97, 0.99]</w:t>
            </w:r>
          </w:p>
        </w:tc>
        <w:tc>
          <w:tcPr/>
          <w:p>
            <w:pPr>
              <w:pStyle w:val="Compact"/>
              <w:jc w:val="right"/>
            </w:pPr>
            <w:r>
              <w:t xml:space="preserve">0.98 [0.97, 0.99]</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0.98 [0.96, 1.00]</w:t>
            </w:r>
          </w:p>
        </w:tc>
        <w:tc>
          <w:tcPr/>
          <w:p>
            <w:pPr>
              <w:pStyle w:val="Compact"/>
              <w:jc w:val="right"/>
            </w:pPr>
            <w:r>
              <w:t xml:space="preserve">0.96 [0.93, 0.99]</w:t>
            </w:r>
          </w:p>
        </w:tc>
        <w:tc>
          <w:tcPr/>
          <w:p>
            <w:pPr>
              <w:pStyle w:val="Compact"/>
              <w:jc w:val="right"/>
            </w:pPr>
            <w:r>
              <w:t xml:space="preserve">0.98 [0.96, 1.00]</w:t>
            </w:r>
          </w:p>
        </w:tc>
        <w:tc>
          <w:tcPr/>
          <w:p>
            <w:pPr>
              <w:pStyle w:val="Compact"/>
              <w:jc w:val="right"/>
            </w:pPr>
            <w:r>
              <w:t xml:space="preserve">0.98 [0.96,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r>
        <w:br w:type="page"/>
      </w:r>
    </w:p>
    <w:bookmarkEnd w:id="194"/>
    <w:bookmarkStart w:id="201" w:name="auditory-stimuli"/>
    <w:p>
      <w:pPr>
        <w:pStyle w:val="berschrift2"/>
      </w:pPr>
      <w:r>
        <w:t xml:space="preserve">Auditory stimuli</w:t>
      </w:r>
    </w:p>
    <w:p>
      <w:pPr>
        <w:pStyle w:val="FirstParagraph"/>
      </w:pPr>
      <w:r>
        <w:rPr>
          <w:iCs/>
          <w:i/>
        </w:rPr>
        <w:t xml:space="preserve">Speakers</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9</w:t>
      </w:r>
      <w:r>
        <w:t xml:space="preserve"> </w:t>
      </w:r>
      <w:r>
        <w:t xml:space="preserve">contains demographic information about the speakers.</w:t>
      </w:r>
    </w:p>
    <w:p>
      <w:pPr>
        <w:pStyle w:val="TableCaption"/>
      </w:pPr>
      <w:r>
        <w:t xml:space="preserve">Table 9: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9: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average syllable duration (in milliseconds), and speech rate (number of syllables divided by total time) for all items (64 items × 8 speakers = 512 utterances).</w:t>
      </w:r>
      <w:r>
        <w:t xml:space="preserve"> </w:t>
      </w:r>
      <w:r>
        <w:t xml:space="preserve">These values are provided in Table</w:t>
      </w:r>
      <w:r>
        <w:t xml:space="preserve"> </w:t>
      </w:r>
      <w:r>
        <w:t xml:space="preserve">10</w:t>
      </w:r>
      <w:r>
        <w:t xml:space="preserve">.</w:t>
      </w:r>
    </w:p>
    <w:p>
      <w:pPr>
        <w:pStyle w:val="TableCaption"/>
      </w:pPr>
      <w:r>
        <w:t xml:space="preserve">Table 10: Average articulation rate (number of syllables divided by total</w:t>
      </w:r>
      <w:r>
        <w:t xml:space="preserve"> </w:t>
      </w:r>
      <w:r>
        <w:t xml:space="preserve">phonation time), syllables duration (in milliseconds), and speech rate (number</w:t>
      </w:r>
      <w:r>
        <w:t xml:space="preserve"> </w:t>
      </w:r>
      <w:r>
        <w:t xml:space="preserve">of syllable divided by total time) for each variety of the acoustic stimuli</w:t>
      </w:r>
      <w:r>
        <w:t xml:space="preserve"> </w:t>
      </w:r>
      <w:r>
        <w:t xml:space="preserve">presented to listeners.</w:t>
      </w:r>
    </w:p>
    <w:tbl>
      <w:tblPr>
        <w:tblStyle w:val="Table"/>
        <w:tblW w:type="auto" w:w="0"/>
        <w:tblLook w:firstRow="1" w:lastRow="0" w:firstColumn="0" w:lastColumn="0" w:noHBand="0" w:noVBand="0" w:val="0020"/>
        <w:tblCaption w:val="Table 10: Average articulation rate (number of syllables divided by total phonation time), syllables duration (in milliseconds), and speech rate (number of syllable divided by total time) for each variety of the acoustic stimuli presented to listeners."/>
      </w:tblPr>
      <w:tblGrid>
        <w:gridCol w:w="1980"/>
        <w:gridCol w:w="1980"/>
        <w:gridCol w:w="1980"/>
        <w:gridCol w:w="1980"/>
      </w:tblGrid>
      <w:tr>
        <w:trPr>
          <w:tblHeader w:val="true"/>
        </w:trPr>
        <w:tc>
          <w:tcPr/>
          <w:p>
            <w:pPr>
              <w:pStyle w:val="Compact"/>
              <w:jc w:val="left"/>
            </w:pPr>
            <w:r>
              <w:t xml:space="preserve">Variety</w:t>
            </w:r>
          </w:p>
        </w:tc>
        <w:tc>
          <w:tcPr/>
          <w:p>
            <w:pPr>
              <w:pStyle w:val="Compact"/>
              <w:jc w:val="right"/>
            </w:pPr>
            <w:r>
              <w:t xml:space="preserve">Articulation rate</w:t>
            </w:r>
          </w:p>
        </w:tc>
        <w:tc>
          <w:tcPr/>
          <w:p>
            <w:pPr>
              <w:pStyle w:val="Compact"/>
              <w:jc w:val="right"/>
            </w:pPr>
            <w:r>
              <w:t xml:space="preserve">Syllable duration</w:t>
            </w:r>
          </w:p>
        </w:tc>
        <w:tc>
          <w:tcPr/>
          <w:p>
            <w:pPr>
              <w:pStyle w:val="Compact"/>
              <w:jc w:val="right"/>
            </w:pPr>
            <w:r>
              <w:t xml:space="preserve">Speech rate</w:t>
            </w:r>
          </w:p>
        </w:tc>
      </w:tr>
      <w:tr>
        <w:tc>
          <w:tcPr/>
          <w:p>
            <w:pPr>
              <w:pStyle w:val="Compact"/>
              <w:jc w:val="left"/>
            </w:pPr>
            <w:r>
              <w:t xml:space="preserve">Andalusian</w:t>
            </w:r>
          </w:p>
        </w:tc>
        <w:tc>
          <w:tcPr/>
          <w:p>
            <w:pPr>
              <w:pStyle w:val="Compact"/>
              <w:jc w:val="right"/>
            </w:pPr>
            <w:r>
              <w:t xml:space="preserve">3.75</w:t>
            </w:r>
          </w:p>
        </w:tc>
        <w:tc>
          <w:tcPr/>
          <w:p>
            <w:pPr>
              <w:pStyle w:val="Compact"/>
              <w:jc w:val="right"/>
            </w:pPr>
            <w:r>
              <w:t xml:space="preserve">288</w:t>
            </w:r>
          </w:p>
        </w:tc>
        <w:tc>
          <w:tcPr/>
          <w:p>
            <w:pPr>
              <w:pStyle w:val="Compact"/>
              <w:jc w:val="right"/>
            </w:pPr>
            <w:r>
              <w:t xml:space="preserve">3.72</w:t>
            </w:r>
          </w:p>
        </w:tc>
      </w:tr>
      <w:tr>
        <w:tc>
          <w:tcPr/>
          <w:p>
            <w:pPr>
              <w:pStyle w:val="Compact"/>
              <w:jc w:val="left"/>
            </w:pPr>
            <w:r>
              <w:t xml:space="preserve">Argentine</w:t>
            </w:r>
          </w:p>
        </w:tc>
        <w:tc>
          <w:tcPr/>
          <w:p>
            <w:pPr>
              <w:pStyle w:val="Compact"/>
              <w:jc w:val="right"/>
            </w:pPr>
            <w:r>
              <w:t xml:space="preserve">3.59</w:t>
            </w:r>
          </w:p>
        </w:tc>
        <w:tc>
          <w:tcPr/>
          <w:p>
            <w:pPr>
              <w:pStyle w:val="Compact"/>
              <w:jc w:val="right"/>
            </w:pPr>
            <w:r>
              <w:t xml:space="preserve">300</w:t>
            </w:r>
          </w:p>
        </w:tc>
        <w:tc>
          <w:tcPr/>
          <w:p>
            <w:pPr>
              <w:pStyle w:val="Compact"/>
              <w:jc w:val="right"/>
            </w:pPr>
            <w:r>
              <w:t xml:space="preserve">3.59</w:t>
            </w:r>
          </w:p>
        </w:tc>
      </w:tr>
      <w:tr>
        <w:tc>
          <w:tcPr/>
          <w:p>
            <w:pPr>
              <w:pStyle w:val="Compact"/>
              <w:jc w:val="left"/>
            </w:pPr>
            <w:r>
              <w:t xml:space="preserve">Madrileño</w:t>
            </w:r>
          </w:p>
        </w:tc>
        <w:tc>
          <w:tcPr/>
          <w:p>
            <w:pPr>
              <w:pStyle w:val="Compact"/>
              <w:jc w:val="right"/>
            </w:pPr>
            <w:r>
              <w:t xml:space="preserve">3.72</w:t>
            </w:r>
          </w:p>
        </w:tc>
        <w:tc>
          <w:tcPr/>
          <w:p>
            <w:pPr>
              <w:pStyle w:val="Compact"/>
              <w:jc w:val="right"/>
            </w:pPr>
            <w:r>
              <w:t xml:space="preserve">282</w:t>
            </w:r>
          </w:p>
        </w:tc>
        <w:tc>
          <w:tcPr/>
          <w:p>
            <w:pPr>
              <w:pStyle w:val="Compact"/>
              <w:jc w:val="right"/>
            </w:pPr>
            <w:r>
              <w:t xml:space="preserve">3.72</w:t>
            </w:r>
          </w:p>
        </w:tc>
      </w:tr>
      <w:tr>
        <w:tc>
          <w:tcPr/>
          <w:p>
            <w:pPr>
              <w:pStyle w:val="Compact"/>
              <w:jc w:val="left"/>
            </w:pPr>
            <w:r>
              <w:t xml:space="preserve">Chilean</w:t>
            </w:r>
          </w:p>
        </w:tc>
        <w:tc>
          <w:tcPr/>
          <w:p>
            <w:pPr>
              <w:pStyle w:val="Compact"/>
              <w:jc w:val="right"/>
            </w:pPr>
            <w:r>
              <w:t xml:space="preserve">3.95</w:t>
            </w:r>
          </w:p>
        </w:tc>
        <w:tc>
          <w:tcPr/>
          <w:p>
            <w:pPr>
              <w:pStyle w:val="Compact"/>
              <w:jc w:val="right"/>
            </w:pPr>
            <w:r>
              <w:t xml:space="preserve">264</w:t>
            </w:r>
          </w:p>
        </w:tc>
        <w:tc>
          <w:tcPr/>
          <w:p>
            <w:pPr>
              <w:pStyle w:val="Compact"/>
              <w:jc w:val="right"/>
            </w:pPr>
            <w:r>
              <w:t xml:space="preserve">3.95</w:t>
            </w:r>
          </w:p>
        </w:tc>
      </w:tr>
      <w:tr>
        <w:tc>
          <w:tcPr/>
          <w:p>
            <w:pPr>
              <w:pStyle w:val="Compact"/>
              <w:jc w:val="left"/>
            </w:pPr>
            <w:r>
              <w:t xml:space="preserve">Cuban</w:t>
            </w:r>
          </w:p>
        </w:tc>
        <w:tc>
          <w:tcPr/>
          <w:p>
            <w:pPr>
              <w:pStyle w:val="Compact"/>
              <w:jc w:val="right"/>
            </w:pPr>
            <w:r>
              <w:t xml:space="preserve">3.99</w:t>
            </w:r>
          </w:p>
        </w:tc>
        <w:tc>
          <w:tcPr/>
          <w:p>
            <w:pPr>
              <w:pStyle w:val="Compact"/>
              <w:jc w:val="right"/>
            </w:pPr>
            <w:r>
              <w:t xml:space="preserve">272</w:t>
            </w:r>
          </w:p>
        </w:tc>
        <w:tc>
          <w:tcPr/>
          <w:p>
            <w:pPr>
              <w:pStyle w:val="Compact"/>
              <w:jc w:val="right"/>
            </w:pPr>
            <w:r>
              <w:t xml:space="preserve">3.99</w:t>
            </w:r>
          </w:p>
        </w:tc>
      </w:tr>
      <w:tr>
        <w:tc>
          <w:tcPr/>
          <w:p>
            <w:pPr>
              <w:pStyle w:val="Compact"/>
              <w:jc w:val="left"/>
            </w:pPr>
            <w:r>
              <w:t xml:space="preserve">Mexican</w:t>
            </w:r>
          </w:p>
        </w:tc>
        <w:tc>
          <w:tcPr/>
          <w:p>
            <w:pPr>
              <w:pStyle w:val="Compact"/>
              <w:jc w:val="right"/>
            </w:pPr>
            <w:r>
              <w:t xml:space="preserve">4.51</w:t>
            </w:r>
          </w:p>
        </w:tc>
        <w:tc>
          <w:tcPr/>
          <w:p>
            <w:pPr>
              <w:pStyle w:val="Compact"/>
              <w:jc w:val="right"/>
            </w:pPr>
            <w:r>
              <w:t xml:space="preserve">230</w:t>
            </w:r>
          </w:p>
        </w:tc>
        <w:tc>
          <w:tcPr/>
          <w:p>
            <w:pPr>
              <w:pStyle w:val="Compact"/>
              <w:jc w:val="right"/>
            </w:pPr>
            <w:r>
              <w:t xml:space="preserve">4.51</w:t>
            </w:r>
          </w:p>
        </w:tc>
      </w:tr>
      <w:tr>
        <w:tc>
          <w:tcPr/>
          <w:p>
            <w:pPr>
              <w:pStyle w:val="Compact"/>
              <w:jc w:val="left"/>
            </w:pPr>
            <w:r>
              <w:t xml:space="preserve">Peruvian</w:t>
            </w:r>
          </w:p>
        </w:tc>
        <w:tc>
          <w:tcPr/>
          <w:p>
            <w:pPr>
              <w:pStyle w:val="Compact"/>
              <w:jc w:val="right"/>
            </w:pPr>
            <w:r>
              <w:t xml:space="preserve">3.70</w:t>
            </w:r>
          </w:p>
        </w:tc>
        <w:tc>
          <w:tcPr/>
          <w:p>
            <w:pPr>
              <w:pStyle w:val="Compact"/>
              <w:jc w:val="right"/>
            </w:pPr>
            <w:r>
              <w:t xml:space="preserve">286</w:t>
            </w:r>
          </w:p>
        </w:tc>
        <w:tc>
          <w:tcPr/>
          <w:p>
            <w:pPr>
              <w:pStyle w:val="Compact"/>
              <w:jc w:val="right"/>
            </w:pPr>
            <w:r>
              <w:t xml:space="preserve">3.70</w:t>
            </w:r>
          </w:p>
        </w:tc>
      </w:tr>
      <w:tr>
        <w:tc>
          <w:tcPr/>
          <w:p>
            <w:pPr>
              <w:pStyle w:val="Compact"/>
              <w:jc w:val="left"/>
            </w:pPr>
            <w:r>
              <w:t xml:space="preserve">Puerto Rican</w:t>
            </w:r>
          </w:p>
        </w:tc>
        <w:tc>
          <w:tcPr/>
          <w:p>
            <w:pPr>
              <w:pStyle w:val="Compact"/>
              <w:jc w:val="right"/>
            </w:pPr>
            <w:r>
              <w:t xml:space="preserve">4.02</w:t>
            </w:r>
          </w:p>
        </w:tc>
        <w:tc>
          <w:tcPr/>
          <w:p>
            <w:pPr>
              <w:pStyle w:val="Compact"/>
              <w:jc w:val="right"/>
            </w:pPr>
            <w:r>
              <w:t xml:space="preserve">277</w:t>
            </w:r>
          </w:p>
        </w:tc>
        <w:tc>
          <w:tcPr/>
          <w:p>
            <w:pPr>
              <w:pStyle w:val="Compact"/>
              <w:jc w:val="right"/>
            </w:pPr>
            <w:r>
              <w:t xml:space="preserve">4.02</w:t>
            </w:r>
          </w:p>
        </w:tc>
      </w:tr>
    </w:tbl>
    <w:p>
      <w:pPr>
        <w:pStyle w:val="Textkrper"/>
      </w:pPr>
      <w:r>
        <w:t xml:space="preserve">Figure</w:t>
      </w:r>
      <w:r>
        <w:t xml:space="preserve"> </w:t>
      </w:r>
      <w:r>
        <w:t xml:space="preserve">12</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2.  Standardized articulation rate as a function of speaker variety. Points represent posterior medians along with 66% and 95% HDI." title="" id="196" name="Picture"/>
            <a:graphic>
              <a:graphicData uri="http://schemas.openxmlformats.org/drawingml/2006/picture">
                <pic:pic>
                  <pic:nvPicPr>
                    <pic:cNvPr descr="../../figs/manuscript/sm_speech_rate.pdf" id="197" name="Picture"/>
                    <pic:cNvPicPr>
                      <a:picLocks noChangeArrowheads="1" noChangeAspect="1"/>
                    </pic:cNvPicPr>
                  </pic:nvPicPr>
                  <pic:blipFill>
                    <a:blip r:embed="rId19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Standardized articulation rate as a function of speaker variety. Points represent posterior medians along with 66% and 95% HDI.</w:t>
      </w:r>
    </w:p>
    <w:p>
      <w:pPr>
        <w:pStyle w:val="Textkrper"/>
      </w:pPr>
      <w:r>
        <w:rPr>
          <w:iCs/>
          <w:i/>
        </w:rPr>
        <w:t xml:space="preserve">Acoustic analysis</w:t>
      </w:r>
      <w:r>
        <w:t xml:space="preserve">.</w:t>
      </w:r>
    </w:p>
    <w:p>
      <w:pPr>
        <w:pStyle w:val="Textkrper"/>
      </w:pPr>
      <w:r>
        <w:t xml:space="preserve">Spectrograms</w:t>
      </w:r>
      <w:r>
        <w:t xml:space="preserve"> </w:t>
      </w:r>
      <w:r>
        <w:t xml:space="preserve">13</w:t>
      </w:r>
    </w:p>
    <w:p>
      <w:pPr>
        <w:pStyle w:val="Textkrper"/>
      </w:pPr>
      <w:r>
        <w:t xml:space="preserve">Figure 13: Stuff they made me do.</w:t>
      </w:r>
    </w:p>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14</w:t>
      </w:r>
      <w:r>
        <w:t xml:space="preserve"> </w:t>
      </w:r>
      <w:r>
        <w:t xml:space="preserve">that this is indeed the case.</w:t>
      </w:r>
    </w:p>
    <w:p>
      <w:pPr>
        <w:pStyle w:val="CaptionedFigure"/>
      </w:pPr>
      <w:r>
        <w:drawing>
          <wp:inline>
            <wp:extent cx="5969000" cy="3410857"/>
            <wp:effectExtent b="0" l="0" r="0" t="0"/>
            <wp:docPr descr="Figure 14.  Average number of tokens (±1 SD) presented from each speaker variety across all 14,400 trials. The experiment was programmed such that each of the 8 varieties had an equal probability of being presented (12.50%) across 64 experimental trials." title="" id="199" name="Picture"/>
            <a:graphic>
              <a:graphicData uri="http://schemas.openxmlformats.org/drawingml/2006/picture">
                <pic:pic>
                  <pic:nvPicPr>
                    <pic:cNvPr descr="../../figs/manuscript/sm_random_speaker_check.pdf" id="200" name="Picture"/>
                    <pic:cNvPicPr>
                      <a:picLocks noChangeArrowheads="1" noChangeAspect="1"/>
                    </pic:cNvPicPr>
                  </pic:nvPicPr>
                  <pic:blipFill>
                    <a:blip r:embed="rId19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Sentences</w:t>
      </w:r>
      <w:r>
        <w:t xml:space="preserve">. Table</w:t>
      </w:r>
      <w:r>
        <w:t xml:space="preserve"> </w:t>
      </w:r>
      <w:r>
        <w:t xml:space="preserve">11</w:t>
      </w:r>
    </w:p>
    <w:p>
      <w:pPr>
        <w:pStyle w:val="TableCaption"/>
      </w:pPr>
      <w:r>
        <w:t xml:space="preserve">Table 11: Experimental items produced in auditory stimuli.</w:t>
      </w:r>
    </w:p>
    <w:tbl>
      <w:tblPr>
        <w:tblStyle w:val="Table"/>
        <w:tblW w:type="auto" w:w="0"/>
        <w:tblLook w:firstRow="1" w:lastRow="0" w:firstColumn="0" w:lastColumn="0" w:noHBand="0" w:noVBand="0" w:val="0020"/>
        <w:tblCaption w:val="Table 11: Experimental items produced in auditory stimuli."/>
      </w:tblPr>
      <w:tblGrid>
        <w:gridCol w:w="3960"/>
        <w:gridCol w:w="3960"/>
      </w:tblGrid>
      <w:tr>
        <w:trPr>
          <w:tblHeader w:val="true"/>
        </w:trPr>
        <w:tc>
          <w:tcPr/>
          <w:p>
            <w:pPr>
              <w:pStyle w:val="Compact"/>
              <w:jc w:val="left"/>
            </w:pPr>
            <w:r>
              <w:t xml:space="preserve">Utterance type</w:t>
            </w:r>
          </w:p>
        </w:tc>
        <w:tc>
          <w:tcPr/>
          <w:p>
            <w:pPr>
              <w:pStyle w:val="Compact"/>
              <w:jc w:val="left"/>
            </w:pPr>
            <w:r>
              <w:t xml:space="preserve">Item</w:t>
            </w:r>
          </w:p>
        </w:tc>
      </w:tr>
      <w:tr>
        <w:tc>
          <w:tcPr/>
          <w:p>
            <w:pPr>
              <w:pStyle w:val="Compact"/>
              <w:jc w:val="left"/>
            </w:pPr>
            <w:r>
              <w:t xml:space="preserve">yes/no question</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Wh- question</w:t>
            </w:r>
          </w:p>
        </w:tc>
        <w:tc>
          <w:tcPr/>
          <w:p>
            <w:pPr>
              <w:pStyle w:val="Compact"/>
              <w:jc w:val="left"/>
            </w:pPr>
            <w:r>
              <w:t xml:space="preserve">¿Cuándo bebía el vino?</w:t>
            </w:r>
          </w:p>
        </w:tc>
      </w:tr>
      <w:tr>
        <w:tc>
          <w:tcPr/>
          <w:p>
            <w:pPr>
              <w:pStyle w:val="Compact"/>
            </w:pPr>
          </w:p>
        </w:tc>
        <w:tc>
          <w:tcPr/>
          <w:p>
            <w:pPr>
              <w:pStyle w:val="Compact"/>
              <w:jc w:val="left"/>
            </w:pPr>
            <w:r>
              <w:t xml:space="preserve">¿Cuándo comía la fruta?</w:t>
            </w:r>
          </w:p>
        </w:tc>
      </w:tr>
      <w:tr>
        <w:tc>
          <w:tcPr/>
          <w:p>
            <w:pPr>
              <w:pStyle w:val="Compact"/>
            </w:pPr>
          </w:p>
        </w:tc>
        <w:tc>
          <w:tcPr/>
          <w:p>
            <w:pPr>
              <w:pStyle w:val="Compact"/>
              <w:jc w:val="left"/>
            </w:pPr>
            <w:r>
              <w:t xml:space="preserve">¿Cuándo lavaba el plato?</w:t>
            </w:r>
          </w:p>
        </w:tc>
      </w:tr>
      <w:tr>
        <w:tc>
          <w:tcPr/>
          <w:p>
            <w:pPr>
              <w:pStyle w:val="Compact"/>
            </w:pPr>
          </w:p>
        </w:tc>
        <w:tc>
          <w:tcPr/>
          <w:p>
            <w:pPr>
              <w:pStyle w:val="Compact"/>
              <w:jc w:val="left"/>
            </w:pPr>
            <w:r>
              <w:t xml:space="preserve">¿Cuándo leía el libro?</w:t>
            </w:r>
          </w:p>
        </w:tc>
      </w:tr>
      <w:tr>
        <w:tc>
          <w:tcPr/>
          <w:p>
            <w:pPr>
              <w:pStyle w:val="Compact"/>
            </w:pPr>
          </w:p>
        </w:tc>
        <w:tc>
          <w:tcPr/>
          <w:p>
            <w:pPr>
              <w:pStyle w:val="Compact"/>
              <w:jc w:val="left"/>
            </w:pPr>
            <w:r>
              <w:t xml:space="preserve">¿Cuándo lleva el abrigo?</w:t>
            </w:r>
          </w:p>
        </w:tc>
      </w:tr>
      <w:tr>
        <w:tc>
          <w:tcPr/>
          <w:p>
            <w:pPr>
              <w:pStyle w:val="Compact"/>
            </w:pPr>
          </w:p>
        </w:tc>
        <w:tc>
          <w:tcPr/>
          <w:p>
            <w:pPr>
              <w:pStyle w:val="Compact"/>
              <w:jc w:val="left"/>
            </w:pPr>
            <w:r>
              <w:t xml:space="preserve">¿Cuándo miraba la luna?</w:t>
            </w:r>
          </w:p>
        </w:tc>
      </w:tr>
      <w:tr>
        <w:tc>
          <w:tcPr/>
          <w:p>
            <w:pPr>
              <w:pStyle w:val="Compact"/>
            </w:pPr>
          </w:p>
        </w:tc>
        <w:tc>
          <w:tcPr/>
          <w:p>
            <w:pPr>
              <w:pStyle w:val="Compact"/>
              <w:jc w:val="left"/>
            </w:pPr>
            <w:r>
              <w:t xml:space="preserve">¿Cuándo vendia el carro?</w:t>
            </w:r>
          </w:p>
        </w:tc>
      </w:tr>
      <w:tr>
        <w:tc>
          <w:tcPr/>
          <w:p>
            <w:pPr>
              <w:pStyle w:val="Compact"/>
            </w:pPr>
          </w:p>
        </w:tc>
        <w:tc>
          <w:tcPr/>
          <w:p>
            <w:pPr>
              <w:pStyle w:val="Compact"/>
              <w:jc w:val="left"/>
            </w:pPr>
            <w:r>
              <w:t xml:space="preserve">¿Por qué abre el regalo?</w:t>
            </w:r>
          </w:p>
        </w:tc>
      </w:tr>
      <w:tr>
        <w:tc>
          <w:tcPr/>
          <w:p>
            <w:pPr>
              <w:pStyle w:val="Compact"/>
            </w:pPr>
          </w:p>
        </w:tc>
        <w:tc>
          <w:tcPr/>
          <w:p>
            <w:pPr>
              <w:pStyle w:val="Compact"/>
              <w:jc w:val="left"/>
            </w:pPr>
            <w:r>
              <w:t xml:space="preserve">¿Por qué ama la navidad?</w:t>
            </w:r>
          </w:p>
        </w:tc>
      </w:tr>
      <w:tr>
        <w:tc>
          <w:tcPr/>
          <w:p>
            <w:pPr>
              <w:pStyle w:val="Compact"/>
            </w:pPr>
          </w:p>
        </w:tc>
        <w:tc>
          <w:tcPr/>
          <w:p>
            <w:pPr>
              <w:pStyle w:val="Compact"/>
              <w:jc w:val="left"/>
            </w:pPr>
            <w:r>
              <w:t xml:space="preserve">¿Por qué desayuna muy bien?</w:t>
            </w:r>
          </w:p>
        </w:tc>
      </w:tr>
      <w:tr>
        <w:tc>
          <w:tcPr/>
          <w:p>
            <w:pPr>
              <w:pStyle w:val="Compact"/>
            </w:pPr>
          </w:p>
        </w:tc>
        <w:tc>
          <w:tcPr/>
          <w:p>
            <w:pPr>
              <w:pStyle w:val="Compact"/>
              <w:jc w:val="left"/>
            </w:pPr>
            <w:r>
              <w:t xml:space="preserve">¿Por qué hablaba del agua?</w:t>
            </w:r>
          </w:p>
        </w:tc>
      </w:tr>
      <w:tr>
        <w:tc>
          <w:tcPr/>
          <w:p>
            <w:pPr>
              <w:pStyle w:val="Compact"/>
            </w:pPr>
          </w:p>
        </w:tc>
        <w:tc>
          <w:tcPr/>
          <w:p>
            <w:pPr>
              <w:pStyle w:val="Compact"/>
              <w:jc w:val="left"/>
            </w:pPr>
            <w:r>
              <w:t xml:space="preserve">¿Por qué iba a Bolivia?</w:t>
            </w:r>
          </w:p>
        </w:tc>
      </w:tr>
      <w:tr>
        <w:tc>
          <w:tcPr/>
          <w:p>
            <w:pPr>
              <w:pStyle w:val="Compact"/>
            </w:pPr>
          </w:p>
        </w:tc>
        <w:tc>
          <w:tcPr/>
          <w:p>
            <w:pPr>
              <w:pStyle w:val="Compact"/>
              <w:jc w:val="left"/>
            </w:pPr>
            <w:r>
              <w:t xml:space="preserve">¿Por qué odiaba la lluvia?</w:t>
            </w:r>
          </w:p>
        </w:tc>
      </w:tr>
      <w:tr>
        <w:tc>
          <w:tcPr/>
          <w:p>
            <w:pPr>
              <w:pStyle w:val="Compact"/>
            </w:pPr>
          </w:p>
        </w:tc>
        <w:tc>
          <w:tcPr/>
          <w:p>
            <w:pPr>
              <w:pStyle w:val="Compact"/>
              <w:jc w:val="left"/>
            </w:pPr>
            <w:r>
              <w:t xml:space="preserve">¿Por qué oia el río?</w:t>
            </w:r>
          </w:p>
        </w:tc>
      </w:tr>
      <w:tr>
        <w:tc>
          <w:tcPr/>
          <w:p>
            <w:pPr>
              <w:pStyle w:val="Compact"/>
            </w:pPr>
          </w:p>
        </w:tc>
        <w:tc>
          <w:tcPr/>
          <w:p>
            <w:pPr>
              <w:pStyle w:val="Compact"/>
              <w:jc w:val="left"/>
            </w:pPr>
            <w:r>
              <w:t xml:space="preserve">¿Por qué venia del lago?</w:t>
            </w:r>
          </w:p>
        </w:tc>
      </w:tr>
      <w:tr>
        <w:tc>
          <w:tcPr/>
          <w:p>
            <w:pPr>
              <w:pStyle w:val="Compact"/>
            </w:pPr>
          </w:p>
        </w:tc>
        <w:tc>
          <w:tcPr/>
          <w:p>
            <w:pPr>
              <w:pStyle w:val="Compact"/>
              <w:jc w:val="left"/>
            </w:pPr>
            <w:r>
              <w:t xml:space="preserve">¿Por qué vivia en Paris?</w:t>
            </w:r>
          </w:p>
        </w:tc>
      </w:tr>
      <w:tr>
        <w:tc>
          <w:tcPr/>
          <w:p>
            <w:pPr>
              <w:pStyle w:val="Compact"/>
              <w:jc w:val="left"/>
            </w:pPr>
            <w:r>
              <w:t xml:space="preserve">Narrow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Broad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bl>
    <w:p>
      <w:r>
        <w:br w:type="page"/>
      </w:r>
    </w:p>
    <w:bookmarkEnd w:id="201"/>
    <w:bookmarkStart w:id="205"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203" name="Picture"/>
            <a:graphic>
              <a:graphicData uri="http://schemas.openxmlformats.org/drawingml/2006/picture">
                <pic:pic>
                  <pic:nvPicPr>
                    <pic:cNvPr descr="../../figs/project_contributors.pdf" id="204" name="Picture"/>
                    <pic:cNvPicPr>
                      <a:picLocks noChangeArrowheads="1" noChangeAspect="1"/>
                    </pic:cNvPicPr>
                  </pic:nvPicPr>
                  <pic:blipFill>
                    <a:blip r:embed="rId20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205"/>
    <w:bookmarkStart w:id="206"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2022-11-08</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206"/>
    <w:bookmarkEnd w:id="20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56">
    <w:p>
      <w:pPr>
        <w:pStyle w:val="Funotentext"/>
      </w:pPr>
      <w:r>
        <w:rPr>
          <w:rStyle w:val="Funotenzeichen"/>
        </w:rPr>
        <w:footnoteRef/>
      </w:r>
      <w:r>
        <w:t xml:space="preserve"> </w:t>
      </w:r>
      <w:r>
        <w:t xml:space="preserve">While participants mentioned familiarity with U.S. Spanish, it should be noted that this variety is not a monolith, but rather carries traits of the original Spanish variety (e.g., Mexican, Puerto Rican) that is in contact with English.</w:t>
      </w:r>
    </w:p>
  </w:footnote>
  <w:footnote w:id="183">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85" Target="media/rId185.pdf" /><Relationship Type="http://schemas.openxmlformats.org/officeDocument/2006/relationships/image" Id="rId188" Target="media/rId188.pdf" /><Relationship Type="http://schemas.openxmlformats.org/officeDocument/2006/relationships/image" Id="rId57" Target="media/rId57.pdf" /><Relationship Type="http://schemas.openxmlformats.org/officeDocument/2006/relationships/image" Id="rId48" Target="media/rId48.pdf" /><Relationship Type="http://schemas.openxmlformats.org/officeDocument/2006/relationships/image" Id="rId191" Target="media/rId191.pdf" /><Relationship Type="http://schemas.openxmlformats.org/officeDocument/2006/relationships/image" Id="rId198" Target="media/rId198.pdf" /><Relationship Type="http://schemas.openxmlformats.org/officeDocument/2006/relationships/image" Id="rId195" Target="media/rId195.pdf" /><Relationship Type="http://schemas.openxmlformats.org/officeDocument/2006/relationships/image" Id="rId202" Target="media/rId202.pdf" /><Relationship Type="http://schemas.openxmlformats.org/officeDocument/2006/relationships/hyperlink" Id="rId81" Target="http://www.praat.org/" TargetMode="External" /><Relationship Type="http://schemas.openxmlformats.org/officeDocument/2006/relationships/hyperlink" Id="rId144" Target="https://doi.org/10.1007/978-3-662-45168-7_9" TargetMode="External" /><Relationship Type="http://schemas.openxmlformats.org/officeDocument/2006/relationships/hyperlink" Id="rId118" Target="https://doi.org/10.1016/0010-440X(72)90083-1" TargetMode="External" /><Relationship Type="http://schemas.openxmlformats.org/officeDocument/2006/relationships/hyperlink" Id="rId103" Target="https://doi.org/10.1016/j.bandl.2008.04.002" TargetMode="External" /><Relationship Type="http://schemas.openxmlformats.org/officeDocument/2006/relationships/hyperlink" Id="rId126" Target="https://doi.org/10.1016/j.bandl.2012.11.006" TargetMode="External" /><Relationship Type="http://schemas.openxmlformats.org/officeDocument/2006/relationships/hyperlink" Id="rId150" Target="https://doi.org/10.1016/j.jml.2010.06.005" TargetMode="External" /><Relationship Type="http://schemas.openxmlformats.org/officeDocument/2006/relationships/hyperlink" Id="rId79" Target="https://doi.org/10.1016/j.wocn.2020.100977" TargetMode="External" /><Relationship Type="http://schemas.openxmlformats.org/officeDocument/2006/relationships/hyperlink" Id="rId110" Target="https://doi.org/10.1017/9781108886901.002" TargetMode="External" /><Relationship Type="http://schemas.openxmlformats.org/officeDocument/2006/relationships/hyperlink" Id="rId93" Target="https://doi.org/10.1017/S0140525X09000545" TargetMode="External" /><Relationship Type="http://schemas.openxmlformats.org/officeDocument/2006/relationships/hyperlink" Id="rId146" Target="https://doi.org/10.1017/S0272263100013735" TargetMode="External" /><Relationship Type="http://schemas.openxmlformats.org/officeDocument/2006/relationships/hyperlink" Id="rId173" Target="https://doi.org/10.1017/S0272263106060013" TargetMode="External" /><Relationship Type="http://schemas.openxmlformats.org/officeDocument/2006/relationships/hyperlink" Id="rId71" Target="https://doi.org/10.1023/B:JADD.0000022607.19833.00" TargetMode="External" /><Relationship Type="http://schemas.openxmlformats.org/officeDocument/2006/relationships/hyperlink" Id="rId91" Target="https://doi.org/10.1037/0022-0663.96.4.671" TargetMode="External" /><Relationship Type="http://schemas.openxmlformats.org/officeDocument/2006/relationships/hyperlink" Id="rId129" Target="https://doi.org/10.1037/t47086-000" TargetMode="External" /><Relationship Type="http://schemas.openxmlformats.org/officeDocument/2006/relationships/hyperlink" Id="rId83" Target="https://doi.org/10.1075/ihll.26" TargetMode="External" /><Relationship Type="http://schemas.openxmlformats.org/officeDocument/2006/relationships/hyperlink" Id="rId62" Target="https://doi.org/10.1075/ihll.6" TargetMode="External" /><Relationship Type="http://schemas.openxmlformats.org/officeDocument/2006/relationships/hyperlink" Id="rId139" Target="https://doi.org/10.1075/jslp.2.2.01lev" TargetMode="External" /><Relationship Type="http://schemas.openxmlformats.org/officeDocument/2006/relationships/hyperlink" Id="rId112" Target="https://doi.org/10.1098/rstb.2002.1218" TargetMode="External" /><Relationship Type="http://schemas.openxmlformats.org/officeDocument/2006/relationships/hyperlink" Id="rId99" Target="https://doi.org/10.1111/cogs.12227" TargetMode="External" /><Relationship Type="http://schemas.openxmlformats.org/officeDocument/2006/relationships/hyperlink" Id="rId120" Target="https://doi.org/10.1111/j.1467-1770.1972.tb00077.x" TargetMode="External" /><Relationship Type="http://schemas.openxmlformats.org/officeDocument/2006/relationships/hyperlink" Id="rId85" Target="https://doi.org/10.1111/j.1467-1770.1973.tb00658.x" TargetMode="External" /><Relationship Type="http://schemas.openxmlformats.org/officeDocument/2006/relationships/hyperlink" Id="rId116" Target="https://doi.org/10.1111/j.1467-1770.1979.tb01059.x" TargetMode="External" /><Relationship Type="http://schemas.openxmlformats.org/officeDocument/2006/relationships/hyperlink" Id="rId161" Target="https://doi.org/10.1111/lang.12079" TargetMode="External" /><Relationship Type="http://schemas.openxmlformats.org/officeDocument/2006/relationships/hyperlink" Id="rId133" Target="https://doi.org/10.1159/000259481" TargetMode="External" /><Relationship Type="http://schemas.openxmlformats.org/officeDocument/2006/relationships/hyperlink" Id="rId68" Target="https://doi.org/10.1159/000493981" TargetMode="External" /><Relationship Type="http://schemas.openxmlformats.org/officeDocument/2006/relationships/hyperlink" Id="rId164" Target="https://doi.org/10.1162/neco.2008.12-06-420" TargetMode="External" /><Relationship Type="http://schemas.openxmlformats.org/officeDocument/2006/relationships/hyperlink" Id="rId178" Target="https://doi.org/10.1177/13621688209717" TargetMode="External" /><Relationship Type="http://schemas.openxmlformats.org/officeDocument/2006/relationships/hyperlink" Id="rId168" Target="https://doi.org/10.13140/RG.2.2.13005.31201" TargetMode="External" /><Relationship Type="http://schemas.openxmlformats.org/officeDocument/2006/relationships/hyperlink" Id="rId106" Target="https://doi.org/10.13140/RG.2.2.19401.13926" TargetMode="External" /><Relationship Type="http://schemas.openxmlformats.org/officeDocument/2006/relationships/hyperlink" Id="rId66" Target="https://doi.org/10.1371/journal.pone.0008759" TargetMode="External" /><Relationship Type="http://schemas.openxmlformats.org/officeDocument/2006/relationships/hyperlink" Id="rId166" Target="https://doi.org/10.1515/9783110215496" TargetMode="External" /><Relationship Type="http://schemas.openxmlformats.org/officeDocument/2006/relationships/hyperlink" Id="rId124" Target="https://doi.org/10.1515/shll-2010-1067" TargetMode="External" /><Relationship Type="http://schemas.openxmlformats.org/officeDocument/2006/relationships/hyperlink" Id="rId87" Target="https://doi.org/10.18637/jss.v080.i01" TargetMode="External" /><Relationship Type="http://schemas.openxmlformats.org/officeDocument/2006/relationships/hyperlink" Id="rId158" Target="https://doi.org/10.2307/3587647" TargetMode="External" /><Relationship Type="http://schemas.openxmlformats.org/officeDocument/2006/relationships/hyperlink" Id="rId141" Target="https://doi.org/10.25236/fmess.2017.55" TargetMode="External" /><Relationship Type="http://schemas.openxmlformats.org/officeDocument/2006/relationships/hyperlink" Id="rId89" Target="https://doi.org/10.32614/RJ-2018-017" TargetMode="External" /><Relationship Type="http://schemas.openxmlformats.org/officeDocument/2006/relationships/hyperlink" Id="rId175" Target="https://doi.org/10.3389/fpsyg.2015.01000" TargetMode="External" /><Relationship Type="http://schemas.openxmlformats.org/officeDocument/2006/relationships/hyperlink" Id="rId73" Target="https://doi.org/10.3389/frobt.2018.00026" TargetMode="External" /><Relationship Type="http://schemas.openxmlformats.org/officeDocument/2006/relationships/hyperlink" Id="rId114" Target="https://doi.org/10.3390/e19100555" TargetMode="External" /><Relationship Type="http://schemas.openxmlformats.org/officeDocument/2006/relationships/hyperlink" Id="rId108" Target="https://doi.org/10.3758/s13421-019-00990-w" TargetMode="External" /><Relationship Type="http://schemas.openxmlformats.org/officeDocument/2006/relationships/hyperlink" Id="rId155" Target="https://doi.org/10.3758/s13423-017-1297-5" TargetMode="External" /><Relationship Type="http://schemas.openxmlformats.org/officeDocument/2006/relationships/hyperlink" Id="rId137" Target="https://doi.org/10.3758/s13428-011-0146-0" TargetMode="External" /><Relationship Type="http://schemas.openxmlformats.org/officeDocument/2006/relationships/hyperlink" Id="rId152" Target="https://doi.org/10.5334/labphon.238" TargetMode="External" /><Relationship Type="http://schemas.openxmlformats.org/officeDocument/2006/relationships/hyperlink" Id="rId64"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81" Target="http://www.praat.org/" TargetMode="External" /><Relationship Type="http://schemas.openxmlformats.org/officeDocument/2006/relationships/hyperlink" Id="rId144" Target="https://doi.org/10.1007/978-3-662-45168-7_9" TargetMode="External" /><Relationship Type="http://schemas.openxmlformats.org/officeDocument/2006/relationships/hyperlink" Id="rId118" Target="https://doi.org/10.1016/0010-440X(72)90083-1" TargetMode="External" /><Relationship Type="http://schemas.openxmlformats.org/officeDocument/2006/relationships/hyperlink" Id="rId103" Target="https://doi.org/10.1016/j.bandl.2008.04.002" TargetMode="External" /><Relationship Type="http://schemas.openxmlformats.org/officeDocument/2006/relationships/hyperlink" Id="rId126" Target="https://doi.org/10.1016/j.bandl.2012.11.006" TargetMode="External" /><Relationship Type="http://schemas.openxmlformats.org/officeDocument/2006/relationships/hyperlink" Id="rId150" Target="https://doi.org/10.1016/j.jml.2010.06.005" TargetMode="External" /><Relationship Type="http://schemas.openxmlformats.org/officeDocument/2006/relationships/hyperlink" Id="rId79" Target="https://doi.org/10.1016/j.wocn.2020.100977" TargetMode="External" /><Relationship Type="http://schemas.openxmlformats.org/officeDocument/2006/relationships/hyperlink" Id="rId110" Target="https://doi.org/10.1017/9781108886901.002" TargetMode="External" /><Relationship Type="http://schemas.openxmlformats.org/officeDocument/2006/relationships/hyperlink" Id="rId93" Target="https://doi.org/10.1017/S0140525X09000545" TargetMode="External" /><Relationship Type="http://schemas.openxmlformats.org/officeDocument/2006/relationships/hyperlink" Id="rId146" Target="https://doi.org/10.1017/S0272263100013735" TargetMode="External" /><Relationship Type="http://schemas.openxmlformats.org/officeDocument/2006/relationships/hyperlink" Id="rId173" Target="https://doi.org/10.1017/S0272263106060013" TargetMode="External" /><Relationship Type="http://schemas.openxmlformats.org/officeDocument/2006/relationships/hyperlink" Id="rId71" Target="https://doi.org/10.1023/B:JADD.0000022607.19833.00" TargetMode="External" /><Relationship Type="http://schemas.openxmlformats.org/officeDocument/2006/relationships/hyperlink" Id="rId91" Target="https://doi.org/10.1037/0022-0663.96.4.671" TargetMode="External" /><Relationship Type="http://schemas.openxmlformats.org/officeDocument/2006/relationships/hyperlink" Id="rId129" Target="https://doi.org/10.1037/t47086-000" TargetMode="External" /><Relationship Type="http://schemas.openxmlformats.org/officeDocument/2006/relationships/hyperlink" Id="rId83" Target="https://doi.org/10.1075/ihll.26" TargetMode="External" /><Relationship Type="http://schemas.openxmlformats.org/officeDocument/2006/relationships/hyperlink" Id="rId62" Target="https://doi.org/10.1075/ihll.6" TargetMode="External" /><Relationship Type="http://schemas.openxmlformats.org/officeDocument/2006/relationships/hyperlink" Id="rId139" Target="https://doi.org/10.1075/jslp.2.2.01lev" TargetMode="External" /><Relationship Type="http://schemas.openxmlformats.org/officeDocument/2006/relationships/hyperlink" Id="rId112" Target="https://doi.org/10.1098/rstb.2002.1218" TargetMode="External" /><Relationship Type="http://schemas.openxmlformats.org/officeDocument/2006/relationships/hyperlink" Id="rId99" Target="https://doi.org/10.1111/cogs.12227" TargetMode="External" /><Relationship Type="http://schemas.openxmlformats.org/officeDocument/2006/relationships/hyperlink" Id="rId120" Target="https://doi.org/10.1111/j.1467-1770.1972.tb00077.x" TargetMode="External" /><Relationship Type="http://schemas.openxmlformats.org/officeDocument/2006/relationships/hyperlink" Id="rId85" Target="https://doi.org/10.1111/j.1467-1770.1973.tb00658.x" TargetMode="External" /><Relationship Type="http://schemas.openxmlformats.org/officeDocument/2006/relationships/hyperlink" Id="rId116" Target="https://doi.org/10.1111/j.1467-1770.1979.tb01059.x" TargetMode="External" /><Relationship Type="http://schemas.openxmlformats.org/officeDocument/2006/relationships/hyperlink" Id="rId161" Target="https://doi.org/10.1111/lang.12079" TargetMode="External" /><Relationship Type="http://schemas.openxmlformats.org/officeDocument/2006/relationships/hyperlink" Id="rId133" Target="https://doi.org/10.1159/000259481" TargetMode="External" /><Relationship Type="http://schemas.openxmlformats.org/officeDocument/2006/relationships/hyperlink" Id="rId68" Target="https://doi.org/10.1159/000493981" TargetMode="External" /><Relationship Type="http://schemas.openxmlformats.org/officeDocument/2006/relationships/hyperlink" Id="rId164" Target="https://doi.org/10.1162/neco.2008.12-06-420" TargetMode="External" /><Relationship Type="http://schemas.openxmlformats.org/officeDocument/2006/relationships/hyperlink" Id="rId178" Target="https://doi.org/10.1177/13621688209717" TargetMode="External" /><Relationship Type="http://schemas.openxmlformats.org/officeDocument/2006/relationships/hyperlink" Id="rId168" Target="https://doi.org/10.13140/RG.2.2.13005.31201" TargetMode="External" /><Relationship Type="http://schemas.openxmlformats.org/officeDocument/2006/relationships/hyperlink" Id="rId106" Target="https://doi.org/10.13140/RG.2.2.19401.13926" TargetMode="External" /><Relationship Type="http://schemas.openxmlformats.org/officeDocument/2006/relationships/hyperlink" Id="rId66" Target="https://doi.org/10.1371/journal.pone.0008759" TargetMode="External" /><Relationship Type="http://schemas.openxmlformats.org/officeDocument/2006/relationships/hyperlink" Id="rId166" Target="https://doi.org/10.1515/9783110215496" TargetMode="External" /><Relationship Type="http://schemas.openxmlformats.org/officeDocument/2006/relationships/hyperlink" Id="rId124" Target="https://doi.org/10.1515/shll-2010-1067" TargetMode="External" /><Relationship Type="http://schemas.openxmlformats.org/officeDocument/2006/relationships/hyperlink" Id="rId87" Target="https://doi.org/10.18637/jss.v080.i01" TargetMode="External" /><Relationship Type="http://schemas.openxmlformats.org/officeDocument/2006/relationships/hyperlink" Id="rId158" Target="https://doi.org/10.2307/3587647" TargetMode="External" /><Relationship Type="http://schemas.openxmlformats.org/officeDocument/2006/relationships/hyperlink" Id="rId141" Target="https://doi.org/10.25236/fmess.2017.55" TargetMode="External" /><Relationship Type="http://schemas.openxmlformats.org/officeDocument/2006/relationships/hyperlink" Id="rId89" Target="https://doi.org/10.32614/RJ-2018-017" TargetMode="External" /><Relationship Type="http://schemas.openxmlformats.org/officeDocument/2006/relationships/hyperlink" Id="rId175" Target="https://doi.org/10.3389/fpsyg.2015.01000" TargetMode="External" /><Relationship Type="http://schemas.openxmlformats.org/officeDocument/2006/relationships/hyperlink" Id="rId73" Target="https://doi.org/10.3389/frobt.2018.00026" TargetMode="External" /><Relationship Type="http://schemas.openxmlformats.org/officeDocument/2006/relationships/hyperlink" Id="rId114" Target="https://doi.org/10.3390/e19100555" TargetMode="External" /><Relationship Type="http://schemas.openxmlformats.org/officeDocument/2006/relationships/hyperlink" Id="rId108" Target="https://doi.org/10.3758/s13421-019-00990-w" TargetMode="External" /><Relationship Type="http://schemas.openxmlformats.org/officeDocument/2006/relationships/hyperlink" Id="rId155" Target="https://doi.org/10.3758/s13423-017-1297-5" TargetMode="External" /><Relationship Type="http://schemas.openxmlformats.org/officeDocument/2006/relationships/hyperlink" Id="rId137" Target="https://doi.org/10.3758/s13428-011-0146-0" TargetMode="External" /><Relationship Type="http://schemas.openxmlformats.org/officeDocument/2006/relationships/hyperlink" Id="rId152" Target="https://doi.org/10.5334/labphon.238" TargetMode="External" /><Relationship Type="http://schemas.openxmlformats.org/officeDocument/2006/relationships/hyperlink" Id="rId64"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2022-11-08T23:15:26Z</dcterms:created>
  <dcterms:modified xsi:type="dcterms:W3CDTF">2022-11-08T23:15:26Z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