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6.pdf" ContentType="application/pdf"/>
  <Override PartName="/word/media/rId28.pdf" ContentType="application/pdf"/>
  <Override PartName="/word/media/rId37.pdf" ContentType="application/pdf"/>
  <Override PartName="/word/media/rId35.pdf" ContentType="application/pdf"/>
  <Override PartName="/word/media/rId32.pdf" ContentType="application/pdf"/>
  <Override PartName="/word/media/rId31.pdf" ContentType="application/pdf"/>
  <Override PartName="/word/media/rId34.pdf" ContentType="application/pdf"/>
  <Override PartName="/word/media/rId33.pdf" ContentType="application/pdf"/>
  <Override PartName="/word/media/rId95.pdf" ContentType="application/pdf"/>
  <Override PartName="/word/media/rId9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Nicole Rodríguez</w:t>
      </w:r>
      <w:r>
        <w:rPr>
          <w:vertAlign w:val="superscript"/>
        </w:rPr>
        <w:t xml:space="preserve">2</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Robert Esposito</w:t>
      </w:r>
      <w:r>
        <w:rPr>
          <w:vertAlign w:val="superscript"/>
        </w:rPr>
        <w:t xml:space="preserve">3</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Poznan</w:t>
      </w:r>
    </w:p>
    <w:p>
      <w:pPr>
        <w:pStyle w:val="Author"/>
      </w:pPr>
      <w:r>
        <w:rPr>
          <w:vertAlign w:val="superscript"/>
        </w:rPr>
        <w:t xml:space="preserve">3</w:t>
      </w:r>
      <w:r>
        <w:t xml:space="preserve"> </w:t>
      </w:r>
      <w:r>
        <w:t xml:space="preserve">Duo-lingo</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Writing - Original Draft Preparation, Writing - Review &amp; Editing; Nicole Rodríguez: Conceptualization, Writing - Review &amp; Editing; Juan José Garrido Pozú: Conceptualization, Writing - Review &amp; Editing; Kyle Parrish: Conceptualization, Writing - Review &amp; Editing; Laura Fernández Arroyo: Conceptualization, Writing - Review &amp; Editing; Robert Esposito: Conceptualization, Writing - Review &amp; Editing; Isabelle Chang: Conceptualization, Writing - Review &amp; Editing; Kimberly Gómez: Conceptualization, Writing - Review &amp; Editing; Gabriela Constantin-Dureci: Writing - Review &amp; Editing; Jiawei Shao: Writing - Review &amp; Editing; Iván Andreu: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w:t>
      </w:r>
      <w:r>
        <w:t xml:space="preserve"> </w:t>
      </w:r>
      <w:r>
        <w:t xml:space="preserve">individual pragmatic skills in the process of learning a new language.</w:t>
      </w:r>
      <w:r>
        <w:t xml:space="preserve"> </w:t>
      </w:r>
      <w:r>
        <w:t xml:space="preserve">Notably, we focus on the role of empathy in the development of second</w:t>
      </w:r>
      <w:r>
        <w:t xml:space="preserve"> </w:t>
      </w:r>
      <w:r>
        <w:t xml:space="preserve">language (L2) prosody by analyzing the perception and processing of</w:t>
      </w:r>
      <w:r>
        <w:t xml:space="preserve"> </w:t>
      </w:r>
      <w:r>
        <w:t xml:space="preserve">intonation in questions and statements in L2 Spanish.</w:t>
      </w:r>
      <w:r>
        <w:t xml:space="preserve"> </w:t>
      </w:r>
      <w:r>
        <w:t xml:space="preserve">It is common for L2 learners to struggle with L2 intonation, often resulting</w:t>
      </w:r>
      <w:r>
        <w:t xml:space="preserve"> </w:t>
      </w:r>
      <w:r>
        <w:t xml:space="preserve">in comprehension and communication difficulties</w:t>
      </w:r>
      <w:r>
        <w:t xml:space="preserve"> </w:t>
      </w:r>
      <w:r>
        <w:t xml:space="preserve">(Trofimovich &amp; Baker, 2006)</w:t>
      </w:r>
      <w:r>
        <w:t xml:space="preserve">.</w:t>
      </w:r>
      <w:r>
        <w:t xml:space="preserve"> </w:t>
      </w:r>
      <w:r>
        <w:t xml:space="preserve">Previous research attests that learners gradually acquire target-language</w:t>
      </w:r>
      <w:r>
        <w:t xml:space="preserve"> </w:t>
      </w:r>
      <w:r>
        <w:t xml:space="preserve">prosody as they gain proficiency in the language.</w:t>
      </w:r>
      <w:r>
        <w:t xml:space="preserve"> </w:t>
      </w:r>
      <w:r>
        <w:t xml:space="preserve">Concretely, the perception and processing of L2 intonation has been shown to</w:t>
      </w:r>
      <w:r>
        <w:t xml:space="preserve"> </w:t>
      </w:r>
      <w:r>
        <w:t xml:space="preserve">improve in conjunction with proficiency conditional on intonation type</w:t>
      </w:r>
      <w:r>
        <w:t xml:space="preserve"> </w:t>
      </w:r>
      <w:r>
        <w:t xml:space="preserve">(Brandl, González, &amp; Bustin, 2020)</w:t>
      </w:r>
      <w:r>
        <w:t xml:space="preserve">, with polar (</w:t>
      </w:r>
      <w:r>
        <w:t xml:space="preserve">‘</w:t>
      </w:r>
      <w:r>
        <w:t xml:space="preserve">yes/no</w:t>
      </w:r>
      <w:r>
        <w:t xml:space="preserve">’</w:t>
      </w:r>
      <w:r>
        <w:t xml:space="preserve">) interrogatives being more difficult</w:t>
      </w:r>
      <w:r>
        <w:t xml:space="preserve"> </w:t>
      </w:r>
      <w:r>
        <w:t xml:space="preserve">to process and acquire when compared with simple statements.</w:t>
      </w:r>
      <w:r>
        <w:t xml:space="preserve"> </w:t>
      </w:r>
      <w:r>
        <w:t xml:space="preserve">The construct empathy has been shown to influence native language processing</w:t>
      </w:r>
      <w:r>
        <w:t xml:space="preserve"> </w:t>
      </w:r>
      <w:r>
        <w:t xml:space="preserve">in how listeners interpret intonation and meaning when words are ambiguous</w:t>
      </w:r>
      <w:r>
        <w:t xml:space="preserve"> </w:t>
      </w:r>
      <w:r>
        <w:t xml:space="preserve">(Esteve-Gibert et al., 2020)</w:t>
      </w:r>
      <w:r>
        <w:t xml:space="preserve">.</w:t>
      </w:r>
      <w:r>
        <w:t xml:space="preserve"> </w:t>
      </w:r>
      <w:r>
        <w:t xml:space="preserve">Importantly, higher empathy individuals, in comparison with lower empathy</w:t>
      </w:r>
      <w:r>
        <w:t xml:space="preserve"> </w:t>
      </w:r>
      <w:r>
        <w:t xml:space="preserve">individuals, appear to be more sensitive to intonation cues in the process</w:t>
      </w:r>
      <w:r>
        <w:t xml:space="preserve"> </w:t>
      </w:r>
      <w:r>
        <w:t xml:space="preserve">of forming sound-meaning associations.</w:t>
      </w:r>
      <w:r>
        <w:t xml:space="preserve"> </w:t>
      </w:r>
      <w:r>
        <w:t xml:space="preserve">We extend this research to L2 acquisition in order to determine if</w:t>
      </w:r>
      <w:r>
        <w:t xml:space="preserve"> </w:t>
      </w:r>
      <w:r>
        <w:t xml:space="preserve">individual differences in pragmatic skills affect the development of</w:t>
      </w:r>
      <w:r>
        <w:t xml:space="preserve"> </w:t>
      </w:r>
      <w:r>
        <w:t xml:space="preserve">intonation in L2 processing and sentence comprehension.</w:t>
      </w:r>
      <w:r>
        <w:t xml:space="preserve"> </w:t>
      </w:r>
      <w:r>
        <w:t xml:space="preserve">A total of N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w:t>
      </w:r>
      <w:r>
        <w:t xml:space="preserve"> </w:t>
      </w:r>
      <w:r>
        <w:t xml:space="preserve">The stimuli were randomly drawn tokens of declarative (broad, narrow focus)</w:t>
      </w:r>
      <w:r>
        <w:t xml:space="preserve"> </w:t>
      </w:r>
      <w:r>
        <w:t xml:space="preserve">and interrogative (polar, wh-) sentences, spoken by native speakers of eight</w:t>
      </w:r>
      <w:r>
        <w:t xml:space="preserve"> </w:t>
      </w:r>
      <w:r>
        <w:t xml:space="preserve">distinct varieties of Spanish (Andalusian, Argentine, Castilian, Chilean,</w:t>
      </w:r>
      <w:r>
        <w:t xml:space="preserve"> </w:t>
      </w:r>
      <w:r>
        <w:t xml:space="preserve">Cuban, Mexican, Peruvian, Puerto Rican).</w:t>
      </w:r>
      <w:r>
        <w:t xml:space="preserve"> </w:t>
      </w:r>
      <w:r>
        <w:t xml:space="preserve">The stimuli were presented aurally to the participants and subsequently</w:t>
      </w:r>
      <w:r>
        <w:t xml:space="preserve"> </w:t>
      </w:r>
      <w:r>
        <w:t xml:space="preserve">identified as questions or statements using a keyboard.</w:t>
      </w:r>
      <w:r>
        <w:t xml:space="preserve"> </w:t>
      </w:r>
      <w:r>
        <w:t xml:space="preserve">Additionally, participants completed the LexTALE vocabulary task in Spanish</w:t>
      </w:r>
      <w:r>
        <w:t xml:space="preserve"> </w:t>
      </w:r>
      <w:r>
        <w:t xml:space="preserve">(Izura, Cuetos, &amp; Brysbaert, 2014)</w:t>
      </w:r>
      <w:r>
        <w:t xml:space="preserve">, which served as a proxy for L2 proficiency, as well as</w:t>
      </w:r>
      <w:r>
        <w:t xml:space="preserve"> </w:t>
      </w:r>
      <w:r>
        <w:t xml:space="preserve">the Empathy Quotient questionnaire in English</w:t>
      </w:r>
      <w:r>
        <w:t xml:space="preserve"> </w:t>
      </w:r>
      <w:r>
        <w:t xml:space="preserve">(Baron-Cohen &amp; Wheelwright, 2004)</w:t>
      </w:r>
      <w:r>
        <w:t xml:space="preserve">, which</w:t>
      </w:r>
      <w:r>
        <w:t xml:space="preserve"> </w:t>
      </w:r>
      <w:r>
        <w:t xml:space="preserve">provided an individual assessment of the construct empathy.</w:t>
      </w:r>
      <w:r>
        <w:t xml:space="preserve"> </w:t>
      </w:r>
      <w:r>
        <w:t xml:space="preserve">We used Bayesian multilevel regression and Drift Diffusion models to analyze</w:t>
      </w:r>
      <w:r>
        <w:t xml:space="preserve"> </w:t>
      </w:r>
      <w:r>
        <w:t xml:space="preserve">the 2AFC data as a function of proficiency and empathy scores.</w:t>
      </w:r>
      <w:r>
        <w:t xml:space="preserve"> </w:t>
      </w:r>
      <w:r>
        <w:t xml:space="preserve">Proficiency and empathy were used as continuous predictors to assess their</w:t>
      </w:r>
      <w:r>
        <w:t xml:space="preserve"> </w:t>
      </w:r>
      <w:r>
        <w:t xml:space="preserve">relationship with pragmatic skill.</w:t>
      </w:r>
      <w:r>
        <w:t xml:space="preserve"> </w:t>
      </w:r>
      <w:r>
        <w:t xml:space="preserve">The results replicated findings from</w:t>
      </w:r>
      <w:r>
        <w:t xml:space="preserve"> </w:t>
      </w:r>
      <w:r>
        <w:t xml:space="preserve">Brandl et al. (2020)</w:t>
      </w:r>
      <w:r>
        <w:t xml:space="preserve"> </w:t>
      </w:r>
      <w:r>
        <w:t xml:space="preserve">showing that learner</w:t>
      </w:r>
      <w:r>
        <w:t xml:space="preserve"> </w:t>
      </w:r>
      <w:r>
        <w:t xml:space="preserve">response accuracy improved as a function of proficiency for all utterance</w:t>
      </w:r>
      <w:r>
        <w:t xml:space="preserve"> </w:t>
      </w:r>
      <w:r>
        <w:t xml:space="preserve">types.</w:t>
      </w:r>
      <w:r>
        <w:t xml:space="preserve"> </w:t>
      </w:r>
      <w:r>
        <w:t xml:space="preserve">Importantly, higher empathy scores were positively correlated with higher</w:t>
      </w:r>
      <w:r>
        <w:t xml:space="preserve"> </w:t>
      </w:r>
      <w:r>
        <w:t xml:space="preserve">accuracy in identifying polar interrogatives.</w:t>
      </w:r>
      <w:r>
        <w:t xml:space="preserve"> </w:t>
      </w:r>
      <w:r>
        <w:t xml:space="preserve">As is the case with L1 research, the present project underscores the</w:t>
      </w:r>
      <w:r>
        <w:t xml:space="preserve"> </w:t>
      </w:r>
      <w:r>
        <w:t xml:space="preserve">importance of considering individual pragmatic differences when examining</w:t>
      </w:r>
      <w:r>
        <w:t xml:space="preserve"> </w:t>
      </w:r>
      <w:r>
        <w:t xml:space="preserve">intonational meaning processing and sentence comprehension in an L2.</w:t>
      </w:r>
      <w:r>
        <w:t xml:space="preserve"> </w:t>
      </w:r>
      <w:r>
        <w:t xml:space="preserve">More notably, the results also motivate the inclusion of measures of</w:t>
      </w:r>
      <w:r>
        <w:t xml:space="preserve"> </w:t>
      </w:r>
      <w:r>
        <w:t xml:space="preserve">pragmatic skill, such as empathy, as predictors for L2 acquisition outcomes.</w:t>
      </w:r>
      <w:r>
        <w:t xml:space="preserve"> </w:t>
      </w:r>
      <w:r>
        <w:t xml:space="preserve">Furthermore, these findings highlight an area in which models of L2</w:t>
      </w:r>
      <w:r>
        <w:t xml:space="preserve"> </w:t>
      </w:r>
      <w:r>
        <w:t xml:space="preserve">development can improve in order to better account for individual</w:t>
      </w:r>
      <w:r>
        <w:t xml:space="preserve"> </w:t>
      </w:r>
      <w:r>
        <w:t xml:space="preserve">differences in L2 learning.</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X</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investigates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increasing attention has been given to how individual differences in learner backgrounds play a role in the process of L2 acquisition.</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we know that adults who learn an L2 are faced with suprasegmental challenges as well.</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As alluded to above, intonation has a semantic function, and through the adequate cognitive decoding of intonation a listener can interpret the function of a given utterance.</w:t>
      </w:r>
      <w:r>
        <w:t xml:space="preserve"> </w:t>
      </w:r>
      <w:r>
        <w:t xml:space="preserve">For example, the intonational contour can indicate whether a speakers’ utterance is declarative or interrogative in nature.</w:t>
      </w:r>
      <w:r>
        <w:t xml:space="preserve"> </w:t>
      </w:r>
      <w:r>
        <w:t xml:space="preserve">Additionally, through prosody a speaker can signal various additional pragmatic functions, such as when they present polite discourse</w:t>
      </w:r>
      <w:r>
        <w:t xml:space="preserve"> </w:t>
      </w:r>
      <w:r>
        <w:t xml:space="preserve">(Astruc et al., 2016)</w:t>
      </w:r>
      <w:r>
        <w:t xml:space="preserve">, bias or presupposition</w:t>
      </w:r>
      <w:r>
        <w:t xml:space="preserve"> </w:t>
      </w:r>
      <w:r>
        <w:t xml:space="preserve">(Henriksen et al., 2016)</w:t>
      </w:r>
      <w:r>
        <w:t xml:space="preserve">.</w:t>
      </w:r>
      <w:r>
        <w:t xml:space="preserve"> </w:t>
      </w:r>
      <w:r>
        <w:t xml:space="preserve">One essential aspect of speech comprehension is that in the presence of the same linguistic elements, listeners can arrive at different interpretations of the message</w:t>
      </w:r>
      <w:r>
        <w:t xml:space="preserve"> </w:t>
      </w:r>
      <w:r>
        <w:t xml:space="preserve">(e.g., Cain et al., 2004)</w:t>
      </w:r>
      <w:r>
        <w:t xml:space="preserve">.</w:t>
      </w:r>
    </w:p>
    <w:p>
      <w:pPr>
        <w:pStyle w:val="Textkrper"/>
      </w:pPr>
      <w:r>
        <w:t xml:space="preserve">Unsurprisingly, interpreting and decoding the numerous functions of intonational contours in an L2 makes this aspect of speech comprehension particularly challenging for the learner.</w:t>
      </w:r>
      <w:r>
        <w:t xml:space="preserve"> </w:t>
      </w:r>
      <w:r>
        <w:t xml:space="preserve">Traditionally, intonation is not taught in the L2 classroom.</w:t>
      </w:r>
      <w:r>
        <w:t xml:space="preserve"> </w:t>
      </w:r>
      <w:r>
        <w:t xml:space="preserve">Primary focus is generally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w:t>
      </w:r>
      <w:r>
        <w:t xml:space="preserve"> </w:t>
      </w:r>
      <w:r>
        <w:t xml:space="preserve">As a result, intonation is one of the last aspects of L2 phonology that learners acquire</w:t>
      </w:r>
      <w:r>
        <w:t xml:space="preserve"> </w:t>
      </w:r>
      <w:r>
        <w:t xml:space="preserve">(Kvavik &amp; Olsen, 1974)</w:t>
      </w:r>
      <w:r>
        <w:t xml:space="preserve">.</w:t>
      </w:r>
    </w:p>
    <w:p>
      <w:pPr>
        <w:pStyle w:val="Textkrper"/>
      </w:pPr>
      <w:r>
        <w:t xml:space="preserve">Research on L2 intonation has been concerned primarily with production.</w:t>
      </w:r>
      <w:r>
        <w:t xml:space="preserve"> </w:t>
      </w:r>
      <w:r>
        <w:t xml:space="preserve">Learner difficulties tend to be ascribed to L1 transfer, and models of L2 phonology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Though some researchers have considered how these models account for suprasegmental phenomenon</w:t>
      </w:r>
      <w:r>
        <w:t xml:space="preserve"> </w:t>
      </w:r>
      <w:r>
        <w:t xml:space="preserve">(See Trofimovich &amp; Baker, 2006)</w:t>
      </w:r>
      <w:r>
        <w:t xml:space="preserve">, a dearth of knowledge remains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Spanish is extensively spoken across the world, with relatively small geolectal differences between its varieties compared to other languages, such that speakers from distinct regions can still generally understand each other.</w:t>
      </w:r>
      <w:r>
        <w:t xml:space="preserve"> </w:t>
      </w:r>
      <w:r>
        <w:t xml:space="preserve">Phonetic variation, however, is abundant.</w:t>
      </w:r>
      <w:r>
        <w:t xml:space="preserve"> </w:t>
      </w:r>
      <w:r>
        <w:t xml:space="preserve">INTONATION EXAMPLES HERE FROM DE LA MOTA.</w:t>
      </w:r>
    </w:p>
    <w:p>
      <w:pPr>
        <w:pStyle w:val="Textkrper"/>
      </w:pPr>
      <w:r>
        <w:t xml:space="preserve">Previous research on the acquisition of Spanish prosody attests that learners gradually acquire target-language intonation as they gain proficiency in the language.</w:t>
      </w:r>
      <w:r>
        <w:t xml:space="preserve"> </w:t>
      </w:r>
      <w:r>
        <w:t xml:space="preserve">Research in this area has focused on speech production.</w:t>
      </w:r>
      <w:r>
        <w:t xml:space="preserve"> </w:t>
      </w:r>
      <w:r>
        <w:t xml:space="preserve">For instance,</w:t>
      </w:r>
      <w:r>
        <w:t xml:space="preserve"> </w:t>
      </w:r>
      <w:r>
        <w:t xml:space="preserve">Trimble (2013a)</w:t>
      </w:r>
      <w:r>
        <w:t xml:space="preserve"> </w:t>
      </w:r>
      <w:r>
        <w:t xml:space="preserve">analyzed L2 Spanish learners’ production of intonational patterns for broad focus declaratives and absolute interrogatives after a semester-long study abroad program.</w:t>
      </w:r>
      <w:r>
        <w:t xml:space="preserve"> </w:t>
      </w:r>
    </w:p>
    <w:p>
      <w:pPr>
        <w:pStyle w:val="Textkrper"/>
      </w:pPr>
      <w:r>
        <w:t xml:space="preserve">Research on perception of Spanish intonation also supports the notion that mastery is indeed possible for adult learners.</w:t>
      </w:r>
      <w:r>
        <w:t xml:space="preserve"> </w:t>
      </w:r>
      <w:r>
        <w:t xml:space="preserve">Trimble (2013b)</w:t>
      </w:r>
      <w:r>
        <w:t xml:space="preserve"> </w:t>
      </w:r>
      <w:r>
        <w:t xml:space="preserve">examined the perception of intonational cues …</w:t>
      </w:r>
      <w:r>
        <w:t xml:space="preserve"> </w:t>
      </w:r>
      <w:r>
        <w:t xml:space="preserve"> </w:t>
      </w:r>
      <w:r>
        <w:t xml:space="preserve">Trimble (2013b)</w:t>
      </w:r>
      <w:r>
        <w:t xml:space="preserve"> </w:t>
      </w:r>
      <w:r>
        <w:t xml:space="preserve">found that intonational cues that were absent form participants’ L1 were difficult to perceive.</w:t>
      </w:r>
      <w:r>
        <w:t xml:space="preserve"> </w:t>
      </w:r>
      <w:r>
        <w:t xml:space="preserve">Unsurprisingly, the study suggests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statements (broad-focus and narrow-focus) and questions (wh-questions and yes/no questions).</w:t>
      </w:r>
      <w:r>
        <w:t xml:space="preserve"> </w:t>
      </w:r>
      <w:r>
        <w:t xml:space="preserve">Adult English L1-Spanish L2 learners (beginner, intermediate, and advanced) and adult native speakers of Spanish completed an AX discrimination task in which they were presented with mismatched audio and visual stimuli.</w:t>
      </w:r>
      <w:r>
        <w:t xml:space="preserve"> </w:t>
      </w:r>
      <w:r>
        <w:t xml:space="preserve">Participants’ task was to decide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conditional on intonation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as acquisition progresses.</w:t>
      </w:r>
    </w:p>
    <w:p>
      <w:pPr>
        <w:pStyle w:val="Textkrper"/>
      </w:pPr>
      <w:r>
        <w:t xml:space="preserve">To summarize, the extant literature suggests that mastery of L2 perception of intonation seems feasible for adult learners, as processing speed and accuracy and both improve as L2 proficiency increases.</w:t>
      </w:r>
      <w:r>
        <w:t xml:space="preserve"> </w:t>
      </w:r>
      <w:r>
        <w:t xml:space="preserve">That being said, some utterances present more difficulties than others.</w:t>
      </w:r>
      <w:r>
        <w:t xml:space="preserve"> </w:t>
      </w:r>
      <w:r>
        <w:t xml:space="preserve">Furthermore, familiarity with the L2 variety has a positive impact on learner outcomes, which is particularly relevant given the rich phonetic variability attested in Spanish prosody.</w:t>
      </w:r>
      <w:r>
        <w:t xml:space="preserve"> </w:t>
      </w:r>
      <w:r>
        <w:t xml:space="preserve">Much less is known regarding how perceptual development is modulated by individual differences related to pragmatic skill.</w:t>
      </w:r>
      <w:r>
        <w:t xml:space="preserve"> </w:t>
      </w:r>
      <w:r>
        <w:t xml:space="preserve">Studies on monolinguals suggest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In addition, more pragmatically skilled individuals tend to rely on different phonetic cues to parse syntactically ambiguous sentences with regard to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 proxy for investigating individual pragmatic skill.</w:t>
      </w:r>
    </w:p>
    <w:p>
      <w:pPr>
        <w:pStyle w:val="Textkrper"/>
      </w:pP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r>
        <w:t xml:space="preserve"> </w:t>
      </w: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Specifically, higher empathy individuals, in comparison with lower empathy individuals, appear to be more sensitive to intonation cues in the process of forming sound-meaning associations.</w:t>
      </w:r>
      <w:r>
        <w:t xml:space="preserve"> </w:t>
      </w:r>
      <w:r>
        <w:t xml:space="preserve">In the context of this study empathy was measured using a self-reported Empathy Quotient (EQ) questionnaire</w:t>
      </w:r>
      <w:r>
        <w:t xml:space="preserve"> </w:t>
      </w:r>
      <w:r>
        <w:t xml:space="preserve">(Baron-Cohen &amp; Wheelwright, 2004)</w:t>
      </w:r>
      <w:r>
        <w:t xml:space="preserve">.</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 cane -</w:t>
      </w:r>
      <w:r>
        <w:t xml:space="preserve"> </w:t>
      </w:r>
      <w:r>
        <w:t xml:space="preserve">“</w:t>
      </w:r>
      <w:r>
        <w:t xml:space="preserve">female duck</w:t>
      </w:r>
      <w:r>
        <w:t xml:space="preserve">”</w:t>
      </w:r>
      <w:r>
        <w:t xml:space="preserve">; canne -</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the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That is, highly empathic individuals varied their looking behavior as a function of intonational cues while less empathic individuals did not.</w:t>
      </w:r>
    </w:p>
    <w:p>
      <w:pPr>
        <w:pStyle w:val="Textkrper"/>
      </w:pPr>
      <w:r>
        <w:t xml:space="preserve">In short, individuals with more pragmatic skill (higher empathy) appear to be able to use intonation to resolve temporary lexical ambiguity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r>
        <w:t xml:space="preserve"> </w:t>
      </w:r>
      <w:r>
        <w:t xml:space="preserve">To the best of our knowledge, no studies have explored the construct empathy and its relationship with L2 perceptual development.</w:t>
      </w:r>
      <w:r>
        <w:t xml:space="preserve"> </w:t>
      </w:r>
      <w:r>
        <w:t xml:space="preserve">Thus, we extend this research to the SLA context in order to determine if individual differences in pragmatic skill, concretely empathy,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perceptional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yes-no questions will present the most difficulty for L2 learners of Spanish, followed by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than lower empathy individuals.</w:t>
      </w:r>
      <w:r>
        <w:t xml:space="preserve"> </w:t>
      </w:r>
      <w:r>
        <w:t xml:space="preserve">Finally, with regard to RQ3, based on tentative findings from native speaker pilot data, we hypothesize that, overall, L2 learners will have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0" w:name="method"/>
    <w:p>
      <w:pPr>
        <w:pStyle w:val="berschrift1"/>
      </w:pPr>
      <w:r>
        <w:t xml:space="preserve">Method</w:t>
      </w:r>
    </w:p>
    <w:bookmarkStart w:id="25" w:name="participants"/>
    <w:p>
      <w:pPr>
        <w:pStyle w:val="berschrift2"/>
      </w:pPr>
      <w:r>
        <w:t xml:space="preserve">Participants</w:t>
      </w:r>
    </w:p>
    <w:p>
      <w:pPr>
        <w:pStyle w:val="FirstParagraph"/>
      </w:pPr>
      <w:r>
        <w:t xml:space="preserve">Participants were adult native speakers of English with varied levels of proficiency in Spanish (determined by the LexTALE task).</w:t>
      </w:r>
      <w:r>
        <w:t xml:space="preserve"> </w:t>
      </w:r>
      <w:r>
        <w:t xml:space="preserve">Participants were be recruited via Prolific and were be compensated at a rate of $9.52 per hour for their time.</w:t>
      </w:r>
      <w:r>
        <w:t xml:space="preserve"> </w:t>
      </w:r>
      <w:r>
        <w:t xml:space="preserve">We estimated the task would take approximately 15 minutes to complete, thus each participant was compensated with $2.70 for completing all three tasks.</w:t>
      </w:r>
    </w:p>
    <w:p>
      <w:pPr>
        <w:pStyle w:val="Textkrper"/>
      </w:pPr>
      <w:r>
        <w:t xml:space="preserve">Participants were L1 speakers of American English who ranged from functionally monolingual to highly proficient in Spanish (bilinguals).</w:t>
      </w:r>
      <w:r>
        <w:t xml:space="preserve"> </w:t>
      </w:r>
      <w:r>
        <w:t xml:space="preserve">All participants with knowledge of Spanish were adult L2 learners, operationally defined as having begun the endeavor of learning Spanish after the age of 13.</w:t>
      </w:r>
    </w:p>
    <w:p>
      <w:pPr>
        <w:pStyle w:val="Textkrper"/>
      </w:pPr>
      <w:r>
        <w:t xml:space="preserve">We planed to collect data from 300 individuals (100 monolingual Spanish speakers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we planned to recruit 100 additional participants.</w:t>
      </w:r>
    </w:p>
    <w:p>
      <w:pPr>
        <w:pStyle w:val="Textkrper"/>
      </w:pPr>
      <w:r>
        <w:t xml:space="preserve">The pool of online-recruited participants was filtered using criteria set in Prolific.ac to insure participants self-reported as being L1 English speakers born, raised, and currently living in the US with no knowledge of any languages other than English and/or Spanish.</w:t>
      </w:r>
      <w:r>
        <w:t xml:space="preserve"> </w:t>
      </w:r>
      <w:r>
        <w:t xml:space="preserve">They reported no hearing difficulties and were required to use headphones on a desktop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p>
    <w:p>
      <w:pPr>
        <w:pStyle w:val="Textkrper"/>
      </w:pP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p>
    <w:bookmarkEnd w:id="25"/>
    <w:bookmarkStart w:id="26" w:name="tasks"/>
    <w:p>
      <w:pPr>
        <w:pStyle w:val="berschrift2"/>
      </w:pPr>
      <w:r>
        <w:t xml:space="preserve">Tasks</w:t>
      </w:r>
    </w:p>
    <w:p>
      <w:pPr>
        <w:pStyle w:val="FirstParagraph"/>
      </w:pPr>
      <w:r>
        <w:t xml:space="preserve">The study consists of three tasks, given in the following order: a two-alternative forced choice task (2AFC), followed by the LexTALE, and, finally, the Empathy quotient (EQ).</w:t>
      </w:r>
    </w:p>
    <w:p>
      <w:pPr>
        <w:pStyle w:val="Textkrper"/>
      </w:pPr>
      <w:r>
        <w:rPr>
          <w:bCs/>
          <w:b/>
        </w:rPr>
        <w:t xml:space="preserve">2afc</w:t>
      </w:r>
      <w:r>
        <w:t xml:space="preserve">. In the 2AFC task participants will be presented with an audio file containing a statement (declarative: broad focus or narrow focus) or a question (yes-no or wh-).</w:t>
      </w:r>
      <w:r>
        <w:t xml:space="preserve"> </w:t>
      </w:r>
      <w:r>
        <w:t xml:space="preserve">Their task is to determine, as quickly and as accurately as possible, if the utterance they hear is a question or a statement.</w:t>
      </w:r>
      <w:r>
        <w:t xml:space="preserve"> </w:t>
      </w:r>
      <w:r>
        <w:t xml:space="preserve">Specifically, they will respond to the question</w:t>
      </w:r>
      <w:r>
        <w:t xml:space="preserve"> </w:t>
      </w:r>
      <w:r>
        <w:t xml:space="preserve">“</w:t>
      </w:r>
      <w:r>
        <w:t xml:space="preserve">Is this a question</w:t>
      </w:r>
      <w:r>
        <w:t xml:space="preserve">”</w:t>
      </w:r>
      <w:r>
        <w:t xml:space="preserve"> </w:t>
      </w:r>
      <w:r>
        <w:t xml:space="preserve">using the keyboard.</w:t>
      </w:r>
      <w:r>
        <w:t xml:space="preserve"> </w:t>
      </w:r>
      <w:r>
        <w:t xml:space="preserve">They will type</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(meaning</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(meaning</w:t>
      </w:r>
      <w:r>
        <w:t xml:space="preserve"> </w:t>
      </w:r>
      <w:r>
        <w:t xml:space="preserve">“</w:t>
      </w:r>
      <w:r>
        <w:t xml:space="preserve">no, this is not a question</w:t>
      </w:r>
      <w:r>
        <w:t xml:space="preserve">”</w:t>
      </w:r>
      <w:r>
        <w:t xml:space="preserve">).</w:t>
      </w:r>
      <w:r>
        <w:t xml:space="preserve"> </w:t>
      </w:r>
      <w:r>
        <w:t xml:space="preserve">The stimuli consist of 64 critical items, 16 of each sentence type.</w:t>
      </w:r>
      <w:r>
        <w:t xml:space="preserve"> </w:t>
      </w:r>
      <w:r>
        <w:t xml:space="preserve">To generate the stimuli, we recorded native Spanish speakers of 8 different varieties (Cuban, Castilian, Andalusian, Puerto Rican, Chilean, Argentinean, Mexican, and Peruvian).</w:t>
      </w:r>
      <w:r>
        <w:t xml:space="preserve"> </w:t>
      </w:r>
      <w:r>
        <w:t xml:space="preserve">The 8 native speakers all produced the same 64 critical items.</w:t>
      </w:r>
      <w:r>
        <w:t xml:space="preserve"> </w:t>
      </w:r>
      <w:r>
        <w:t xml:space="preserve">We segmented all utterances using Praat and normalized them for peak intensity.</w:t>
      </w:r>
      <w:r>
        <w:t xml:space="preserve"> </w:t>
      </w:r>
      <w:r>
        <w:t xml:space="preserve">The 2AFC task consists of 64 trials in which the stimuli presented are randomized across speaker variety.</w:t>
      </w:r>
      <w:r>
        <w:t xml:space="preserve"> </w:t>
      </w:r>
      <w:r>
        <w:t xml:space="preserve">Each variety has the same probability of being selected on a given trial, such that, on average, a given participant will hear each variety approximately 8 times.</w:t>
      </w:r>
      <w:r>
        <w:t xml:space="preserve"> </w:t>
      </w:r>
      <w:r>
        <w:t xml:space="preserve">The 2AFC task will be administered online using PsychoPy</w:t>
      </w:r>
      <w:r>
        <w:t xml:space="preserve"> </w:t>
      </w:r>
      <w:r>
        <w:t xml:space="preserve">(Peirce et al., 2019)</w:t>
      </w:r>
      <w:r>
        <w:t xml:space="preserve"> </w:t>
      </w:r>
      <w:r>
        <w:t xml:space="preserve">and participants will be recruited using the Prolific.ac online experimental platform.</w:t>
      </w:r>
      <w:r>
        <w:t xml:space="preserve"> </w:t>
      </w:r>
      <w:r>
        <w:t xml:space="preserve">The task takes approximately 5 minutes to complete.</w:t>
      </w:r>
    </w:p>
    <w:p>
      <w:pPr>
        <w:pStyle w:val="Textkrper"/>
      </w:pPr>
      <w:r>
        <w:t xml:space="preserve">The experimental items consisted of sentences in Spanish…</w:t>
      </w:r>
    </w:p>
    <w:p>
      <w:pPr>
        <w:pStyle w:val="Textkrper"/>
      </w:pPr>
      <w:r>
        <w:t xml:space="preserve">We piloted the 2AFC experiment on 100 native Spanish speakers to assure critical item quality and assess the difficulty of the task.</w:t>
      </w:r>
      <w:r>
        <w:t xml:space="preserve"> </w:t>
      </w:r>
      <w:r>
        <w:t xml:space="preserve">Crucially, our existing data does not include our population of interest, L2 learners.</w:t>
      </w:r>
    </w:p>
    <w:p>
      <w:pPr>
        <w:pStyle w:val="Textkrper"/>
      </w:pPr>
      <w:r>
        <w:rPr>
          <w:bCs/>
          <w:b/>
        </w:rPr>
        <w:t xml:space="preserve">LexTALE</w:t>
      </w:r>
      <w:r>
        <w:t xml:space="preserve">. The LexTALE task (Lemhöfer &amp; Broersma, 2012) is a lexical decision experiment in which the participants are presented real and nonsense words.</w:t>
      </w:r>
      <w:r>
        <w:t xml:space="preserve"> </w:t>
      </w:r>
      <w:r>
        <w:t xml:space="preserve">We will administer the Spanish version, LexTALE-ESP (Izura, Cuetos, &amp; Brysbaert, 2014).</w:t>
      </w:r>
      <w:r>
        <w:t xml:space="preserve"> </w:t>
      </w:r>
      <w:r>
        <w:t xml:space="preserve">Participants have to decide if the word they are presented is real or not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The purpose of the LexTALE task is to get an assessment of the participants’ vocabulary size in Spanish, which is assumed to be a proxy for Spanish proficiency.</w:t>
      </w:r>
      <w:r>
        <w:t xml:space="preserve"> </w:t>
      </w:r>
      <w:r>
        <w:t xml:space="preserve">The LexTALE task takes approximately 5 minutes to complete.</w:t>
      </w:r>
    </w:p>
    <w:p>
      <w:pPr>
        <w:pStyle w:val="Textkrper"/>
      </w:pPr>
      <w:r>
        <w:t xml:space="preserve">We administered the Lexical Test for Advanced Learners of Spanish</w:t>
      </w:r>
      <w:r>
        <w:t xml:space="preserve"> </w:t>
      </w:r>
      <w:r>
        <w:t xml:space="preserve">(Izura et al., 2014; LexTALE-ESP, Lemhöfer &amp; Broersma, 2012)</w:t>
      </w:r>
      <w:r>
        <w:t xml:space="preserve"> </w:t>
      </w:r>
      <w:r>
        <w:t xml:space="preserve">in order to provide a</w:t>
      </w:r>
      <w:r>
        <w:t xml:space="preserve"> </w:t>
      </w:r>
      <w:r>
        <w:t xml:space="preserve">standardized assessment of the participants’ proficiency/vocabulary size in</w:t>
      </w:r>
      <w:r>
        <w:t xml:space="preserve"> </w:t>
      </w:r>
      <w:r>
        <w:t xml:space="preserve">Spanish.</w:t>
      </w:r>
      <w:r>
        <w:t xml:space="preserve"> </w:t>
      </w:r>
      <w:r>
        <w:t xml:space="preserve">On this measure, scores can range from −20 to 60, with native speaker</w:t>
      </w:r>
      <w:r>
        <w:t xml:space="preserve"> </w:t>
      </w:r>
      <w:r>
        <w:t xml:space="preserve">values generally above 50.</w:t>
      </w:r>
      <w:r>
        <w:t xml:space="preserve"> </w:t>
      </w:r>
      <w:r>
        <w:t xml:space="preserve">Individuals with little or no knowledge of Spanish typically score from</w:t>
      </w:r>
      <w:r>
        <w:t xml:space="preserve"> </w:t>
      </w:r>
      <w:r>
        <w:t xml:space="preserve">−20 to 0.</w:t>
      </w:r>
      <w:r>
        <w:t xml:space="preserve"> </w:t>
      </w:r>
      <w:r>
        <w:t xml:space="preserve">For the purposes of the present study, proficiency is treated as a continuous</w:t>
      </w:r>
      <w:r>
        <w:t xml:space="preserve"> </w:t>
      </w:r>
      <w:r>
        <w:t xml:space="preserve">variable, thus we consider a monolingual English speaker to have little to no</w:t>
      </w:r>
      <w:r>
        <w:t xml:space="preserve"> </w:t>
      </w:r>
      <w:r>
        <w:t xml:space="preserve">proficiency in Spanish.</w:t>
      </w:r>
      <w:r>
        <w:t xml:space="preserve"> </w:t>
      </w:r>
    </w:p>
    <w:p>
      <w:pPr>
        <w:pStyle w:val="Textkrper"/>
      </w:pPr>
      <w:r>
        <w:rPr>
          <w:bCs/>
          <w:b/>
        </w:rPr>
        <w:t xml:space="preserve">Empathy Questionnaire</w:t>
      </w:r>
      <w:r>
        <w:t xml:space="preserve">. Finally, participants will complete the Empathy Quotient</w:t>
      </w:r>
      <w:r>
        <w:t xml:space="preserve"> </w:t>
      </w:r>
      <w:r>
        <w:t xml:space="preserve">(EQ, Baron-Cohen &amp; Wheelwright, 2004)</w:t>
      </w:r>
      <w:r>
        <w:t xml:space="preserve">, a 60-item questionnaire that presents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The EQ is scored to produce a single value indicating an individual’s level of empathy.</w:t>
      </w:r>
      <w:r>
        <w:t xml:space="preserve"> </w:t>
      </w:r>
      <w:r>
        <w:t xml:space="preserve">The EQ takes approximately 5 minutes to complete.</w:t>
      </w:r>
    </w:p>
    <w:bookmarkEnd w:id="26"/>
    <w:bookmarkStart w:id="27" w:name="procedure"/>
    <w:p>
      <w:pPr>
        <w:pStyle w:val="berschrift2"/>
      </w:pPr>
      <w:r>
        <w:t xml:space="preserve">Procedure</w:t>
      </w:r>
    </w:p>
    <w:p>
      <w:pPr>
        <w:pStyle w:val="FirstParagraph"/>
      </w:pPr>
      <w:r>
        <w:t xml:space="preserve">We excluded data according to the following criteria: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participants with knowledge of language other and English and Spanish.</w:t>
      </w:r>
      <w:r>
        <w:t xml:space="preserve"> </w:t>
      </w:r>
      <w:r>
        <w:t xml:space="preserve">Data from a total of 78 participants was discarded because the session timed our and/or data was incomplete.</w:t>
      </w:r>
      <w:r>
        <w:t xml:space="preserve"> </w:t>
      </w:r>
      <w:r>
        <w:t xml:space="preserve">An additional 8 participants were discarded due to low accuracy (n = 5), incomplete data (n = 2), and failed attention checks (n = 1).</w:t>
      </w:r>
      <w:r>
        <w:t xml:space="preserve"> </w:t>
      </w:r>
      <w:r>
        <w:t xml:space="preserve">A total of 224 participants met the criteria for inclusion.</w:t>
      </w:r>
    </w:p>
    <w:p>
      <w:pPr>
        <w:pStyle w:val="Textkrper"/>
      </w:pPr>
      <w:r>
        <w:t xml:space="preserve">Participants were recruited via Prolific.ac.</w:t>
      </w:r>
      <w:r>
        <w:t xml:space="preserve"> </w:t>
      </w:r>
      <w:r>
        <w:t xml:space="preserve">They completed the all three tasks in a single session.</w:t>
      </w:r>
      <w:r>
        <w:t xml:space="preserve"> </w:t>
      </w:r>
      <w:r>
        <w:t xml:space="preserve">The 2AFC task was first, followed by the LexTALE task, and, finally, the empathy quotient questionnaire.</w:t>
      </w:r>
      <w:r>
        <w:t xml:space="preserve"> </w:t>
      </w:r>
      <w:r>
        <w:t xml:space="preserve">Participants spent an average of 12.93 minutes (SD: 8.71) to finish the complete experiment.</w:t>
      </w:r>
    </w:p>
    <w:bookmarkEnd w:id="27"/>
    <w:bookmarkStart w:id="29" w:name="statistical-analyses"/>
    <w:p>
      <w:pPr>
        <w:pStyle w:val="berschrift2"/>
      </w:pPr>
      <w:r>
        <w:t xml:space="preserve">Statistical analyses</w:t>
      </w:r>
    </w:p>
    <w:p>
      <w:pPr>
        <w:pStyle w:val="FirstParagraph"/>
      </w:pPr>
      <w:r>
        <w:t xml:space="preserve">We report two primary statistical analyses that were pre-registered prior to collecting the learner data.</w:t>
      </w:r>
      <w:r>
        <w:t xml:space="preserve"> </w:t>
      </w:r>
      <w:r>
        <w:t xml:space="preserve">First, we analyzed response accuracy using Bayesian hierarchical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 proficiency (i.e., LexTALE score), empathy quotient, and the proficiency by empathy quotient interaction.</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br/>
      </w:r>
      <w:r>
        <w:t xml:space="preserve">The slope for</w:t>
      </w:r>
      <w:r>
        <w:t xml:space="preserve"> </w:t>
      </w:r>
      <w:r>
        <w:rPr>
          <w:iCs/>
          <w:i/>
        </w:rPr>
        <w:t xml:space="preserve">utterance type</w:t>
      </w:r>
      <w:r>
        <w:t xml:space="preserve"> </w:t>
      </w:r>
      <w:r>
        <w:t xml:space="preserve">varied for the participant effect, as did the proficiency by empathy quotient 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represents the probability of a learner with average proficiency and average empathy responding correctly to a yes/no question.</w:t>
      </w:r>
    </w:p>
    <w:p>
      <w:pPr>
        <w:pStyle w:val="Textkrper"/>
      </w:pPr>
      <w:r>
        <w:t xml:space="preserve">This is Figure</w:t>
      </w:r>
      <w:r>
        <w:t xml:space="preserve"> </w:t>
      </w:r>
      <w:r>
        <w:t xml:space="preserve">1</w:t>
      </w:r>
    </w:p>
    <w:p>
      <w:pPr>
        <w:pStyle w:val="CaptionedFigure"/>
      </w:pPr>
      <w:r>
        <w:drawing>
          <wp:inline>
            <wp:extent cx="5969000" cy="3410857"/>
            <wp:effectExtent b="0" l="0" r="0" t="0"/>
            <wp:docPr descr="Figure 1.   Need a caption." title="" id="1" name="Picture"/>
            <a:graphic>
              <a:graphicData uri="http://schemas.openxmlformats.org/drawingml/2006/picture">
                <pic:pic>
                  <pic:nvPicPr>
                    <pic:cNvPr descr="/Users/casillas/academia/research/in_progress/empathy_intonation_perc/figs/manuscript/ddm_explanation.pdf" id="0" name="Picture"/>
                    <pic:cNvPicPr>
                      <a:picLocks noChangeArrowheads="1" noChangeAspect="1"/>
                    </pic:cNvPicPr>
                  </pic:nvPicPr>
                  <pic:blipFill>
                    <a:blip r:embed="rId2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Need a caption.</w:t>
      </w:r>
    </w:p>
    <w:p>
      <w:pPr>
        <w:pStyle w:val="Textkrper"/>
      </w:pPr>
      <w:r>
        <w:t xml:space="preserve">The model included regularizing, weakly informative priors</w:t>
      </w:r>
      <w:r>
        <w:t xml:space="preserve"> </w:t>
      </w:r>
      <w:r>
        <w:t xml:space="preserve">(Gelman, Simpson, &amp; Betancourt, 2017)</w:t>
      </w:r>
      <w:r>
        <w:t xml:space="preserve">.</w:t>
      </w:r>
    </w:p>
    <w:p>
      <w:pPr>
        <w:pStyle w:val="Textkrper"/>
      </w:pPr>
      <w:r>
        <w:t xml:space="preserve">We established a region of practical equivalence (ROPE) of ± 0.05 around a point null value of 0</w:t>
      </w:r>
      <w:r>
        <w:t xml:space="preserve"> </w:t>
      </w:r>
      <w:r>
        <w:t xml:space="preserve">(see Kruschke, 2018)</w:t>
      </w:r>
      <w:r>
        <w:t xml:space="preserve">.</w:t>
      </w:r>
      <w:r>
        <w:t xml:space="preserve"> </w:t>
      </w:r>
      <w:r>
        <w:t xml:space="preserve">We will sample the posterior distribution of the model for statistical inferences.</w:t>
      </w:r>
      <w:r>
        <w:t xml:space="preserve"> </w:t>
      </w:r>
      <w:r>
        <w:t xml:space="preserve">A region of practical equivalence (ROPE) will be established around a point null value of 0</w:t>
      </w:r>
      <w:r>
        <w:t xml:space="preserve"> </w:t>
      </w:r>
      <w:r>
        <w:t xml:space="preserve">(Kruschke, 2018)</w:t>
      </w:r>
      <w:r>
        <w:t xml:space="preserve"> </w:t>
      </w:r>
      <w:r>
        <w:t xml:space="preserve">using the following formula:</w:t>
      </w:r>
    </w:p>
    <w:p>
      <w:pPr>
        <w:pStyle w:val="Textkrper"/>
      </w:pPr>
      <m:oMathPara>
        <m:oMathParaPr>
          <m:jc m:val="center"/>
        </m:oMathParaPr>
        <m:oMath>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a posterior distribution for a parameter β in which 95% of the HDI falls outside the ROPE and a high MPE (i.e., values close to 1) were taken as compelling evidence for a given effect.</w:t>
      </w:r>
      <w:r>
        <w:t xml:space="preserve"> </w:t>
      </w:r>
      <w:r>
        <w:t xml:space="preserve">All exploratory analyses, explicitly described as such, include posterior point estimates, the 95% HDI and the MPE.</w:t>
      </w:r>
      <w:r>
        <w:t xml:space="preserve"> </w:t>
      </w:r>
      <w:r>
        <w:t xml:space="preserve">The analyses were conducted in R and models fit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p>
    <w:bookmarkEnd w:id="29"/>
    <w:bookmarkEnd w:id="30"/>
    <w:bookmarkStart w:id="38" w:name="results"/>
    <w:p>
      <w:pPr>
        <w:pStyle w:val="berschrift1"/>
      </w:pPr>
      <w:r>
        <w:t xml:space="preserve">Results</w:t>
      </w:r>
    </w:p>
    <w:p>
      <w:pPr>
        <w:pStyle w:val="FirstParagraph"/>
      </w:pPr>
      <w:r>
        <w:t xml:space="preserve">This is Figure</w:t>
      </w:r>
      <w:r>
        <w:t xml:space="preserve"> </w:t>
      </w:r>
      <w:r>
        <w:t xml:space="preserve">2</w:t>
      </w:r>
    </w:p>
    <w:p>
      <w:pPr>
        <w:pStyle w:val="CaptionedFigure"/>
      </w:pPr>
      <w:r>
        <w:drawing>
          <wp:inline>
            <wp:extent cx="5969000" cy="3410857"/>
            <wp:effectExtent b="0" l="0" r="0" t="0"/>
            <wp:docPr descr="Figure 2.   Response accuracy: Probability of a correct response for each utterance type in the logistic space." title="" id="1" name="Picture"/>
            <a:graphic>
              <a:graphicData uri="http://schemas.openxmlformats.org/drawingml/2006/picture">
                <pic:pic>
                  <pic:nvPicPr>
                    <pic:cNvPr descr="/Users/casillas/academia/research/in_progress/empathy_intonation_perc/figs/manuscript/learner_accuracy_by_utterance_type.pdf" id="0" name="Picture"/>
                    <pic:cNvPicPr>
                      <a:picLocks noChangeArrowheads="1" noChangeAspect="1"/>
                    </pic:cNvPicPr>
                  </pic:nvPicPr>
                  <pic:blipFill>
                    <a:blip r:embed="rId31"/>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Response accuracy: Probability of a correct response for each utterance type in the logistic space.</w:t>
      </w:r>
    </w:p>
    <w:p>
      <w:pPr>
        <w:pStyle w:val="Textkrper"/>
      </w:pPr>
      <w:r>
        <w:t xml:space="preserve">This is Figure</w:t>
      </w:r>
      <w:r>
        <w:t xml:space="preserve"> </w:t>
      </w:r>
      <w:r>
        <w:t xml:space="preserve">3</w:t>
      </w:r>
    </w:p>
    <w:p>
      <w:pPr>
        <w:pStyle w:val="CaptionedFigure"/>
      </w:pPr>
      <w:r>
        <w:drawing>
          <wp:inline>
            <wp:extent cx="5969000" cy="3410857"/>
            <wp:effectExtent b="0" l="0" r="0" t="0"/>
            <wp:docPr descr="Figure 3.   Response accuracy: Partially pooled estimates for each speaker variety." title="" id="1" name="Picture"/>
            <a:graphic>
              <a:graphicData uri="http://schemas.openxmlformats.org/drawingml/2006/picture">
                <pic:pic>
                  <pic:nvPicPr>
                    <pic:cNvPr descr="/Users/casillas/academia/research/in_progress/empathy_intonation_perc/figs/manuscript/learner_accuracy_by_speaker_variety.pdf" id="0" name="Picture"/>
                    <pic:cNvPicPr>
                      <a:picLocks noChangeArrowheads="1" noChangeAspect="1"/>
                    </pic:cNvPicPr>
                  </pic:nvPicPr>
                  <pic:blipFill>
                    <a:blip r:embed="rId3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Response accuracy: Partially pooled estimates for each speaker variety.</w:t>
      </w:r>
    </w:p>
    <w:p>
      <w:pPr>
        <w:pStyle w:val="Textkrper"/>
      </w:pPr>
      <w:r>
        <w:t xml:space="preserve">This is Figure</w:t>
      </w:r>
      <w:r>
        <w:t xml:space="preserve"> </w:t>
      </w:r>
      <w:r>
        <w:t xml:space="preserve">4</w:t>
      </w:r>
    </w:p>
    <w:p>
      <w:pPr>
        <w:pStyle w:val="CaptionedFigure"/>
      </w:pPr>
      <w:r>
        <w:drawing>
          <wp:inline>
            <wp:extent cx="5969000" cy="3410857"/>
            <wp:effectExtent b="0" l="0" r="0" t="0"/>
            <wp:docPr descr="Figure 4.   Response accuracy: Probability of a correct response in the logistic space as a function of LexTALE score (A) and LexTALE score for each utterance type (B). Colored lines represent 300 draws from the posterior distribution." title="" id="1" name="Picture"/>
            <a:graphic>
              <a:graphicData uri="http://schemas.openxmlformats.org/drawingml/2006/picture">
                <pic:pic>
                  <pic:nvPicPr>
                    <pic:cNvPr descr="/Users/casillas/academia/research/in_progress/empathy_intonation_perc/figs/manuscript/learner_accuracy_lextale_by_utterance_type.pdf" id="0" name="Picture"/>
                    <pic:cNvPicPr>
                      <a:picLocks noChangeArrowheads="1" noChangeAspect="1"/>
                    </pic:cNvPicPr>
                  </pic:nvPicPr>
                  <pic:blipFill>
                    <a:blip r:embed="rId3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Response accuracy: Probability of a correct response in the logistic space as a function of LexTALE score (A) and LexTALE score for each utterance type (B). Colored lines represent 300 draws from the posterior distribution.</w:t>
      </w:r>
    </w:p>
    <w:p>
      <w:pPr>
        <w:pStyle w:val="Textkrper"/>
      </w:pPr>
      <w:r>
        <w:t xml:space="preserve">This is Figure</w:t>
      </w:r>
      <w:r>
        <w:t xml:space="preserve"> </w:t>
      </w:r>
      <w:r>
        <w:t xml:space="preserve">5</w:t>
      </w:r>
    </w:p>
    <w:p>
      <w:pPr>
        <w:pStyle w:val="CaptionedFigure"/>
      </w:pPr>
      <w:r>
        <w:drawing>
          <wp:inline>
            <wp:extent cx="5969000" cy="3410857"/>
            <wp:effectExtent b="0" l="0" r="0" t="0"/>
            <wp:docPr descr="Figure 5.   Response accuracy: Probability of a correct response in the logistic space as a function of empathy quotient (A) and empathy quotient for each utterance type (B). Colored lines represent 300 draws from the posterior distribution." title="" id="1" name="Picture"/>
            <a:graphic>
              <a:graphicData uri="http://schemas.openxmlformats.org/drawingml/2006/picture">
                <pic:pic>
                  <pic:nvPicPr>
                    <pic:cNvPr descr="/Users/casillas/academia/research/in_progress/empathy_intonation_perc/figs/manuscript/learner_accuracy_empathy_by_utterance_type.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Response accuracy: Probability of a correct response in the logistic space as a function of empathy quotient (A) and empathy quotient for each utterance type (B). Colored lines represent 300 draws from the posterior distribution.</w:t>
      </w:r>
    </w:p>
    <w:p>
      <w:pPr>
        <w:pStyle w:val="Textkrper"/>
      </w:pPr>
      <w:r>
        <w:t xml:space="preserve">This is Figure</w:t>
      </w:r>
      <w:r>
        <w:t xml:space="preserve"> </w:t>
      </w:r>
      <w:r>
        <w:t xml:space="preserve">6</w:t>
      </w:r>
    </w:p>
    <w:p>
      <w:pPr>
        <w:pStyle w:val="CaptionedFigure"/>
      </w:pPr>
      <w:r>
        <w:drawing>
          <wp:inline>
            <wp:extent cx="5969000" cy="3410857"/>
            <wp:effectExtent b="0" l="0" r="0" t="0"/>
            <wp:docPr descr="Figure 6.   Response accuracy: Probability of a correct response as a function of empathy quotient and LexTALE score for each question type."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Response accuracy: Probability of a correct response as a function of empathy quotient and LexTALE score for each question type.</w:t>
      </w:r>
    </w:p>
    <w:p>
      <w:pPr>
        <w:pStyle w:val="Textkrper"/>
      </w:pPr>
      <w:r>
        <w:t xml:space="preserve">This is Figure</w:t>
      </w:r>
      <w:r>
        <w:t xml:space="preserve"> </w:t>
      </w:r>
      <w:r>
        <w:t xml:space="preserve">7</w:t>
      </w:r>
    </w:p>
    <w:p>
      <w:pPr>
        <w:pStyle w:val="CaptionedFigure"/>
      </w:pPr>
      <w:r>
        <w:drawing>
          <wp:inline>
            <wp:extent cx="5969000" cy="3410857"/>
            <wp:effectExtent b="0" l="0" r="0" t="0"/>
            <wp:docPr descr="Figure 7.   Need a caption." title="" id="1" name="Picture"/>
            <a:graphic>
              <a:graphicData uri="http://schemas.openxmlformats.org/drawingml/2006/picture">
                <pic:pic>
                  <pic:nvPicPr>
                    <pic:cNvPr descr="/Users/casillas/academia/research/in_progress/empathy_intonation_perc/figs/manuscript/ddm_bs_dr_estimates.pdf" id="0" name="Picture"/>
                    <pic:cNvPicPr>
                      <a:picLocks noChangeArrowheads="1" noChangeAspect="1"/>
                    </pic:cNvPicPr>
                  </pic:nvPicPr>
                  <pic:blipFill>
                    <a:blip r:embed="rId36"/>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Need a caption.</w:t>
      </w:r>
    </w:p>
    <w:p>
      <w:pPr>
        <w:pStyle w:val="Textkrper"/>
      </w:pPr>
      <w:r>
        <w:t xml:space="preserve">This is Figure</w:t>
      </w:r>
      <w:r>
        <w:t xml:space="preserve"> </w:t>
      </w:r>
      <w:r>
        <w:t xml:space="preserve">8</w:t>
      </w:r>
    </w:p>
    <w:p>
      <w:pPr>
        <w:pStyle w:val="CaptionedFigure"/>
      </w:pPr>
      <w:r>
        <w:drawing>
          <wp:inline>
            <wp:extent cx="5969000" cy="3581400"/>
            <wp:effectExtent b="0" l="0" r="0" t="0"/>
            <wp:docPr descr="Figure 8.   Two-thousand simulations of the drift diffusion model for interrogative utterances as a function of empathy quotient (low/high) and LexTALE score (low/high). Low and high levels represent ±2 standard deviations above/below the mean. Dark red lines represent the average decision time course."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7"/>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Dark red lines represent the average decision time course.</w:t>
      </w:r>
    </w:p>
    <w:bookmarkEnd w:id="38"/>
    <w:bookmarkStart w:id="39" w:name="discussion"/>
    <w:p>
      <w:pPr>
        <w:pStyle w:val="berschrift1"/>
      </w:pPr>
      <w:r>
        <w:t xml:space="preserve">Discussion</w:t>
      </w:r>
    </w:p>
    <w:bookmarkEnd w:id="39"/>
    <w:bookmarkStart w:id="40" w:name="conclusion"/>
    <w:p>
      <w:pPr>
        <w:pStyle w:val="berschrift1"/>
      </w:pPr>
      <w:r>
        <w:t xml:space="preserve">Conclusion</w:t>
      </w:r>
    </w:p>
    <w:p>
      <w:r>
        <w:br w:type="page"/>
      </w:r>
    </w:p>
    <w:bookmarkEnd w:id="40"/>
    <w:bookmarkStart w:id="93" w:name="references"/>
    <w:p>
      <w:pPr>
        <w:pStyle w:val="berschrift1"/>
      </w:pPr>
      <w:r>
        <w:t xml:space="preserve">References</w:t>
      </w:r>
    </w:p>
    <w:bookmarkStart w:id="92" w:name="refs"/>
    <w:bookmarkStart w:id="42"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41">
        <w:r>
          <w:rPr>
            <w:rStyle w:val="Hyperlink"/>
          </w:rPr>
          <w:t xml:space="preserve">https://doi.org/10.1075/ihll.6</w:t>
        </w:r>
      </w:hyperlink>
    </w:p>
    <w:bookmarkEnd w:id="42"/>
    <w:bookmarkStart w:id="43"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3"/>
    <w:bookmarkStart w:id="45"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44">
        <w:r>
          <w:rPr>
            <w:rStyle w:val="Hyperlink"/>
          </w:rPr>
          <w:t xml:space="preserve">https://doi.org/10.1023/B:JADD.0000022607.19833.00</w:t>
        </w:r>
      </w:hyperlink>
    </w:p>
    <w:bookmarkEnd w:id="45"/>
    <w:bookmarkStart w:id="46"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46"/>
    <w:bookmarkStart w:id="47" w:name="ref-bishop2016individual"/>
    <w:p>
      <w:pPr>
        <w:pStyle w:val="Literaturverzeichnis"/>
      </w:pPr>
      <w:r>
        <w:t xml:space="preserve">Bishop, J., &amp; Kuo, G. (2016). Do "autistic-like"" personality traits predict prosody perception?</w:t>
      </w:r>
      <w:r>
        <w:t xml:space="preserve"> </w:t>
      </w:r>
      <w:r>
        <w:rPr>
          <w:iCs/>
          <w:i/>
        </w:rPr>
        <w:t xml:space="preserve">Talk presented at LabPhon15 satellite workshop on personality in speech perception and production, ithaca, NY.</w:t>
      </w:r>
    </w:p>
    <w:bookmarkEnd w:id="47"/>
    <w:bookmarkStart w:id="49"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48">
        <w:r>
          <w:rPr>
            <w:rStyle w:val="Hyperlink"/>
          </w:rPr>
          <w:t xml:space="preserve">https://doi.org/10.1075/ihll.26</w:t>
        </w:r>
      </w:hyperlink>
    </w:p>
    <w:bookmarkEnd w:id="49"/>
    <w:bookmarkStart w:id="51"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50">
        <w:r>
          <w:rPr>
            <w:rStyle w:val="Hyperlink"/>
          </w:rPr>
          <w:t xml:space="preserve">https://doi.org/10.18637/jss.v080.i01</w:t>
        </w:r>
      </w:hyperlink>
    </w:p>
    <w:bookmarkEnd w:id="51"/>
    <w:bookmarkStart w:id="53"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52">
        <w:r>
          <w:rPr>
            <w:rStyle w:val="Hyperlink"/>
          </w:rPr>
          <w:t xml:space="preserve">https://doi.org/10.32614/RJ-2018-017</w:t>
        </w:r>
      </w:hyperlink>
    </w:p>
    <w:bookmarkEnd w:id="53"/>
    <w:bookmarkStart w:id="55"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54">
        <w:r>
          <w:rPr>
            <w:rStyle w:val="Hyperlink"/>
          </w:rPr>
          <w:t xml:space="preserve">https://doi.org/10.1037/0022-0663.96.4.671</w:t>
        </w:r>
      </w:hyperlink>
    </w:p>
    <w:bookmarkEnd w:id="55"/>
    <w:bookmarkStart w:id="57"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56">
        <w:r>
          <w:rPr>
            <w:rStyle w:val="Hyperlink"/>
          </w:rPr>
          <w:t xml:space="preserve">https://doi.org/10.1017/S0140525X09000545</w:t>
        </w:r>
      </w:hyperlink>
    </w:p>
    <w:bookmarkEnd w:id="57"/>
    <w:bookmarkStart w:id="59"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58">
        <w:r>
          <w:rPr>
            <w:rStyle w:val="Hyperlink"/>
          </w:rPr>
          <w:t xml:space="preserve">https://doi.org/10.1111/cogs.12227</w:t>
        </w:r>
      </w:hyperlink>
    </w:p>
    <w:bookmarkEnd w:id="59"/>
    <w:bookmarkStart w:id="60"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60"/>
    <w:bookmarkStart w:id="62"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61">
        <w:r>
          <w:rPr>
            <w:rStyle w:val="Hyperlink"/>
          </w:rPr>
          <w:t xml:space="preserve">https://doi.org/10.13140/RG.2.2.19401.13926</w:t>
        </w:r>
      </w:hyperlink>
    </w:p>
    <w:bookmarkEnd w:id="62"/>
    <w:bookmarkStart w:id="64"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 1–15.</w:t>
      </w:r>
      <w:r>
        <w:t xml:space="preserve"> </w:t>
      </w:r>
      <w:hyperlink r:id="rId63">
        <w:r>
          <w:rPr>
            <w:rStyle w:val="Hyperlink"/>
          </w:rPr>
          <w:t xml:space="preserve">https://doi.org/10.3758/s13421-019-00990-w</w:t>
        </w:r>
      </w:hyperlink>
    </w:p>
    <w:bookmarkEnd w:id="64"/>
    <w:bookmarkStart w:id="65" w:name="ref-flege2021revised"/>
    <w:p>
      <w:pPr>
        <w:pStyle w:val="Literaturverzeichnis"/>
      </w:pPr>
      <w:r>
        <w:t xml:space="preserve">Flege, J. E., &amp; Bohn, O.-S. (2021). The revised speech learning model (SLM-r).</w:t>
      </w:r>
      <w:r>
        <w:t xml:space="preserve"> </w:t>
      </w:r>
      <w:r>
        <w:rPr>
          <w:iCs/>
          <w:i/>
        </w:rPr>
        <w:t xml:space="preserve">Second Language Speech Learning: Theoretical and Empirical Progress</w:t>
      </w:r>
      <w:r>
        <w:t xml:space="preserve">, 3–83.</w:t>
      </w:r>
    </w:p>
    <w:bookmarkEnd w:id="65"/>
    <w:bookmarkStart w:id="67"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66">
        <w:r>
          <w:rPr>
            <w:rStyle w:val="Hyperlink"/>
          </w:rPr>
          <w:t xml:space="preserve">https://doi.org/10.1098/rstb.2002.1218</w:t>
        </w:r>
      </w:hyperlink>
    </w:p>
    <w:bookmarkEnd w:id="67"/>
    <w:bookmarkStart w:id="69"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68">
        <w:r>
          <w:rPr>
            <w:rStyle w:val="Hyperlink"/>
          </w:rPr>
          <w:t xml:space="preserve">https://doi.org/10.3390/e19100555</w:t>
        </w:r>
      </w:hyperlink>
    </w:p>
    <w:bookmarkEnd w:id="69"/>
    <w:bookmarkStart w:id="70"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41">
        <w:r>
          <w:rPr>
            <w:rStyle w:val="Hyperlink"/>
          </w:rPr>
          <w:t xml:space="preserve">https://doi.org/10.1075/ihll.6</w:t>
        </w:r>
      </w:hyperlink>
    </w:p>
    <w:bookmarkEnd w:id="70"/>
    <w:bookmarkStart w:id="72"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71">
        <w:r>
          <w:rPr>
            <w:rStyle w:val="Hyperlink"/>
          </w:rPr>
          <w:t xml:space="preserve">https://doi.org/10.1037/t47086-000</w:t>
        </w:r>
      </w:hyperlink>
    </w:p>
    <w:bookmarkEnd w:id="72"/>
    <w:bookmarkStart w:id="73" w:name="ref-kruschke2018rejecting"/>
    <w:p>
      <w:pPr>
        <w:pStyle w:val="Literaturverzeichnis"/>
      </w:pPr>
      <w:r>
        <w:t xml:space="preserve">Kruschke, J. K. (2018). Rejecting or accepting parameter values in bayesian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73"/>
    <w:bookmarkStart w:id="75"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74">
        <w:r>
          <w:rPr>
            <w:rStyle w:val="Hyperlink"/>
          </w:rPr>
          <w:t xml:space="preserve">https://doi.org/10.1159/000259481</w:t>
        </w:r>
      </w:hyperlink>
    </w:p>
    <w:bookmarkEnd w:id="75"/>
    <w:bookmarkStart w:id="77"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76">
        <w:r>
          <w:rPr>
            <w:rStyle w:val="Hyperlink"/>
          </w:rPr>
          <w:t xml:space="preserve">https://doi.org/10.3758/s13428-011-0146-0</w:t>
        </w:r>
      </w:hyperlink>
    </w:p>
    <w:bookmarkEnd w:id="77"/>
    <w:bookmarkStart w:id="79"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78">
        <w:r>
          <w:rPr>
            <w:rStyle w:val="Hyperlink"/>
          </w:rPr>
          <w:t xml:space="preserve">https://doi.org/10.1016/j.jml.2010.06.005</w:t>
        </w:r>
      </w:hyperlink>
    </w:p>
    <w:bookmarkEnd w:id="79"/>
    <w:bookmarkStart w:id="81"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80">
        <w:r>
          <w:rPr>
            <w:rStyle w:val="Hyperlink"/>
          </w:rPr>
          <w:t xml:space="preserve">https://doi.org/10.5334/labphon.238</w:t>
        </w:r>
      </w:hyperlink>
    </w:p>
    <w:bookmarkEnd w:id="81"/>
    <w:bookmarkStart w:id="82"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82"/>
    <w:bookmarkStart w:id="84"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83">
        <w:r>
          <w:rPr>
            <w:rStyle w:val="Hyperlink"/>
          </w:rPr>
          <w:t xml:space="preserve">https://doi.org/10.1111/lang.12079</w:t>
        </w:r>
      </w:hyperlink>
    </w:p>
    <w:bookmarkEnd w:id="84"/>
    <w:bookmarkStart w:id="85"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85"/>
    <w:bookmarkStart w:id="86"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86"/>
    <w:bookmarkStart w:id="87"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87"/>
    <w:bookmarkStart w:id="89"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 1–30.</w:t>
      </w:r>
      <w:r>
        <w:t xml:space="preserve"> </w:t>
      </w:r>
      <w:hyperlink r:id="rId88">
        <w:r>
          <w:rPr>
            <w:rStyle w:val="Hyperlink"/>
          </w:rPr>
          <w:t xml:space="preserve">https://doi.org/10.1017/S0272263106060013</w:t>
        </w:r>
      </w:hyperlink>
    </w:p>
    <w:bookmarkEnd w:id="89"/>
    <w:bookmarkStart w:id="91"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90">
        <w:r>
          <w:rPr>
            <w:rStyle w:val="Hyperlink"/>
          </w:rPr>
          <w:t xml:space="preserve">https://doi.org/10.3389/fpsyg.2015.01000</w:t>
        </w:r>
      </w:hyperlink>
    </w:p>
    <w:bookmarkEnd w:id="91"/>
    <w:bookmarkEnd w:id="92"/>
    <w:p>
      <w:pPr>
        <w:pStyle w:val="h1-pagebreak"/>
      </w:pPr>
      <w:r>
        <w:t xml:space="preserve">Appendix</w:t>
      </w:r>
    </w:p>
    <w:bookmarkEnd w:id="93"/>
    <w:bookmarkStart w:id="99" w:name="on-line-supplementary-material"/>
    <w:p>
      <w:pPr>
        <w:pStyle w:val="berschrift1"/>
      </w:pPr>
      <w:r>
        <w:t xml:space="preserve">On-line supplementary material</w:t>
      </w:r>
    </w:p>
    <w:bookmarkStart w:id="94" w:name="drift-diffusion-models"/>
    <w:p>
      <w:pPr>
        <w:pStyle w:val="berschrift2"/>
      </w:pPr>
      <w:r>
        <w:t xml:space="preserve">Drift diffusion models</w:t>
      </w:r>
    </w:p>
    <w:p>
      <w:r>
        <w:br w:type="page"/>
      </w:r>
    </w:p>
    <w:bookmarkEnd w:id="94"/>
    <w:bookmarkStart w:id="97" w:name="supplementary-analyses"/>
    <w:p>
      <w:pPr>
        <w:pStyle w:val="berschrift2"/>
      </w:pPr>
      <w:r>
        <w:t xml:space="preserve">Supplementary analyses</w:t>
      </w:r>
    </w:p>
    <w:p>
      <w:pPr>
        <w:pStyle w:val="FirstParagraph"/>
      </w:pPr>
      <w:r>
        <w:t xml:space="preserve">This is Figure</w:t>
      </w:r>
      <w:r>
        <w:t xml:space="preserve"> </w:t>
      </w:r>
      <w:r>
        <w:t xml:space="preserve">9</w:t>
      </w:r>
    </w:p>
    <w:p>
      <w:pPr>
        <w:pStyle w:val="CaptionedFigure"/>
      </w:pPr>
      <w:r>
        <w:drawing>
          <wp:inline>
            <wp:extent cx="5969000" cy="3410857"/>
            <wp:effectExtent b="0" l="0" r="0" t="0"/>
            <wp:docPr descr="Figure 9.   Make sure each variety represented equally over course of experiment."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9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Make sure each variety represented equally over course of experiment.</w:t>
      </w:r>
    </w:p>
    <w:p>
      <w:pPr>
        <w:pStyle w:val="Textkrper"/>
      </w:pPr>
      <w:r>
        <w:t xml:space="preserve">This is Figure</w:t>
      </w:r>
      <w:r>
        <w:t xml:space="preserve"> </w:t>
      </w:r>
      <w:r>
        <w:t xml:space="preserve">10</w:t>
      </w:r>
    </w:p>
    <w:p>
      <w:pPr>
        <w:pStyle w:val="CaptionedFigure"/>
      </w:pPr>
      <w:r>
        <w:drawing>
          <wp:inline>
            <wp:extent cx="5969000" cy="3410857"/>
            <wp:effectExtent b="0" l="0" r="0" t="0"/>
            <wp:docPr descr="Figure 10.   Make sure each variety represented equally over course of experiment."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96"/>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  </w:t>
      </w:r>
      <w:r>
        <w:t xml:space="preserve"> </w:t>
      </w:r>
      <w:r>
        <w:t xml:space="preserve">Make sure each variety represented equally over course of experiment.</w:t>
      </w:r>
    </w:p>
    <w:p>
      <w:r>
        <w:br w:type="page"/>
      </w:r>
    </w:p>
    <w:bookmarkEnd w:id="97"/>
    <w:bookmarkStart w:id="98"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w:t>
      </w:r>
      <w:r>
        <w:rPr>
          <w:bCs/>
          <w:b/>
        </w:rPr>
        <w:t xml:space="preserve">R-papaja?</w:t>
      </w:r>
      <w:r>
        <w:t xml:space="preserve">)</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2021-12-17</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0.2.0 2021-07-19</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0.28 2021-11-04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98"/>
    <w:bookmarkEnd w:id="99"/>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6" Target="media/rId36.pdf" /><Relationship Type="http://schemas.openxmlformats.org/officeDocument/2006/relationships/image" Id="rId28" Target="media/rId28.pdf" /><Relationship Type="http://schemas.openxmlformats.org/officeDocument/2006/relationships/image" Id="rId37" Target="media/rId37.pdf" /><Relationship Type="http://schemas.openxmlformats.org/officeDocument/2006/relationships/image" Id="rId35" Target="media/rId35.pdf" /><Relationship Type="http://schemas.openxmlformats.org/officeDocument/2006/relationships/image" Id="rId32" Target="media/rId32.pdf" /><Relationship Type="http://schemas.openxmlformats.org/officeDocument/2006/relationships/image" Id="rId31" Target="media/rId31.pdf" /><Relationship Type="http://schemas.openxmlformats.org/officeDocument/2006/relationships/image" Id="rId34" Target="media/rId34.pdf" /><Relationship Type="http://schemas.openxmlformats.org/officeDocument/2006/relationships/image" Id="rId33" Target="media/rId33.pdf" /><Relationship Type="http://schemas.openxmlformats.org/officeDocument/2006/relationships/image" Id="rId95" Target="media/rId95.pdf" /><Relationship Type="http://schemas.openxmlformats.org/officeDocument/2006/relationships/image" Id="rId96" Target="media/rId96.pdf" /><Relationship Type="http://schemas.openxmlformats.org/officeDocument/2006/relationships/hyperlink" Id="rId78" Target="https://doi.org/10.1016/j.jml.2010.06.005" TargetMode="External" /><Relationship Type="http://schemas.openxmlformats.org/officeDocument/2006/relationships/hyperlink" Id="rId56" Target="https://doi.org/10.1017/S0140525X09000545" TargetMode="External" /><Relationship Type="http://schemas.openxmlformats.org/officeDocument/2006/relationships/hyperlink" Id="rId88" Target="https://doi.org/10.1017/S0272263106060013" TargetMode="External" /><Relationship Type="http://schemas.openxmlformats.org/officeDocument/2006/relationships/hyperlink" Id="rId44" Target="https://doi.org/10.1023/B:JADD.0000022607.19833.00" TargetMode="External" /><Relationship Type="http://schemas.openxmlformats.org/officeDocument/2006/relationships/hyperlink" Id="rId54" Target="https://doi.org/10.1037/0022-0663.96.4.671" TargetMode="External" /><Relationship Type="http://schemas.openxmlformats.org/officeDocument/2006/relationships/hyperlink" Id="rId71" Target="https://doi.org/10.1037/t47086-000" TargetMode="External" /><Relationship Type="http://schemas.openxmlformats.org/officeDocument/2006/relationships/hyperlink" Id="rId48" Target="https://doi.org/10.1075/ihll.26" TargetMode="External" /><Relationship Type="http://schemas.openxmlformats.org/officeDocument/2006/relationships/hyperlink" Id="rId41" Target="https://doi.org/10.1075/ihll.6" TargetMode="External" /><Relationship Type="http://schemas.openxmlformats.org/officeDocument/2006/relationships/hyperlink" Id="rId66" Target="https://doi.org/10.1098/rstb.2002.1218" TargetMode="External" /><Relationship Type="http://schemas.openxmlformats.org/officeDocument/2006/relationships/hyperlink" Id="rId58" Target="https://doi.org/10.1111/cogs.12227" TargetMode="External" /><Relationship Type="http://schemas.openxmlformats.org/officeDocument/2006/relationships/hyperlink" Id="rId83" Target="https://doi.org/10.1111/lang.12079" TargetMode="External" /><Relationship Type="http://schemas.openxmlformats.org/officeDocument/2006/relationships/hyperlink" Id="rId74" Target="https://doi.org/10.1159/000259481" TargetMode="External" /><Relationship Type="http://schemas.openxmlformats.org/officeDocument/2006/relationships/hyperlink" Id="rId61" Target="https://doi.org/10.13140/RG.2.2.19401.13926" TargetMode="External" /><Relationship Type="http://schemas.openxmlformats.org/officeDocument/2006/relationships/hyperlink" Id="rId50" Target="https://doi.org/10.18637/jss.v080.i01" TargetMode="External" /><Relationship Type="http://schemas.openxmlformats.org/officeDocument/2006/relationships/hyperlink" Id="rId52" Target="https://doi.org/10.32614/RJ-2018-017" TargetMode="External" /><Relationship Type="http://schemas.openxmlformats.org/officeDocument/2006/relationships/hyperlink" Id="rId90" Target="https://doi.org/10.3389/fpsyg.2015.01000" TargetMode="External" /><Relationship Type="http://schemas.openxmlformats.org/officeDocument/2006/relationships/hyperlink" Id="rId68" Target="https://doi.org/10.3390/e19100555" TargetMode="External" /><Relationship Type="http://schemas.openxmlformats.org/officeDocument/2006/relationships/hyperlink" Id="rId63" Target="https://doi.org/10.3758/s13421-019-00990-w" TargetMode="External" /><Relationship Type="http://schemas.openxmlformats.org/officeDocument/2006/relationships/hyperlink" Id="rId76" Target="https://doi.org/10.3758/s13428-011-0146-0" TargetMode="External" /><Relationship Type="http://schemas.openxmlformats.org/officeDocument/2006/relationships/hyperlink" Id="rId80" Target="https://doi.org/10.5334/labphon.238"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78" Target="https://doi.org/10.1016/j.jml.2010.06.005" TargetMode="External" /><Relationship Type="http://schemas.openxmlformats.org/officeDocument/2006/relationships/hyperlink" Id="rId56" Target="https://doi.org/10.1017/S0140525X09000545" TargetMode="External" /><Relationship Type="http://schemas.openxmlformats.org/officeDocument/2006/relationships/hyperlink" Id="rId88" Target="https://doi.org/10.1017/S0272263106060013" TargetMode="External" /><Relationship Type="http://schemas.openxmlformats.org/officeDocument/2006/relationships/hyperlink" Id="rId44" Target="https://doi.org/10.1023/B:JADD.0000022607.19833.00" TargetMode="External" /><Relationship Type="http://schemas.openxmlformats.org/officeDocument/2006/relationships/hyperlink" Id="rId54" Target="https://doi.org/10.1037/0022-0663.96.4.671" TargetMode="External" /><Relationship Type="http://schemas.openxmlformats.org/officeDocument/2006/relationships/hyperlink" Id="rId71" Target="https://doi.org/10.1037/t47086-000" TargetMode="External" /><Relationship Type="http://schemas.openxmlformats.org/officeDocument/2006/relationships/hyperlink" Id="rId48" Target="https://doi.org/10.1075/ihll.26" TargetMode="External" /><Relationship Type="http://schemas.openxmlformats.org/officeDocument/2006/relationships/hyperlink" Id="rId41" Target="https://doi.org/10.1075/ihll.6" TargetMode="External" /><Relationship Type="http://schemas.openxmlformats.org/officeDocument/2006/relationships/hyperlink" Id="rId66" Target="https://doi.org/10.1098/rstb.2002.1218" TargetMode="External" /><Relationship Type="http://schemas.openxmlformats.org/officeDocument/2006/relationships/hyperlink" Id="rId58" Target="https://doi.org/10.1111/cogs.12227" TargetMode="External" /><Relationship Type="http://schemas.openxmlformats.org/officeDocument/2006/relationships/hyperlink" Id="rId83" Target="https://doi.org/10.1111/lang.12079" TargetMode="External" /><Relationship Type="http://schemas.openxmlformats.org/officeDocument/2006/relationships/hyperlink" Id="rId74" Target="https://doi.org/10.1159/000259481" TargetMode="External" /><Relationship Type="http://schemas.openxmlformats.org/officeDocument/2006/relationships/hyperlink" Id="rId61" Target="https://doi.org/10.13140/RG.2.2.19401.13926" TargetMode="External" /><Relationship Type="http://schemas.openxmlformats.org/officeDocument/2006/relationships/hyperlink" Id="rId50" Target="https://doi.org/10.18637/jss.v080.i01" TargetMode="External" /><Relationship Type="http://schemas.openxmlformats.org/officeDocument/2006/relationships/hyperlink" Id="rId52" Target="https://doi.org/10.32614/RJ-2018-017" TargetMode="External" /><Relationship Type="http://schemas.openxmlformats.org/officeDocument/2006/relationships/hyperlink" Id="rId90" Target="https://doi.org/10.3389/fpsyg.2015.01000" TargetMode="External" /><Relationship Type="http://schemas.openxmlformats.org/officeDocument/2006/relationships/hyperlink" Id="rId68" Target="https://doi.org/10.3390/e19100555" TargetMode="External" /><Relationship Type="http://schemas.openxmlformats.org/officeDocument/2006/relationships/hyperlink" Id="rId63" Target="https://doi.org/10.3758/s13421-019-00990-w" TargetMode="External" /><Relationship Type="http://schemas.openxmlformats.org/officeDocument/2006/relationships/hyperlink" Id="rId76" Target="https://doi.org/10.3758/s13428-011-0146-0" TargetMode="External" /><Relationship Type="http://schemas.openxmlformats.org/officeDocument/2006/relationships/hyperlink" Id="rId80" Target="https://doi.org/10.5334/labphon.238"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2021-12-17T06:36:32Z</dcterms:created>
  <dcterms:modified xsi:type="dcterms:W3CDTF">2021-12-17T06:36:32Z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X</vt:lpwstr>
  </property>
</Properties>
</file>