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practices</w:t>
      </w:r>
      <w:r>
        <w:t xml:space="preserve"> </w:t>
      </w:r>
      <w:r>
        <w:t xml:space="preserve">of</w:t>
      </w:r>
      <w:r>
        <w:t xml:space="preserve"> </w:t>
      </w:r>
      <w:r>
        <w:t xml:space="preserve">open</w:t>
      </w:r>
      <w:r>
        <w:t xml:space="preserve"> </w:t>
      </w:r>
      <w:r>
        <w:t xml:space="preserve">science</w:t>
      </w:r>
      <w:r>
        <w:t xml:space="preserve"> </w:t>
      </w:r>
      <w:r>
        <w:t xml:space="preserve">in</w:t>
      </w:r>
      <w:r>
        <w:t xml:space="preserve"> </w:t>
      </w:r>
      <w:r>
        <w:t xml:space="preserve">linguistics</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Reproducibile research, Positionality, Linguistics</w:t>
      </w:r>
    </w:p>
    <w:p>
      <w:pPr>
        <w:pStyle w:val="BodyText"/>
      </w:pPr>
      <w:r>
        <w:rPr>
          <w:iCs/>
          <w:i/>
        </w:rPr>
        <w:t xml:space="preserve">Word count:</w:t>
      </w:r>
      <w:r>
        <w:t xml:space="preserve"> </w:t>
      </w:r>
      <w:r>
        <w:t xml:space="preserve">xxx</w:t>
      </w:r>
    </w:p>
    <w:p>
      <w:r>
        <w:br w:type="page"/>
      </w:r>
    </w:p>
    <w:bookmarkEnd w:id="20"/>
    <w:bookmarkStart w:id="21" w:name="Xb681ef11cae6522f5c79dcbdde29f9550228899"/>
    <w:p>
      <w:pPr>
        <w:pStyle w:val="Heading1"/>
      </w:pPr>
      <w:r>
        <w:t xml:space="preserve">Opening open science to all: Demystifying practices of open science in linguistics research</w:t>
      </w:r>
    </w:p>
    <w:bookmarkEnd w:id="21"/>
    <w:bookmarkStart w:id="22"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reproducible research practices and transparency.</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Though it may come as a surprise to some, the open, transparent research practices described by</w:t>
      </w:r>
      <w:r>
        <w:t xml:space="preserve"> </w:t>
      </w:r>
      <w:r>
        <w:t xml:space="preserve">Parsons et al. (2022)</w:t>
      </w:r>
      <w:r>
        <w:t xml:space="preserve"> </w:t>
      </w:r>
      <w:r>
        <w:t xml:space="preserve">have not been the norm in empirical and quantitative sciences.</w:t>
      </w:r>
      <w:r>
        <w:t xml:space="preserve"> </w:t>
      </w:r>
      <w:r>
        <w:t xml:space="preserve">To properly contextualize the need for open science, one must first consider the reproducibility crisis.</w:t>
      </w:r>
      <w:r>
        <w:t xml:space="preserve"> </w:t>
      </w:r>
      <w:r>
        <w:t xml:space="preserve">In the early 2010’s, several fields of research embarked on large-scale replication projects to scrutinize what many considered to be their major findings.</w:t>
      </w:r>
      <w:r>
        <w:t xml:space="preserve"> </w:t>
      </w:r>
      <w:r>
        <w:t xml:space="preserve">One example of these projects took place in psychology where a team of researchers attempted to replicate 100 of the most influential findings</w:t>
      </w:r>
      <w:r>
        <w:t xml:space="preserve"> </w:t>
      </w:r>
      <w:r>
        <w:t xml:space="preserve">(Open Science Collaboration, 2015)</w:t>
      </w:r>
      <w:r>
        <w:t xml:space="preserve">.</w:t>
      </w:r>
      <w:r>
        <w:t xml:space="preserve"> </w:t>
      </w:r>
      <w:r>
        <w:t xml:space="preserve">The project found that approximately 53% of the major findings did not replicate and inspired similar large-scale replication projects in other fields, yielding similar results in economics</w:t>
      </w:r>
      <w:r>
        <w:t xml:space="preserve"> </w:t>
      </w:r>
      <w:r>
        <w:t xml:space="preserve">(Camerer et al., 2016)</w:t>
      </w:r>
      <w:r>
        <w:t xml:space="preserve">, social sciences</w:t>
      </w:r>
      <w:r>
        <w:t xml:space="preserve"> </w:t>
      </w:r>
      <w:r>
        <w:t xml:space="preserve">(Camerer et al., 2018)</w:t>
      </w:r>
      <w:r>
        <w:t xml:space="preserve">, and cancer research</w:t>
      </w:r>
      <w:r>
        <w:t xml:space="preserve"> </w:t>
      </w:r>
      <w:r>
        <w:t xml:space="preserve">(Errington et al., 2021)</w:t>
      </w:r>
      <w:r>
        <w:t xml:space="preserve">.</w:t>
      </w:r>
      <w:r>
        <w:t xml:space="preserve"> </w:t>
      </w:r>
      <w:r>
        <w:t xml:space="preserve">Unsurprisingly, the results generated an uproar in the psychological sciences and the alarming findings are now collectively referred to as the replication (or reproducibility) crisis.</w:t>
      </w:r>
    </w:p>
    <w:p>
      <w:pPr>
        <w:pStyle w:val="BodyText"/>
      </w:pPr>
      <w:r>
        <w:t xml:space="preserve">Researchers have pointed to questionable research practices (QRPs), p-hacking, HARKing, small sample sizes, poor theory, lack of transparency, etc. as factors that ultimately led to the replication crisis, though it is likely that other factors were at play.</w:t>
      </w:r>
      <w:r>
        <w:t xml:space="preserve"> </w:t>
      </w:r>
      <w:r>
        <w:t xml:space="preserve">In the aftermath of the replication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have slowly but surely made their way into adjacent fields.</w:t>
      </w:r>
      <w:r>
        <w:t xml:space="preserve"> </w:t>
      </w:r>
      <w:r>
        <w:t xml:space="preserve">While many agree that open science practices represent a positive step in improving scientific rigor, these practices, by and large, have not been adopted in the field of linguistics [].</w:t>
      </w:r>
      <w:r>
        <w:t xml:space="preserve"> </w:t>
      </w:r>
      <w:r>
        <w:t xml:space="preserve">One reason for this may be related to the fact that engaging in open science is not a trivial feat.</w:t>
      </w:r>
      <w:r>
        <w:t xml:space="preserve"> </w:t>
      </w:r>
      <w:r>
        <w:t xml:space="preserve">It requires learning new skills, thoughtful planning, as well as an openness and willingness to share materials, code, and data.</w:t>
      </w:r>
      <w:r>
        <w:t xml:space="preserve"> </w:t>
      </w:r>
      <w:r>
        <w:t xml:space="preserve">Given how new open science is, current senior researchers were not trained in these innovative methodologies.</w:t>
      </w:r>
      <w:r>
        <w:t xml:space="preserve"> </w:t>
      </w:r>
      <w:r>
        <w:t xml:space="preserve">As a consequence, many early career researchers (ERC) are forced to learn open science on their own, often without departmental support.</w:t>
      </w:r>
      <w:r>
        <w:t xml:space="preserve"> </w:t>
      </w:r>
      <w:r>
        <w:t xml:space="preserve">The present work intends to help make open science practices understandable and accessible to researchers in the speech sciences from all backgrounds and at every stage, from students/ERCs to senior researchers and advisors.</w:t>
      </w:r>
      <w:r>
        <w:t xml:space="preserve"> </w:t>
      </w:r>
      <w:r>
        <w:t xml:space="preserve">To this end, we highlight X areas in which linguists can engage in open science: Literate programming, Open data, Positionality statements, Preprints, Preregistration, Registered reports, Reproducible code/projects.</w:t>
      </w:r>
      <w:r>
        <w:t xml:space="preserve"> </w:t>
      </w:r>
      <w:r>
        <w:t xml:space="preserve">Specifically, we provide practical examples and detailed descriptions of the aforementioned areas of open science with the goal of helping the interested reader commence their journey of engaging in open science practices in their own research.</w:t>
      </w:r>
    </w:p>
    <w:bookmarkEnd w:id="22"/>
    <w:bookmarkStart w:id="23" w:name="open-data"/>
    <w:p>
      <w:pPr>
        <w:pStyle w:val="Heading1"/>
      </w:pPr>
      <w:r>
        <w:t xml:space="preserve">Open data</w:t>
      </w:r>
    </w:p>
    <w:p>
      <w:pPr>
        <w:pStyle w:val="FirstParagraph"/>
      </w:pPr>
      <w:r>
        <w:t xml:space="preserve">Open data and science is rooted in Aristotle’s methodological principles, emphasizes openness and sharing in scientific discovery</w:t>
      </w:r>
      <w:r>
        <w:t xml:space="preserve"> </w:t>
      </w:r>
      <w:r>
        <w:t xml:space="preserve">(Barnes et al., 1995)</w:t>
      </w:r>
      <w:r>
        <w:t xml:space="preserve">.</w:t>
      </w:r>
      <w:r>
        <w:t xml:space="preserve"> </w:t>
      </w:r>
      <w:r>
        <w:t xml:space="preserve">Open science, as defined by</w:t>
      </w:r>
      <w:r>
        <w:t xml:space="preserve"> </w:t>
      </w:r>
      <w:r>
        <w:t xml:space="preserve">Parsons et al. (2022)</w:t>
      </w:r>
      <w:r>
        <w:t xml:space="preserve">, is an broad concept aimed at making scientific knowledge more accessible and inclusive.</w:t>
      </w:r>
      <w:r>
        <w:t xml:space="preserve"> </w:t>
      </w:r>
      <w:r>
        <w:t xml:space="preserve">The approach emphasizes the importance of transparency, rigor, reproducibility, replication, accumulation, and inclusivity in scientific research.</w:t>
      </w:r>
    </w:p>
    <w:p>
      <w:pPr>
        <w:pStyle w:val="BodyText"/>
      </w:pPr>
      <w:r>
        <w:t xml:space="preserve">The importance of open data in scientific research has grown significantly, particularly in light of the reproducibility crisis affecting fields like biology, psychology, and linguistics.</w:t>
      </w:r>
      <w:r>
        <w:t xml:space="preserve"> </w:t>
      </w:r>
      <w:r>
        <w:t xml:space="preserve">This crisis, characterized by difficulties in replicating study results due to unavailable supporting data, underscores the crucial need for open data.</w:t>
      </w:r>
      <w:r>
        <w:t xml:space="preserve"> </w:t>
      </w: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p>
    <w:p>
      <w:pPr>
        <w:pStyle w:val="BodyText"/>
      </w:pPr>
      <w:r>
        <w:t xml:space="preserve">To address this issue, major academic journals have started mandating the provision of raw data alongside publications.</w:t>
      </w:r>
      <w:r>
        <w:t xml:space="preserve"> </w:t>
      </w:r>
      <w:r>
        <w:t xml:space="preserve">The requirement ensures that research is not only reproducible but also contributes to the cumulative body of knowledge.</w:t>
      </w:r>
      <w:r>
        <w:t xml:space="preserve"> </w:t>
      </w:r>
      <w:r>
        <w:t xml:space="preserve">The Open Science tendency emerged as a response to these widespread issues in scientific research, tackling the lack of accessibility, transparency, credibility, and reproducibility</w:t>
      </w:r>
      <w:r>
        <w:t xml:space="preserve"> </w:t>
      </w:r>
      <w:r>
        <w:t xml:space="preserve">(Spellman, Gilbert, &amp; Corker, 2017; Syed, 2019)</w:t>
      </w:r>
      <w:r>
        <w:t xml:space="preserve">.</w:t>
      </w:r>
      <w:r>
        <w:t xml:space="preserve"> </w:t>
      </w:r>
      <w:r>
        <w:t xml:space="preserve">Open data thus becomes a cornerstone for researchers striving to make meaningful contributions to their fields and the broader scientific discourse.</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r>
        <w:t xml:space="preserve"> </w:t>
      </w:r>
      <w:r>
        <w:t xml:space="preserve">At the same time, ethical considerations are key in this linguistic research example.</w:t>
      </w:r>
      <w:r>
        <w:t xml:space="preserve"> </w:t>
      </w:r>
      <w:r>
        <w:t xml:space="preserve">The privacy and consent of participants must be safeguarded, especially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The ultimate decision on the extent and method of data sharing in research rests with the Principal Investigator (PI).</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r>
        <w:t xml:space="preserve"> </w:t>
      </w:r>
      <w:r>
        <w:t xml:space="preserve">Following are the methods and reasons why a researcher should ensure the availability of their data.</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Open data significantly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r>
        <w:t xml:space="preserve"> </w:t>
      </w:r>
      <w:r>
        <w:t xml:space="preserve">One effective method of data sharing involves providing a detailed, written version of the code used for data analysis and visualizations, like tables and figures.</w:t>
      </w:r>
      <w:r>
        <w:t xml:space="preserve"> </w:t>
      </w:r>
      <w:r>
        <w:t xml:space="preserve">This practice enables others, including the researchers themselves in the future, to reproduce the exact results reported in their manuscripts.</w:t>
      </w:r>
    </w:p>
    <w:p>
      <w:pPr>
        <w:pStyle w:val="BodyText"/>
      </w:pPr>
      <w:r>
        <w:t xml:space="preserve">Sharing comprehensive data and methodologies in research not only highlights a commitment to transparency and reproducibility but also strengthens a researcher’s reputation within the academic community.</w:t>
      </w:r>
      <w:r>
        <w:t xml:space="preserve"> </w:t>
      </w:r>
      <w:r>
        <w:t xml:space="preserve">Open data acts as a catalyst, enriching the training of new researchers, reducing unnecessary experiments, and ensuring data preservation for future studies.</w:t>
      </w:r>
      <w:r>
        <w:t xml:space="preserve"> </w:t>
      </w:r>
      <w:r>
        <w:t xml:space="preserve">This approach is crucial for replication efforts, a core component of credible research.</w:t>
      </w:r>
      <w:r>
        <w:t xml:space="preserve"> </w:t>
      </w:r>
      <w:r>
        <w:t xml:space="preserve">Furthermore, open data bridges the gap between complex academic work and public understanding, spurring innovation across various sectors and democratizing knowledge access, thereby contributing to the development of a knowledge-driven society.</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3"/>
    <w:bookmarkStart w:id="24" w:name="positionality-statements"/>
    <w:p>
      <w:pPr>
        <w:pStyle w:val="Heading1"/>
      </w:pPr>
      <w:r>
        <w:t xml:space="preserve">Positionality statements</w:t>
      </w:r>
    </w:p>
    <w:p>
      <w:pPr>
        <w:pStyle w:val="FirstParagraph"/>
      </w:pPr>
      <w:r>
        <w:t xml:space="preserve">A positionality statement is a reflective piece of writing that acknowledges researchers’ stance - or position -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w:t>
      </w:r>
      <w:r>
        <w:t xml:space="preserve">or may even offer different responses based on the researcher’s perceived identity</w:t>
      </w:r>
      <w:r>
        <w:t xml:space="preserve"> </w:t>
      </w:r>
      <w:r>
        <w:t xml:space="preserve">(Berger, 2015)</w:t>
      </w:r>
      <w:r>
        <w:t xml:space="preserve">.</w:t>
      </w:r>
      <w:r>
        <w:t xml:space="preserve"> </w:t>
      </w: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While traditionally, positionality statements have been more prevalent in qualitative research, they should be considered equally important in quantitative research, since, aside from contributing to ongoing efforts to promote transparency and openness in research practices, recognizing and addressing the researcher’s positionality can increase the validity of the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researchers’ positionality may be especially important in linguistics,</w:t>
      </w:r>
      <w:r>
        <w:t xml:space="preserve"> </w:t>
      </w:r>
      <w:r>
        <w:t xml:space="preserve">“</w:t>
      </w:r>
      <w:r>
        <w:t xml:space="preserve">which relies on racially minoritized communities as sources of data yet lack adequate (if any) representation of those communities among faculty researchers</w:t>
      </w:r>
      <w:r>
        <w:t xml:space="preserve">”</w:t>
      </w:r>
      <w:r>
        <w:t xml:space="preserve"> </w:t>
      </w:r>
      <w:r>
        <w:t xml:space="preserve">(p. 2).</w:t>
      </w:r>
      <w:r>
        <w:t xml:space="preserve"> </w:t>
      </w:r>
      <w:r>
        <w:t xml:space="preserve">However, although many researchers support and advocate for the inclusion of positionality statements in their research publications</w:t>
      </w:r>
      <w:r>
        <w:t xml:space="preserve"> </w:t>
      </w:r>
      <w:r>
        <w:t xml:space="preserve">(e.g., Bucholtz et al., 2023; Jafar, 2018; Steltenpohl et al., 2022)</w:t>
      </w:r>
      <w:r>
        <w:t xml:space="preserve">, others are contesting this practice, pointing to the universalism of research or, in other words,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Additionally,</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(see the Journal of Social and Personal Relationships).</w:t>
      </w:r>
      <w:r>
        <w:t xml:space="preserve"> </w:t>
      </w:r>
      <w:r>
        <w:t xml:space="preserve">Therefore, researchers should reflect on their positionality before starting a project and write a positionality statement.</w:t>
      </w:r>
      <w:r>
        <w:t xml:space="preserve"> </w:t>
      </w:r>
      <w:r>
        <w:t xml:space="preserve">When submitting a study for publication, the positionality statement can be included in additional materials if the word limit is a concern.</w:t>
      </w:r>
    </w:p>
    <w:p>
      <w:pPr>
        <w:pStyle w:val="BodyText"/>
      </w:pPr>
      <w:r>
        <w:t xml:space="preserve">In sum, positionality statements are critical in linguistic research as they promote critical self-reflection, increase transparency, and help address diversity and inclusion concerns.</w:t>
      </w:r>
      <w:r>
        <w:t xml:space="preserve"> </w:t>
      </w:r>
      <w:r>
        <w:t xml:space="preserve">Additionally,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4"/>
    <w:bookmarkStart w:id="32" w:name="preregistration-and-registered-reports"/>
    <w:p>
      <w:pPr>
        <w:pStyle w:val="Heading1"/>
      </w:pPr>
      <w:r>
        <w:t xml:space="preserve">Preregistration and registered reports</w:t>
      </w:r>
    </w:p>
    <w:p>
      <w:pPr>
        <w:pStyle w:val="FirstParagraph"/>
      </w:pPr>
      <w:r>
        <w:t xml:space="preserve">A preregistration stands as a meticulously timestamped document that delineates comprehensive details about a study, encompassing research questions, hypotheses, methodologies, and analytic strategies.</w:t>
      </w:r>
      <w:r>
        <w:t xml:space="preserve"> </w:t>
      </w:r>
      <w:r>
        <w:t xml:space="preserve">As a pivotal facet of rigorous research, distinguishing itself from fellow open science methodologies like registered reports and preprints, a preregistration is written prior to data collection sans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 supplementing the fundamental information.</w:t>
      </w:r>
      <w:r>
        <w:t xml:space="preserve"> </w:t>
      </w:r>
      <w:r>
        <w:t xml:space="preserve">In this section will delve deeper into the various constituents adaptable to a preregistration, centering on its advantageous impact on linguistic research.</w:t>
      </w:r>
      <w:r>
        <w:t xml:space="preserve"> </w:t>
      </w:r>
      <w:r>
        <w:t xml:space="preserve">Specifically, it will expound upon the actors involved (who), the rationale driving this practice(why), its content(what), and the procedural intricacies(how), elucidating the process of preregistering a study within the realm of linguistics.</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questionable research practices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beyond linguists, the practice of preregistration extends its benefits to a broader audience, encompassing students, professionals, and academics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is termed as</w:t>
      </w:r>
      <w:r>
        <w:t xml:space="preserve"> </w:t>
      </w:r>
      <w:r>
        <w:t xml:space="preserve">“</w:t>
      </w:r>
      <w:r>
        <w:t xml:space="preserve">researcher degree of freedom</w:t>
      </w:r>
      <w:r>
        <w:t xml:space="preserve">”</w:t>
      </w:r>
      <w:r>
        <w:t xml:space="preserve">.</w:t>
      </w:r>
      <w:r>
        <w:t xml:space="preserve"> </w:t>
      </w:r>
      <w:r>
        <w:t xml:space="preserve">For instance, envision a phonetician intrigued by exploring lexical stress. 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questionable research practices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prior to and post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dependent upon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w:t>
      </w:r>
      <w:r>
        <w:t xml:space="preserve"> </w:t>
      </w:r>
      <w:r>
        <w:t xml:space="preserve">Presented here are select levels of detail as suggestions to help gauge the extent of information to incorporate into your preregistration (See</w:t>
      </w:r>
      <w:r>
        <w:t xml:space="preserve"> </w:t>
      </w:r>
      <w:hyperlink w:anchor="fig-detail">
        <w:r>
          <w:rPr>
            <w:rStyle w:val="Hyperlink"/>
          </w:rPr>
          <w:t xml:space="preserve">Figure 1</w:t>
        </w:r>
      </w:hyperlink>
      <w:r>
        <w:t xml:space="preserve">).</w:t>
      </w:r>
      <w:r>
        <w:t xml:space="preserve"> </w:t>
      </w:r>
      <w:r>
        <w:t xml:space="preserve">The shading denotes the degree of detail; darker shades signify more exhaustive information (thus requiring more work).</w:t>
      </w:r>
      <w:r>
        <w:t xml:space="preserve"> </w:t>
      </w:r>
      <w:r>
        <w:t xml:space="preserve">It’s worth noting that flexibility allows for varying levels of detail in different sections.</w:t>
      </w:r>
    </w:p>
    <w:tbl>
      <w:tblPr>
        <w:tblStyle w:val="Table"/>
        <w:tblW w:type="pct" w:w="5000"/>
        <w:tblLook w:firstRow="0" w:lastRow="0" w:firstColumn="0" w:lastColumn="0" w:noHBand="0" w:noVBand="0" w:val="0000"/>
        <w:jc w:val="start"/>
      </w:tblPr>
      <w:tblGrid>
        <w:gridCol w:w="7920"/>
      </w:tblGrid>
      <w:tr>
        <w:tc>
          <w:tcPr/>
          <w:bookmarkStart w:id="28" w:name="fig-detail"/>
          <w:p>
            <w:pPr>
              <w:jc w:val="center"/>
            </w:pPr>
            <w:r>
              <w:drawing>
                <wp:inline>
                  <wp:extent cx="5943600" cy="4769954"/>
                  <wp:effectExtent b="0" l="0" r="0" t="0"/>
                  <wp:docPr descr="" title="" id="26" name="Picture"/>
                  <a:graphic>
                    <a:graphicData uri="http://schemas.openxmlformats.org/drawingml/2006/picture">
                      <pic:pic>
                        <pic:nvPicPr>
                          <pic:cNvPr descr="./figs/levels_of_detail.png" id="27" name="Picture"/>
                          <pic:cNvPicPr>
                            <a:picLocks noChangeArrowheads="1" noChangeAspect="1"/>
                          </pic:cNvPicPr>
                        </pic:nvPicPr>
                        <pic:blipFill>
                          <a:blip r:embed="rId25"/>
                          <a:stretch>
                            <a:fillRect/>
                          </a:stretch>
                        </pic:blipFill>
                        <pic:spPr bwMode="auto">
                          <a:xfrm>
                            <a:off x="0" y="0"/>
                            <a:ext cx="5943600" cy="4769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Add caption here.</w:t>
            </w:r>
          </w:p>
          <w:bookmarkEnd w:id="28"/>
        </w:tc>
      </w:tr>
    </w:tbl>
    <w:p>
      <w:pPr>
        <w:pStyle w:val="BodyText"/>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questionable research practices (QRPs), such as p-hacking, harking, and publication bias.</w:t>
      </w:r>
    </w:p>
    <w:bookmarkStart w:id="29" w:name="attempts-at-reform"/>
    <w:p>
      <w:pPr>
        <w:pStyle w:val="Heading2"/>
      </w:pPr>
      <w:r>
        <w:t xml:space="preserve">Attempts at reform</w:t>
      </w:r>
    </w:p>
    <w:p>
      <w:pPr>
        <w:pStyle w:val="FirstParagraph"/>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involves publicly registering a study’s design and methods before collecting data, to mitigate QRPs.</w:t>
      </w:r>
    </w:p>
    <w:bookmarkEnd w:id="29"/>
    <w:bookmarkStart w:id="30" w:name="a-new-model"/>
    <w:p>
      <w:pPr>
        <w:pStyle w:val="Heading2"/>
      </w:pPr>
      <w:r>
        <w:t xml:space="preserve">A New model</w:t>
      </w:r>
    </w:p>
    <w:p>
      <w:pPr>
        <w:pStyle w:val="FirstParagraph"/>
      </w:pPr>
      <w:r>
        <w:t xml:space="preserve">Registered Reports (RRs) are a new model that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bookmarkEnd w:id="30"/>
    <w:bookmarkStart w:id="31" w:name="current-state-future"/>
    <w:p>
      <w:pPr>
        <w:pStyle w:val="Heading2"/>
      </w:pPr>
      <w:r>
        <w:t xml:space="preserve">Current state, future</w:t>
      </w:r>
    </w:p>
    <w:p>
      <w:pPr>
        <w:pStyle w:val="FirstParagraph"/>
      </w:pPr>
      <w:r>
        <w:t xml:space="preserve">RRs are gaining popularity, but some fields, such as linguistics, have been slow to adopt them.</w:t>
      </w:r>
      <w:r>
        <w:t xml:space="preserve"> </w:t>
      </w:r>
      <w:r>
        <w:t xml:space="preserve">RRs may particularly benefit early-career researchers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conclusion,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1"/>
    <w:bookmarkEnd w:id="32"/>
    <w:bookmarkStart w:id="33" w:name="reproducible-code-and-projects"/>
    <w:p>
      <w:pPr>
        <w:pStyle w:val="Heading1"/>
      </w:pPr>
      <w:r>
        <w:t xml:space="preserve">Reproducible code and projects</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The importance of reproducibility cannot be overstated.</w:t>
      </w:r>
      <w:r>
        <w:t xml:space="preserve"> </w:t>
      </w: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3"/>
    <w:bookmarkStart w:id="38" w:name="prepost-prints"/>
    <w:p>
      <w:pPr>
        <w:pStyle w:val="Heading1"/>
      </w:pPr>
      <w:r>
        <w:t xml:space="preserve">Pre/post 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4"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4"/>
    <w:bookmarkStart w:id="35"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5"/>
    <w:bookmarkStart w:id="36"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36"/>
    <w:bookmarkStart w:id="37"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disciplinaries.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bookmarkEnd w:id="37"/>
    <w:bookmarkEnd w:id="38"/>
    <w:bookmarkStart w:id="39"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39"/>
    <w:bookmarkStart w:id="85" w:name="references"/>
    <w:p>
      <w:pPr>
        <w:pStyle w:val="Heading1"/>
      </w:pPr>
      <w:r>
        <w:t xml:space="preserve">References</w:t>
      </w:r>
    </w:p>
    <w:bookmarkStart w:id="84" w:name="refs"/>
    <w:bookmarkStart w:id="40" w:name="ref-barnes1995complete"/>
    <w:p>
      <w:pPr>
        <w:pStyle w:val="Bibliography"/>
      </w:pPr>
      <w:r>
        <w:t xml:space="preserve">Barnes, J. et al. (1995).</w:t>
      </w:r>
      <w:r>
        <w:t xml:space="preserve"> </w:t>
      </w:r>
      <w:r>
        <w:rPr>
          <w:iCs/>
          <w:i/>
        </w:rPr>
        <w:t xml:space="preserve">The complete works of aristotle</w:t>
      </w:r>
      <w:r>
        <w:t xml:space="preserve"> </w:t>
      </w:r>
      <w:r>
        <w:t xml:space="preserve">(Vol. 2). Princeton University Press.</w:t>
      </w:r>
    </w:p>
    <w:bookmarkEnd w:id="40"/>
    <w:bookmarkStart w:id="42"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1">
        <w:r>
          <w:rPr>
            <w:rStyle w:val="Hyperlink"/>
          </w:rPr>
          <w:t xml:space="preserve">https://doi.org/10.1177/1468794112468</w:t>
        </w:r>
      </w:hyperlink>
    </w:p>
    <w:bookmarkEnd w:id="42"/>
    <w:bookmarkStart w:id="44"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43">
        <w:r>
          <w:rPr>
            <w:rStyle w:val="Hyperlink"/>
          </w:rPr>
          <w:t xml:space="preserve">https://doi.org/10.1111/lnc3.12495</w:t>
        </w:r>
      </w:hyperlink>
    </w:p>
    <w:bookmarkEnd w:id="44"/>
    <w:bookmarkStart w:id="46"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45">
        <w:r>
          <w:rPr>
            <w:rStyle w:val="Hyperlink"/>
          </w:rPr>
          <w:t xml:space="preserve">https://doi.org/10.1126/science.aaf091</w:t>
        </w:r>
      </w:hyperlink>
    </w:p>
    <w:bookmarkEnd w:id="46"/>
    <w:bookmarkStart w:id="48"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47">
        <w:r>
          <w:rPr>
            <w:rStyle w:val="Hyperlink"/>
          </w:rPr>
          <w:t xml:space="preserve">https://doi.org/10.1038/s41562-018-0399-z</w:t>
        </w:r>
      </w:hyperlink>
    </w:p>
    <w:bookmarkEnd w:id="48"/>
    <w:bookmarkStart w:id="49"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49"/>
    <w:bookmarkStart w:id="51"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0">
        <w:r>
          <w:rPr>
            <w:rStyle w:val="Hyperlink"/>
          </w:rPr>
          <w:t xml:space="preserve">https://doi.org/10.17169/fqs-7.3.143</w:t>
        </w:r>
      </w:hyperlink>
    </w:p>
    <w:bookmarkEnd w:id="51"/>
    <w:bookmarkStart w:id="53"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2">
        <w:r>
          <w:rPr>
            <w:rStyle w:val="Hyperlink"/>
          </w:rPr>
          <w:t xml:space="preserve">https://doi.org/10.7554/eLife.71601</w:t>
        </w:r>
      </w:hyperlink>
    </w:p>
    <w:bookmarkEnd w:id="53"/>
    <w:bookmarkStart w:id="55"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54">
        <w:r>
          <w:rPr>
            <w:rStyle w:val="Hyperlink"/>
          </w:rPr>
          <w:t xml:space="preserve">https://doi.org/10.1242/bio.059310</w:t>
        </w:r>
      </w:hyperlink>
    </w:p>
    <w:bookmarkEnd w:id="55"/>
    <w:bookmarkStart w:id="56"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56"/>
    <w:bookmarkStart w:id="58"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57">
        <w:r>
          <w:rPr>
            <w:rStyle w:val="Hyperlink"/>
          </w:rPr>
          <w:t xml:space="preserve">https://doi.org/10.34293/education.v8i4.3232</w:t>
        </w:r>
      </w:hyperlink>
    </w:p>
    <w:bookmarkEnd w:id="58"/>
    <w:bookmarkStart w:id="60"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59">
        <w:r>
          <w:rPr>
            <w:rStyle w:val="Hyperlink"/>
          </w:rPr>
          <w:t xml:space="preserve">https://doi.org/10.1136/emermed-2017-207158</w:t>
        </w:r>
      </w:hyperlink>
    </w:p>
    <w:bookmarkEnd w:id="60"/>
    <w:bookmarkStart w:id="61"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61"/>
    <w:bookmarkStart w:id="62"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62"/>
    <w:bookmarkStart w:id="64"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63">
        <w:r>
          <w:rPr>
            <w:rStyle w:val="Hyperlink"/>
          </w:rPr>
          <w:t xml:space="preserve">https://doi.org/10.1126/science.aac4716</w:t>
        </w:r>
      </w:hyperlink>
    </w:p>
    <w:bookmarkEnd w:id="64"/>
    <w:bookmarkStart w:id="66"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65">
        <w:r>
          <w:rPr>
            <w:rStyle w:val="Hyperlink"/>
          </w:rPr>
          <w:t xml:space="preserve">https://doi.org/10.1038/s41562-021-01269-4</w:t>
        </w:r>
      </w:hyperlink>
    </w:p>
    <w:bookmarkEnd w:id="66"/>
    <w:bookmarkStart w:id="68"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67">
        <w:r>
          <w:rPr>
            <w:rStyle w:val="Hyperlink"/>
          </w:rPr>
          <w:t xml:space="preserve">https://doi.org/10.31222/osf.io/ezfsk</w:t>
        </w:r>
      </w:hyperlink>
    </w:p>
    <w:bookmarkEnd w:id="68"/>
    <w:bookmarkStart w:id="70"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69">
        <w:r>
          <w:rPr>
            <w:rStyle w:val="Hyperlink"/>
          </w:rPr>
          <w:t xml:space="preserve">https://doi.org/10.1002/bult.2012.1720390110</w:t>
        </w:r>
      </w:hyperlink>
    </w:p>
    <w:bookmarkEnd w:id="70"/>
    <w:bookmarkStart w:id="72"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71">
        <w:r>
          <w:rPr>
            <w:rStyle w:val="Hyperlink"/>
          </w:rPr>
          <w:t xml:space="preserve">https://doi.org/10.1515/ling-2019-0048</w:t>
        </w:r>
      </w:hyperlink>
    </w:p>
    <w:bookmarkEnd w:id="72"/>
    <w:bookmarkStart w:id="73"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73"/>
    <w:bookmarkStart w:id="75"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74">
        <w:r>
          <w:rPr>
            <w:rStyle w:val="Hyperlink"/>
          </w:rPr>
          <w:t xml:space="preserve">https://doi.org/10.1177/17456916221144988</w:t>
        </w:r>
      </w:hyperlink>
    </w:p>
    <w:bookmarkEnd w:id="75"/>
    <w:bookmarkStart w:id="77"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76">
        <w:r>
          <w:rPr>
            <w:rStyle w:val="Hyperlink"/>
          </w:rPr>
          <w:t xml:space="preserve">https://doi.org/10.1177/0956797611417632</w:t>
        </w:r>
      </w:hyperlink>
    </w:p>
    <w:bookmarkEnd w:id="77"/>
    <w:bookmarkStart w:id="78" w:name="ref-spellman2017open"/>
    <w:p>
      <w:pPr>
        <w:pStyle w:val="Bibliography"/>
      </w:pPr>
      <w:r>
        <w:t xml:space="preserve">Spellman, B., Gilbert, E., &amp; Corker, K. S. (2017).</w:t>
      </w:r>
      <w:r>
        <w:t xml:space="preserve"> </w:t>
      </w:r>
      <w:r>
        <w:rPr>
          <w:iCs/>
          <w:i/>
        </w:rPr>
        <w:t xml:space="preserve">Open science: What, why, and how</w:t>
      </w:r>
      <w:r>
        <w:t xml:space="preserve">.</w:t>
      </w:r>
    </w:p>
    <w:bookmarkEnd w:id="78"/>
    <w:bookmarkStart w:id="80" w:name="ref-steltenpohl_video"/>
    <w:p>
      <w:pPr>
        <w:pStyle w:val="Bibliography"/>
      </w:pPr>
      <w:r>
        <w:t xml:space="preserve">Steltenpohl, C., Hudson, S., &amp; Klement, K. (2022). How to begin writing a positionality statement. Retrieved from</w:t>
      </w:r>
      <w:r>
        <w:t xml:space="preserve"> </w:t>
      </w:r>
      <w:hyperlink r:id="rId79">
        <w:r>
          <w:rPr>
            <w:rStyle w:val="Hyperlink"/>
          </w:rPr>
          <w:t xml:space="preserve">https://vimeo.com/675236573/741e24aab7</w:t>
        </w:r>
      </w:hyperlink>
    </w:p>
    <w:bookmarkEnd w:id="80"/>
    <w:bookmarkStart w:id="81" w:name="ref-syed2019open"/>
    <w:p>
      <w:pPr>
        <w:pStyle w:val="Bibliography"/>
      </w:pPr>
      <w:r>
        <w:t xml:space="preserve">Syed, M. (2019).</w:t>
      </w:r>
      <w:r>
        <w:t xml:space="preserve"> </w:t>
      </w:r>
      <w:r>
        <w:rPr>
          <w:iCs/>
          <w:i/>
        </w:rPr>
        <w:t xml:space="preserve">The open science movement is for all of us</w:t>
      </w:r>
      <w:r>
        <w:t xml:space="preserve">.</w:t>
      </w:r>
    </w:p>
    <w:bookmarkEnd w:id="81"/>
    <w:bookmarkStart w:id="82"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82"/>
    <w:bookmarkStart w:id="83"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p>
    <w:bookmarkEnd w:id="83"/>
    <w:bookmarkEnd w:id="84"/>
    <w:bookmarkEnd w:id="85"/>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69" Target="https://doi.org/10.1002/bult.2012.1720390110" TargetMode="External" /><Relationship Type="http://schemas.openxmlformats.org/officeDocument/2006/relationships/hyperlink" Id="rId47" Target="https://doi.org/10.1038/s41562-018-0399-z" TargetMode="External" /><Relationship Type="http://schemas.openxmlformats.org/officeDocument/2006/relationships/hyperlink" Id="rId65" Target="https://doi.org/10.1038/s41562-021-01269-4" TargetMode="External" /><Relationship Type="http://schemas.openxmlformats.org/officeDocument/2006/relationships/hyperlink" Id="rId43" Target="https://doi.org/10.1111/lnc3.12495" TargetMode="External" /><Relationship Type="http://schemas.openxmlformats.org/officeDocument/2006/relationships/hyperlink" Id="rId63" Target="https://doi.org/10.1126/science.aac4716" TargetMode="External" /><Relationship Type="http://schemas.openxmlformats.org/officeDocument/2006/relationships/hyperlink" Id="rId45" Target="https://doi.org/10.1126/science.aaf091" TargetMode="External" /><Relationship Type="http://schemas.openxmlformats.org/officeDocument/2006/relationships/hyperlink" Id="rId59" Target="https://doi.org/10.1136/emermed-2017-207158" TargetMode="External" /><Relationship Type="http://schemas.openxmlformats.org/officeDocument/2006/relationships/hyperlink" Id="rId76" Target="https://doi.org/10.1177/0956797611417632" TargetMode="External" /><Relationship Type="http://schemas.openxmlformats.org/officeDocument/2006/relationships/hyperlink" Id="rId41" Target="https://doi.org/10.1177/1468794112468" TargetMode="External" /><Relationship Type="http://schemas.openxmlformats.org/officeDocument/2006/relationships/hyperlink" Id="rId74" Target="https://doi.org/10.1177/17456916221144988" TargetMode="External" /><Relationship Type="http://schemas.openxmlformats.org/officeDocument/2006/relationships/hyperlink" Id="rId54" Target="https://doi.org/10.1242/bio.059310" TargetMode="External" /><Relationship Type="http://schemas.openxmlformats.org/officeDocument/2006/relationships/hyperlink" Id="rId71" Target="https://doi.org/10.1515/ling-2019-0048" TargetMode="External" /><Relationship Type="http://schemas.openxmlformats.org/officeDocument/2006/relationships/hyperlink" Id="rId50" Target="https://doi.org/10.17169/fqs-7.3.143" TargetMode="External" /><Relationship Type="http://schemas.openxmlformats.org/officeDocument/2006/relationships/hyperlink" Id="rId67" Target="https://doi.org/10.31222/osf.io/ezfsk" TargetMode="External" /><Relationship Type="http://schemas.openxmlformats.org/officeDocument/2006/relationships/hyperlink" Id="rId57" Target="https://doi.org/10.34293/education.v8i4.3232" TargetMode="External" /><Relationship Type="http://schemas.openxmlformats.org/officeDocument/2006/relationships/hyperlink" Id="rId52" Target="https://doi.org/10.7554/eLife.71601" TargetMode="External" /><Relationship Type="http://schemas.openxmlformats.org/officeDocument/2006/relationships/hyperlink" Id="rId79" Target="https://vimeo.com/675236573/741e24aab7" TargetMode="External" /></Relationships>
</file>

<file path=word/_rels/footnotes.xml.rels><?xml version="1.0" encoding="UTF-8"?><Relationships xmlns="http://schemas.openxmlformats.org/package/2006/relationships"><Relationship Type="http://schemas.openxmlformats.org/officeDocument/2006/relationships/hyperlink" Id="rId69" Target="https://doi.org/10.1002/bult.2012.1720390110" TargetMode="External" /><Relationship Type="http://schemas.openxmlformats.org/officeDocument/2006/relationships/hyperlink" Id="rId47" Target="https://doi.org/10.1038/s41562-018-0399-z" TargetMode="External" /><Relationship Type="http://schemas.openxmlformats.org/officeDocument/2006/relationships/hyperlink" Id="rId65" Target="https://doi.org/10.1038/s41562-021-01269-4" TargetMode="External" /><Relationship Type="http://schemas.openxmlformats.org/officeDocument/2006/relationships/hyperlink" Id="rId43" Target="https://doi.org/10.1111/lnc3.12495" TargetMode="External" /><Relationship Type="http://schemas.openxmlformats.org/officeDocument/2006/relationships/hyperlink" Id="rId63" Target="https://doi.org/10.1126/science.aac4716" TargetMode="External" /><Relationship Type="http://schemas.openxmlformats.org/officeDocument/2006/relationships/hyperlink" Id="rId45" Target="https://doi.org/10.1126/science.aaf091" TargetMode="External" /><Relationship Type="http://schemas.openxmlformats.org/officeDocument/2006/relationships/hyperlink" Id="rId59" Target="https://doi.org/10.1136/emermed-2017-207158" TargetMode="External" /><Relationship Type="http://schemas.openxmlformats.org/officeDocument/2006/relationships/hyperlink" Id="rId76" Target="https://doi.org/10.1177/0956797611417632" TargetMode="External" /><Relationship Type="http://schemas.openxmlformats.org/officeDocument/2006/relationships/hyperlink" Id="rId41" Target="https://doi.org/10.1177/1468794112468" TargetMode="External" /><Relationship Type="http://schemas.openxmlformats.org/officeDocument/2006/relationships/hyperlink" Id="rId74" Target="https://doi.org/10.1177/17456916221144988" TargetMode="External" /><Relationship Type="http://schemas.openxmlformats.org/officeDocument/2006/relationships/hyperlink" Id="rId54" Target="https://doi.org/10.1242/bio.059310" TargetMode="External" /><Relationship Type="http://schemas.openxmlformats.org/officeDocument/2006/relationships/hyperlink" Id="rId71" Target="https://doi.org/10.1515/ling-2019-0048" TargetMode="External" /><Relationship Type="http://schemas.openxmlformats.org/officeDocument/2006/relationships/hyperlink" Id="rId50" Target="https://doi.org/10.17169/fqs-7.3.143" TargetMode="External" /><Relationship Type="http://schemas.openxmlformats.org/officeDocument/2006/relationships/hyperlink" Id="rId67" Target="https://doi.org/10.31222/osf.io/ezfsk" TargetMode="External" /><Relationship Type="http://schemas.openxmlformats.org/officeDocument/2006/relationships/hyperlink" Id="rId57" Target="https://doi.org/10.34293/education.v8i4.3232" TargetMode="External" /><Relationship Type="http://schemas.openxmlformats.org/officeDocument/2006/relationships/hyperlink" Id="rId52" Target="https://doi.org/10.7554/eLife.71601" TargetMode="External" /><Relationship Type="http://schemas.openxmlformats.org/officeDocument/2006/relationships/hyperlink" Id="rId79" Target="https://vimeo.com/675236573/741e24aab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practices of open science in linguistics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2023-12-15T21:20:38Z</dcterms:created>
  <dcterms:modified xsi:type="dcterms:W3CDTF">2023-12-15T21:20:38Z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shorttitle">
    <vt:lpwstr>Opening open science to all</vt:lpwstr>
  </property>
  <property fmtid="{D5CDD505-2E9C-101B-9397-08002B2CF9AE}" pid="16" name="toc-title">
    <vt:lpwstr>Table of contents</vt:lpwstr>
  </property>
</Properties>
</file>