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rId29.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Opening</w:t>
      </w:r>
      <w:r>
        <w:t xml:space="preserve"> </w:t>
      </w:r>
      <w:r>
        <w:t xml:space="preserve">open</w:t>
      </w:r>
      <w:r>
        <w:t xml:space="preserve"> </w:t>
      </w:r>
      <w:r>
        <w:t xml:space="preserve">science</w:t>
      </w:r>
      <w:r>
        <w:t xml:space="preserve"> </w:t>
      </w:r>
      <w:r>
        <w:t xml:space="preserve">to</w:t>
      </w:r>
      <w:r>
        <w:t xml:space="preserve"> </w:t>
      </w:r>
      <w:r>
        <w:t xml:space="preserve">all:</w:t>
      </w:r>
      <w:r>
        <w:t xml:space="preserve"> </w:t>
      </w:r>
      <w:r>
        <w:t xml:space="preserve">Demystifying</w:t>
      </w:r>
      <w:r>
        <w:t xml:space="preserve"> </w:t>
      </w:r>
      <w:r>
        <w:t xml:space="preserve">practices</w:t>
      </w:r>
      <w:r>
        <w:t xml:space="preserve"> </w:t>
      </w:r>
      <w:r>
        <w:t xml:space="preserve">of</w:t>
      </w:r>
      <w:r>
        <w:t xml:space="preserve"> </w:t>
      </w:r>
      <w:r>
        <w:t xml:space="preserve">open</w:t>
      </w:r>
      <w:r>
        <w:t xml:space="preserve"> </w:t>
      </w:r>
      <w:r>
        <w:t xml:space="preserve">science</w:t>
      </w:r>
      <w:r>
        <w:t xml:space="preserve"> </w:t>
      </w:r>
      <w:r>
        <w:t xml:space="preserve">in</w:t>
      </w:r>
      <w:r>
        <w:t xml:space="preserve"> </w:t>
      </w:r>
      <w:r>
        <w:t xml:space="preserve">linguistics</w:t>
      </w:r>
      <w:r>
        <w:t xml:space="preserve"> </w:t>
      </w:r>
      <w:r>
        <w:t xml:space="preserve">research</w:t>
      </w:r>
    </w:p>
    <w:p>
      <w:pPr>
        <w:pStyle w:val="Author"/>
      </w:pPr>
      <w:r>
        <w:t xml:space="preserve">Joseph</w:t>
      </w:r>
      <w:r>
        <w:t xml:space="preserve"> </w:t>
      </w:r>
      <w:r>
        <w:t xml:space="preserve">V.</w:t>
      </w:r>
      <w:r>
        <w:t xml:space="preserve"> </w:t>
      </w:r>
      <w:r>
        <w:t xml:space="preserve">Casillas</w:t>
      </w:r>
    </w:p>
    <w:p>
      <w:pPr>
        <w:pStyle w:val="Author"/>
      </w:pPr>
      <w:r>
        <w:t xml:space="preserve">Gabriela</w:t>
      </w:r>
      <w:r>
        <w:t xml:space="preserve"> </w:t>
      </w:r>
      <w:r>
        <w:t xml:space="preserve">Constantin-Dureci</w:t>
      </w:r>
    </w:p>
    <w:p>
      <w:pPr>
        <w:pStyle w:val="Author"/>
      </w:pPr>
      <w:r>
        <w:t xml:space="preserve">Iván</w:t>
      </w:r>
      <w:r>
        <w:t xml:space="preserve"> </w:t>
      </w:r>
      <w:r>
        <w:t xml:space="preserve">Rascón</w:t>
      </w:r>
      <w:r>
        <w:t xml:space="preserve"> </w:t>
      </w:r>
      <w:r>
        <w:t xml:space="preserve">Andreu</w:t>
      </w:r>
    </w:p>
    <w:p>
      <w:pPr>
        <w:pStyle w:val="Author"/>
      </w:pPr>
      <w:r>
        <w:t xml:space="preserve">Jiawei</w:t>
      </w:r>
      <w:r>
        <w:t xml:space="preserve"> </w:t>
      </w:r>
      <w:r>
        <w:t xml:space="preserve">Shao</w:t>
      </w:r>
    </w:p>
    <w:p>
      <w:pPr>
        <w:pStyle w:val="Author"/>
      </w:pPr>
      <w:r>
        <w:t xml:space="preserve">Stephanie</w:t>
      </w:r>
      <w:r>
        <w:t xml:space="preserve"> </w:t>
      </w:r>
      <w:r>
        <w:t xml:space="preserve">Rodríguez</w:t>
      </w:r>
    </w:p>
    <w:p>
      <w:pPr>
        <w:pStyle w:val="Author"/>
      </w:pPr>
      <w:r>
        <w:t xml:space="preserve">Adrija</w:t>
      </w:r>
      <w:r>
        <w:t xml:space="preserve"> </w:t>
      </w:r>
      <w:r>
        <w:t xml:space="preserve">Gadamsetty</w:t>
      </w:r>
    </w:p>
    <w:p>
      <w:pPr>
        <w:pStyle w:val="Author"/>
      </w:pPr>
      <w:r>
        <w:t xml:space="preserve">Alexandria</w:t>
      </w:r>
      <w:r>
        <w:t xml:space="preserve"> </w:t>
      </w:r>
      <w:r>
        <w:t xml:space="preserve">Minetti</w:t>
      </w:r>
    </w:p>
    <w:p>
      <w:pPr>
        <w:pStyle w:val="Author"/>
      </w:pPr>
      <w:r>
        <w:t xml:space="preserve">Krishita</w:t>
      </w:r>
      <w:r>
        <w:t xml:space="preserve"> </w:t>
      </w:r>
      <w:r>
        <w:t xml:space="preserve">Laungani</w:t>
      </w:r>
    </w:p>
    <w:p>
      <w:pPr>
        <w:pStyle w:val="Author"/>
      </w:pPr>
      <w:r>
        <w:t xml:space="preserve">Johnathan</w:t>
      </w:r>
      <w:r>
        <w:t xml:space="preserve"> </w:t>
      </w:r>
      <w:r>
        <w:t xml:space="preserve">Thatcher</w:t>
      </w:r>
    </w:p>
    <w:p>
      <w:pPr>
        <w:pStyle w:val="Author"/>
      </w:pPr>
      <w:r>
        <w:t xml:space="preserve">Rhode-Taina</w:t>
      </w:r>
      <w:r>
        <w:t xml:space="preserve"> </w:t>
      </w:r>
      <w:r>
        <w:t xml:space="preserve">Gardere</w:t>
      </w:r>
    </w:p>
    <w:p>
      <w:pPr>
        <w:pStyle w:val="Author"/>
      </w:pPr>
      <w:r>
        <w:t xml:space="preserve">Katherine</w:t>
      </w:r>
      <w:r>
        <w:t xml:space="preserve"> </w:t>
      </w:r>
      <w:r>
        <w:t xml:space="preserve">Taveras</w:t>
      </w:r>
    </w:p>
    <w:p>
      <w:pPr>
        <w:pStyle w:val="Author"/>
      </w:pPr>
      <w:r>
        <w:t xml:space="preserve">Isabelle</w:t>
      </w:r>
      <w:r>
        <w:t xml:space="preserve"> </w:t>
      </w:r>
      <w:r>
        <w:t xml:space="preserve">Chang</w:t>
      </w:r>
    </w:p>
    <w:p>
      <w:pPr>
        <w:pStyle w:val="Author"/>
      </w:pPr>
      <w:r>
        <w:t xml:space="preserve">Nicole</w:t>
      </w:r>
      <w:r>
        <w:t xml:space="preserve"> </w:t>
      </w:r>
      <w:r>
        <w:t xml:space="preserve">Rodríguez</w:t>
      </w:r>
    </w:p>
    <w:p>
      <w:pPr>
        <w:pStyle w:val="Author"/>
      </w:pPr>
      <w:r>
        <w:t xml:space="preserve">Kyle</w:t>
      </w:r>
      <w:r>
        <w:t xml:space="preserve"> </w:t>
      </w:r>
      <w:r>
        <w:t xml:space="preserve">Parrish</w:t>
      </w:r>
    </w:p>
    <w:p>
      <w:r>
        <w:br w:type="page"/>
      </w:r>
    </w:p>
    <w:bookmarkStart w:id="20" w:name="abstract"/>
    <w:p>
      <w:pPr>
        <w:pStyle w:val="Heading1"/>
      </w:pPr>
      <w:r>
        <w:t xml:space="preserve">Abstract</w:t>
      </w:r>
    </w:p>
    <w:p>
      <w:pPr>
        <w:pStyle w:val="FirstParagraph"/>
      </w:pPr>
      <w:r>
        <w:t xml:space="preserve">Abstract here</w:t>
      </w:r>
    </w:p>
    <w:p>
      <w:pPr>
        <w:pStyle w:val="BodyText"/>
      </w:pPr>
      <w:r>
        <w:rPr>
          <w:iCs/>
          <w:i/>
        </w:rPr>
        <w:t xml:space="preserve">Keywords:</w:t>
      </w:r>
      <w:r>
        <w:t xml:space="preserve"> </w:t>
      </w:r>
      <w:r>
        <w:t xml:space="preserve">Open science, Reproducibile research, Positionality, Linguistics</w:t>
      </w:r>
    </w:p>
    <w:p>
      <w:pPr>
        <w:pStyle w:val="BodyText"/>
      </w:pPr>
      <w:r>
        <w:rPr>
          <w:iCs/>
          <w:i/>
        </w:rPr>
        <w:t xml:space="preserve">Word count:</w:t>
      </w:r>
      <w:r>
        <w:t xml:space="preserve"> </w:t>
      </w:r>
      <w:r>
        <w:t xml:space="preserve">xxx</w:t>
      </w:r>
    </w:p>
    <w:p>
      <w:r>
        <w:br w:type="page"/>
      </w:r>
    </w:p>
    <w:bookmarkEnd w:id="20"/>
    <w:bookmarkStart w:id="21" w:name="Xb681ef11cae6522f5c79dcbdde29f9550228899"/>
    <w:p>
      <w:pPr>
        <w:pStyle w:val="Heading1"/>
      </w:pPr>
      <w:r>
        <w:t xml:space="preserve">Opening open science to all: Demystifying practices of open science in linguistics research</w:t>
      </w:r>
    </w:p>
    <w:bookmarkEnd w:id="21"/>
    <w:bookmarkStart w:id="26" w:name="introduction---what-is-open-science"/>
    <w:p>
      <w:pPr>
        <w:pStyle w:val="Heading1"/>
      </w:pPr>
      <w:r>
        <w:t xml:space="preserve">Introduction - What is open science?</w:t>
      </w:r>
    </w:p>
    <w:p>
      <w:pPr>
        <w:pStyle w:val="FirstParagraph"/>
      </w:pPr>
      <w:r>
        <w:t xml:space="preserve">Parsons et al. (2022)</w:t>
      </w:r>
      <w:r>
        <w:t xml:space="preserve"> </w:t>
      </w:r>
      <w:r>
        <w:t xml:space="preserve">provide the following definition:</w:t>
      </w:r>
    </w:p>
    <w:p>
      <w:pPr>
        <w:pStyle w:val="BlockText"/>
      </w:pPr>
      <w:r>
        <w:t xml:space="preserve">An umbrella term reflecting the idea that scientific knowledge of all kinds, where appropriate, should be openly accessible, transparent, rigorous, reproducible, replicable, accumulative, and inclusive, all which are considered fundamental features of the scientific endeavour. Open science consists of principles and behaviors that promote transparent, credible, reproducible, and accessible science. Open science has six major aspects: open data, open methodology, open source, open access, open peer review, and open educational resources.</w:t>
      </w:r>
    </w:p>
    <w:p>
      <w:pPr>
        <w:pStyle w:val="FirstParagraph"/>
      </w:pPr>
      <w:r>
        <w:t xml:space="preserve">That sounds wonderful, right?</w:t>
      </w:r>
      <w:r>
        <w:t xml:space="preserve"> </w:t>
      </w:r>
      <w:r>
        <w:t xml:space="preserve">But you might be asking yourself</w:t>
      </w:r>
      <w:r>
        <w:t xml:space="preserve"> </w:t>
      </w:r>
      <w:r>
        <w:rPr>
          <w:iCs/>
          <w:i/>
        </w:rPr>
        <w:t xml:space="preserve">why</w:t>
      </w:r>
      <w:r>
        <w:t xml:space="preserve"> </w:t>
      </w:r>
      <w:r>
        <w:t xml:space="preserve">the push for Open Science?</w:t>
      </w:r>
      <w:r>
        <w:t xml:space="preserve"> </w:t>
      </w:r>
      <w:r>
        <w:t xml:space="preserve">It may come as a surprise to some, but the open, transparent research practices described by</w:t>
      </w:r>
      <w:r>
        <w:t xml:space="preserve"> </w:t>
      </w:r>
      <w:r>
        <w:t xml:space="preserve">Parsons et al. (2022)</w:t>
      </w:r>
      <w:r>
        <w:t xml:space="preserve"> </w:t>
      </w:r>
      <w:r>
        <w:t xml:space="preserve">have not been the norm in scholarly research.</w:t>
      </w:r>
    </w:p>
    <w:p>
      <w:pPr>
        <w:pStyle w:val="BodyText"/>
      </w:pPr>
      <w:r>
        <w:t xml:space="preserve">To properly contextualize the need for Open Science, we have to go back to the early 2010’s.</w:t>
      </w:r>
      <w:r>
        <w:t xml:space="preserve"> </w:t>
      </w:r>
      <w:r>
        <w:t xml:space="preserve">Around this time, several fields of research embarked on large-scale replication projects to scrutinize some of their major findings.</w:t>
      </w:r>
      <w:r>
        <w:t xml:space="preserve"> </w:t>
      </w:r>
      <w:r>
        <w:t xml:space="preserve">One example of these projects took place in psychology.</w:t>
      </w:r>
      <w:r>
        <w:t xml:space="preserve"> </w:t>
      </w:r>
      <w:r>
        <w:t xml:space="preserve">This particular project tested whether they could replicate 100 influential findings</w:t>
      </w:r>
      <w:r>
        <w:t xml:space="preserve"> </w:t>
      </w:r>
      <w:r>
        <w:t xml:space="preserve">(Open Science Collaboration, 2015)</w:t>
      </w:r>
      <w:r>
        <w:t xml:space="preserve">.</w:t>
      </w:r>
      <w:r>
        <w:t xml:space="preserve"> </w:t>
      </w:r>
      <w:r>
        <w:t xml:space="preserve">They found the approximately 53% of the findings did not replicate.</w:t>
      </w:r>
      <w:r>
        <w:t xml:space="preserve"> </w:t>
      </w:r>
      <w:r>
        <w:t xml:space="preserve">This project inspired similar large-scale replication projects in other fields, yielding similar results in economics</w:t>
      </w:r>
      <w:r>
        <w:t xml:space="preserve"> </w:t>
      </w:r>
      <w:r>
        <w:t xml:space="preserve">(Camerer et al., 2016)</w:t>
      </w:r>
      <w:r>
        <w:t xml:space="preserve">, social sciences</w:t>
      </w:r>
      <w:r>
        <w:t xml:space="preserve"> </w:t>
      </w:r>
      <w:r>
        <w:t xml:space="preserve">(Camerer et al., 2018)</w:t>
      </w:r>
      <w:r>
        <w:t xml:space="preserve">, and cancer research</w:t>
      </w:r>
      <w:r>
        <w:t xml:space="preserve"> </w:t>
      </w:r>
      <w:r>
        <w:t xml:space="preserve">(Errington et al., 2021)</w:t>
      </w:r>
      <w:r>
        <w:t xml:space="preserve">.</w:t>
      </w:r>
      <w:r>
        <w:t xml:space="preserve"> </w:t>
      </w:r>
      <w:r>
        <w:t xml:space="preserve">These alarming findings are now referred to as the replication (or reproducibility) crisis.</w:t>
      </w:r>
      <w:r>
        <w:t xml:space="preserve"> </w:t>
      </w:r>
      <w:r>
        <w:t xml:space="preserve">Researchers have pointed to questionable research practices (QRPs), p-hacking, HARKing, small sample sizes, poor theory, lack of transparency, etc. as factors that ultimately led to the replication crisis, though it is likely that other factors are at play.</w:t>
      </w:r>
    </w:p>
    <w:p>
      <w:pPr>
        <w:pStyle w:val="BodyText"/>
      </w:pPr>
      <w:r>
        <w:t xml:space="preserve">In the aftermath of the replication crisis we have seen a push for increased transparency and reproducible methodology to help mitigate the effects of questionable research practices.</w:t>
      </w:r>
      <w:r>
        <w:t xml:space="preserve"> </w:t>
      </w:r>
      <w:r>
        <w:t xml:space="preserve">The resulting methodological framework and associated techniques have reshaped research methods in psychology and have slowly but surely made their way into adjacent fields.</w:t>
      </w:r>
      <w:r>
        <w:t xml:space="preserve"> </w:t>
      </w:r>
      <w:r>
        <w:t xml:space="preserve">This website is dedicated to making open science practices understandable and accessible to researchers in the speech sciences from all backgrounds and at every stage, from students/early career researchers to senior researchers.</w:t>
      </w:r>
    </w:p>
    <w:p>
      <w:pPr>
        <w:pStyle w:val="BodyText"/>
      </w:pPr>
      <w:r>
        <w:t xml:space="preserve">To this end, we have highlighted 7 areas in which speech researchers can engage in Open Science: Literate programming, Open data, Positionality statements, Preprints, Preregistration, Registered reports, Reproducible code/projects.</w:t>
      </w:r>
      <w:r>
        <w:t xml:space="preserve"> </w:t>
      </w:r>
      <w:r>
        <w:t xml:space="preserve">In what follows, we detail the various areas of open science designed to help get the interested reader up to speed in each of these areas so that they can engage in Open Science practices.</w:t>
      </w:r>
    </w:p>
    <w:p>
      <w:pPr>
        <w:pStyle w:val="BodyText"/>
      </w:pPr>
      <w:r>
        <w:t xml:space="preserve">See</w:t>
      </w:r>
      <w:r>
        <w:t xml:space="preserve"> </w:t>
      </w:r>
      <w:hyperlink w:anchor="fig-open-science-wiki">
        <w:r>
          <w:rPr>
            <w:rStyle w:val="Hyperlink"/>
          </w:rPr>
          <w:t xml:space="preserve">Figure 1</w:t>
        </w:r>
      </w:hyperlink>
    </w:p>
    <w:tbl>
      <w:tblPr>
        <w:tblStyle w:val="Table"/>
        <w:tblW w:type="pct" w:w="5000"/>
        <w:tblLook w:firstRow="0" w:lastRow="0" w:firstColumn="0" w:lastColumn="0" w:noHBand="0" w:noVBand="0" w:val="0000"/>
        <w:jc w:val="start"/>
      </w:tblPr>
      <w:tblGrid>
        <w:gridCol w:w="7920"/>
      </w:tblGrid>
      <w:tr>
        <w:tc>
          <w:tcPr/>
          <w:bookmarkStart w:id="25" w:name="fig-open-science-wiki"/>
          <w:p>
            <w:pPr>
              <w:jc w:val="center"/>
            </w:pPr>
            <w:r>
              <w:drawing>
                <wp:inline>
                  <wp:extent cx="1957244" cy="938865"/>
                  <wp:effectExtent b="0" l="0" r="0" t="0"/>
                  <wp:docPr descr="" title="" id="23" name="Picture"/>
                  <a:graphic>
                    <a:graphicData uri="http://schemas.openxmlformats.org/drawingml/2006/picture">
                      <pic:pic>
                        <pic:nvPicPr>
                          <pic:cNvPr descr="./figs/os_wiki.png" id="24" name="Picture"/>
                          <pic:cNvPicPr>
                            <a:picLocks noChangeArrowheads="1" noChangeAspect="1"/>
                          </pic:cNvPicPr>
                        </pic:nvPicPr>
                        <pic:blipFill>
                          <a:blip r:embed="rId22"/>
                          <a:stretch>
                            <a:fillRect/>
                          </a:stretch>
                        </pic:blipFill>
                        <pic:spPr bwMode="auto">
                          <a:xfrm>
                            <a:off x="0" y="0"/>
                            <a:ext cx="1957244" cy="9388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This is a caption</w:t>
            </w:r>
          </w:p>
          <w:bookmarkEnd w:id="25"/>
        </w:tc>
      </w:tr>
    </w:tbl>
    <w:bookmarkEnd w:id="26"/>
    <w:bookmarkStart w:id="27" w:name="open-data"/>
    <w:p>
      <w:pPr>
        <w:pStyle w:val="Heading1"/>
      </w:pPr>
      <w:r>
        <w:t xml:space="preserve">Open data</w:t>
      </w:r>
    </w:p>
    <w:p>
      <w:pPr>
        <w:pStyle w:val="FirstParagraph"/>
      </w:pPr>
      <w:r>
        <w:t xml:space="preserve">Open data and science is rooted in Aristotle’s methodological principles, emphasizes openness and sharing in scientific discovery</w:t>
      </w:r>
      <w:r>
        <w:t xml:space="preserve"> </w:t>
      </w:r>
      <w:r>
        <w:t xml:space="preserve">(Barnes et al., 1995)</w:t>
      </w:r>
      <w:r>
        <w:t xml:space="preserve">.</w:t>
      </w:r>
      <w:r>
        <w:t xml:space="preserve"> </w:t>
      </w:r>
      <w:r>
        <w:t xml:space="preserve">Open science, as defined by</w:t>
      </w:r>
      <w:r>
        <w:t xml:space="preserve"> </w:t>
      </w:r>
      <w:r>
        <w:t xml:space="preserve">Parsons et al. (2022)</w:t>
      </w:r>
      <w:r>
        <w:t xml:space="preserve">, is an broad concept aimed at making scientific knowledge more accessible and inclusive.</w:t>
      </w:r>
      <w:r>
        <w:t xml:space="preserve"> </w:t>
      </w:r>
      <w:r>
        <w:t xml:space="preserve">The approach emphasizes the importance of transparency, rigor, reproducibility, replication, accumulation, and inclusivity in scientific research.</w:t>
      </w:r>
    </w:p>
    <w:p>
      <w:pPr>
        <w:pStyle w:val="BodyText"/>
      </w:pPr>
      <w:r>
        <w:t xml:space="preserve">The importance of open data in scientific research has grown significantly, particularly in light of the reproducibility crisis affecting fields like biology, psychology, and linguistics.</w:t>
      </w:r>
      <w:r>
        <w:t xml:space="preserve"> </w:t>
      </w:r>
      <w:r>
        <w:t xml:space="preserve">This crisis, characterized by difficulties in replicating study results due to unavailable supporting data, underscores the crucial need for open data.</w:t>
      </w:r>
      <w:r>
        <w:t xml:space="preserve"> </w:t>
      </w:r>
      <w:r>
        <w:t xml:space="preserve">Open data practices enable wider access to research information, facilitating validation and replication of studies, which is essential for advancing scientific knowledge and maintaining trust in research findings.</w:t>
      </w:r>
      <w:r>
        <w:t xml:space="preserve"> </w:t>
      </w:r>
      <w:r>
        <w:t xml:space="preserve">Access to open data is key not just for upholding ethical standards in research but also for facilitating future scientific progress.</w:t>
      </w:r>
    </w:p>
    <w:p>
      <w:pPr>
        <w:pStyle w:val="BodyText"/>
      </w:pPr>
      <w:r>
        <w:t xml:space="preserve">To address this issue, major academic journals have started mandating the provision of raw data alongside publications.</w:t>
      </w:r>
      <w:r>
        <w:t xml:space="preserve"> </w:t>
      </w:r>
      <w:r>
        <w:t xml:space="preserve">The requirement ensures that research is not only reproducible but also contributes to the cumulative body of knowledge.</w:t>
      </w:r>
      <w:r>
        <w:t xml:space="preserve"> </w:t>
      </w:r>
      <w:r>
        <w:t xml:space="preserve">The Open Science tendency emerged as a response to these widespread issues in scientific research, tackling the lack of accessibility, transparency, credibility, and reproducibility</w:t>
      </w:r>
      <w:r>
        <w:t xml:space="preserve"> </w:t>
      </w:r>
      <w:r>
        <w:t xml:space="preserve">(Spellman, Gilbert, &amp; Corker, 2017; Syed, 2019)</w:t>
      </w:r>
      <w:r>
        <w:t xml:space="preserve">.</w:t>
      </w:r>
      <w:r>
        <w:t xml:space="preserve"> </w:t>
      </w:r>
      <w:r>
        <w:t xml:space="preserve">Open data thus becomes a cornerstone for researchers striving to make meaningful contributions to their fields and the broader scientific discourse.</w:t>
      </w:r>
    </w:p>
    <w:p>
      <w:pPr>
        <w:pStyle w:val="BodyText"/>
      </w:pPr>
      <w:r>
        <w:t xml:space="preserve">Narrowing the field of open data to focus specifically on linguistics offers significant benefits.</w:t>
      </w:r>
      <w:r>
        <w:t xml:space="preserve"> </w:t>
      </w:r>
      <w:r>
        <w:t xml:space="preserve">For example, it enhances the study of diverse and underrepresented languages.</w:t>
      </w:r>
      <w:r>
        <w:t xml:space="preserve"> </w:t>
      </w:r>
      <w:r>
        <w:t xml:space="preserve">By making linguistic data from minority communities publicly available, we enable wider access and collaboration.</w:t>
      </w:r>
      <w:r>
        <w:t xml:space="preserve"> </w:t>
      </w:r>
      <w:r>
        <w:t xml:space="preserve">This allows researchers to document and study linguistic elements that might otherwise be overlooked.</w:t>
      </w:r>
      <w:r>
        <w:t xml:space="preserve"> </w:t>
      </w:r>
      <w:r>
        <w:t xml:space="preserve">The approach not only aids in preserving endangered languages but also fosters a more inclusive and comprehensive understanding of the global linguistic landscape.</w:t>
      </w:r>
      <w:r>
        <w:t xml:space="preserve"> </w:t>
      </w:r>
      <w:r>
        <w:t xml:space="preserve">At the same time, ethical considerations are key in this linguistic research example.</w:t>
      </w:r>
      <w:r>
        <w:t xml:space="preserve"> </w:t>
      </w:r>
      <w:r>
        <w:t xml:space="preserve">The privacy and consent of participants must be safeguarded, especially in projects involving sensitive or personal data.</w:t>
      </w:r>
      <w:r>
        <w:t xml:space="preserve"> </w:t>
      </w:r>
      <w:r>
        <w:t xml:space="preserve">This might be particularly challenging in cases of audiovisual sociolinguistic interviews but probably easier to share in phonetic studies, for example.</w:t>
      </w:r>
    </w:p>
    <w:p>
      <w:pPr>
        <w:pStyle w:val="BodyText"/>
      </w:pPr>
      <w:r>
        <w:t xml:space="preserve">The ultimate decision on the extent and method of data sharing in research rests with the Principal Investigator (PI).</w:t>
      </w:r>
      <w:r>
        <w:t xml:space="preserve"> </w:t>
      </w:r>
      <w:r>
        <w:t xml:space="preserve">The responsibility encompasses several key aspects: anonymizing data to protect individual privacy, obtaining informed consent to ensure participants are aware of how their data will be used, and being culturally sensitive to respect the diverse backgrounds of participants.</w:t>
      </w:r>
      <w:r>
        <w:t xml:space="preserve"> </w:t>
      </w:r>
      <w:r>
        <w:t xml:space="preserve">All these steps need to be aligned with legal standards.</w:t>
      </w:r>
      <w:r>
        <w:t xml:space="preserve"> </w:t>
      </w:r>
      <w:r>
        <w:t xml:space="preserve">The PI’s goal is to make data as open as possible while carefully balancing the need for openness with the imperative to respect privacy and legal constraints. This approach is vital for maintaining the ethical integrity of the research and safeguarding the rights of participants.</w:t>
      </w:r>
    </w:p>
    <w:p>
      <w:pPr>
        <w:pStyle w:val="BodyText"/>
      </w:pPr>
      <w:r>
        <w:t xml:space="preserve">Researchers may initially hesitate to share their data publicly, but gaining an understanding of the benefits of open data can help alleviate these concerns.</w:t>
      </w:r>
      <w:r>
        <w:t xml:space="preserve"> </w:t>
      </w:r>
      <w:r>
        <w:t xml:space="preserve">It is important to note that simply stating</w:t>
      </w:r>
      <w:r>
        <w:t xml:space="preserve"> </w:t>
      </w:r>
      <w:r>
        <w:t xml:space="preserve">“</w:t>
      </w:r>
      <w:r>
        <w:t xml:space="preserve">data available on request</w:t>
      </w:r>
      <w:r>
        <w:t xml:space="preserve">”</w:t>
      </w:r>
      <w:r>
        <w:t xml:space="preserve"> </w:t>
      </w:r>
      <w:r>
        <w:t xml:space="preserve">is not sufficient to meet the new current standards of effective data sharing</w:t>
      </w:r>
      <w:r>
        <w:t xml:space="preserve"> </w:t>
      </w:r>
      <w:r>
        <w:t xml:space="preserve">(Wicherts, Borsboom, Kats, &amp; Molenaar, 2006)</w:t>
      </w:r>
      <w:r>
        <w:t xml:space="preserve">.</w:t>
      </w:r>
      <w:r>
        <w:t xml:space="preserve"> </w:t>
      </w:r>
      <w:r>
        <w:t xml:space="preserve">Effective data sharing has to involve a more comprehensive and transparent approach, ensuring that data is readily accessible to other researchers and contributing to the broader scientific community’s efforts.</w:t>
      </w:r>
      <w:r>
        <w:t xml:space="preserve"> </w:t>
      </w:r>
      <w:r>
        <w:t xml:space="preserve">Following are the methods and reasons why a researcher should ensure the availability of their data.</w:t>
      </w:r>
    </w:p>
    <w:p>
      <w:pPr>
        <w:pStyle w:val="BodyText"/>
      </w:pPr>
      <w:r>
        <w:t xml:space="preserve">Firstly, data storage is a critical aspect that researchers must prioritize, focusing on its longevity and accessibility.</w:t>
      </w:r>
      <w:r>
        <w:t xml:space="preserve"> </w:t>
      </w:r>
      <w:r>
        <w:t xml:space="preserve">Some researchers find it beneficial to include all study materials and anonymized data on their project page throughout their research, while others prefer to use the project page solely for final documents.</w:t>
      </w:r>
      <w:r>
        <w:t xml:space="preserve"> </w:t>
      </w:r>
      <w:r>
        <w:t xml:space="preserve">There is also the option to organize a project using various cloud-based storage providers, such as Google Drive, Dropbox, or Box, which can link directly to your computer.</w:t>
      </w:r>
      <w:r>
        <w:t xml:space="preserve"> </w:t>
      </w:r>
      <w:r>
        <w:t xml:space="preserve">Many of these providers offer the added convenience of integrating directly with an OSF project, allowing researchers to enjoy the advantages of both systems.</w:t>
      </w:r>
      <w:r>
        <w:t xml:space="preserve"> </w:t>
      </w:r>
      <w:r>
        <w:t xml:space="preserve">This method helps balance the risks of technological failure and privacy concerns.</w:t>
      </w:r>
      <w:r>
        <w:t xml:space="preserve"> </w:t>
      </w:r>
      <w:r>
        <w:t xml:space="preserve">The Open Science Framework (OSF) also provides free, open-source solutions for different research processes</w:t>
      </w:r>
      <w:r>
        <w:t xml:space="preserve"> </w:t>
      </w:r>
      <w:r>
        <w:t xml:space="preserve">(Foster &amp; Deardorff, 2017; Nosek et al., 2022)</w:t>
      </w:r>
      <w:r>
        <w:t xml:space="preserve">, ensuring secure and accessible data storage.</w:t>
      </w:r>
    </w:p>
    <w:p>
      <w:pPr>
        <w:pStyle w:val="BodyText"/>
      </w:pPr>
      <w:r>
        <w:t xml:space="preserve">Additionally, the development of tools like Git and GitHub has transformed scientific development in the open-data domain.</w:t>
      </w:r>
      <w:r>
        <w:t xml:space="preserve"> </w:t>
      </w:r>
      <w:r>
        <w:t xml:space="preserve">These platforms facilitate collaborative efforts and enhance user engagement, revolutionizing the way research is conducted and shared.</w:t>
      </w:r>
    </w:p>
    <w:p>
      <w:pPr>
        <w:pStyle w:val="BodyText"/>
      </w:pPr>
      <w:r>
        <w:t xml:space="preserve">Open data significantly benefits individual researchers, the broader research community, and society as a whole.</w:t>
      </w:r>
      <w:r>
        <w:t xml:space="preserve"> </w:t>
      </w:r>
      <w:r>
        <w:t xml:space="preserve">By sharing data, researchers enhance their visibility and credibility, paving the way for academic collaborations and establishing their work as a cornerstone within their field.</w:t>
      </w:r>
      <w:r>
        <w:t xml:space="preserve"> </w:t>
      </w:r>
      <w:r>
        <w:t xml:space="preserve">One effective method of data sharing involves providing a detailed, written version of the code used for data analysis and visualizations, like tables and figures.</w:t>
      </w:r>
      <w:r>
        <w:t xml:space="preserve"> </w:t>
      </w:r>
      <w:r>
        <w:t xml:space="preserve">This practice enables others, including the researchers themselves in the future, to reproduce the exact results reported in their manuscripts.</w:t>
      </w:r>
    </w:p>
    <w:p>
      <w:pPr>
        <w:pStyle w:val="BodyText"/>
      </w:pPr>
      <w:r>
        <w:t xml:space="preserve">Sharing comprehensive data and methodologies in research not only highlights a commitment to transparency and reproducibility but also strengthens a researcher’s reputation within the academic community.</w:t>
      </w:r>
      <w:r>
        <w:t xml:space="preserve"> </w:t>
      </w:r>
      <w:r>
        <w:t xml:space="preserve">Open data acts as a catalyst, enriching the training of new researchers, reducing unnecessary experiments, and ensuring data preservation for future studies.</w:t>
      </w:r>
      <w:r>
        <w:t xml:space="preserve"> </w:t>
      </w:r>
      <w:r>
        <w:t xml:space="preserve">This approach is crucial for replication efforts, a core component of credible research.</w:t>
      </w:r>
      <w:r>
        <w:t xml:space="preserve"> </w:t>
      </w:r>
      <w:r>
        <w:t xml:space="preserve">Furthermore, open data bridges the gap between complex academic work and public understanding, spurring innovation across various sectors and democratizing knowledge access, thereby contributing to the development of a knowledge-driven society.</w:t>
      </w:r>
    </w:p>
    <w:p>
      <w:pPr>
        <w:pStyle w:val="BodyText"/>
      </w:pPr>
      <w:r>
        <w:t xml:space="preserve">In summary, open data is fundamental to advancing scientific excellence and ensuring transparency.</w:t>
      </w:r>
      <w:r>
        <w:t xml:space="preserve"> </w:t>
      </w:r>
      <w:r>
        <w:t xml:space="preserve">It elevates collaboration, bolsters credibility, and improves access to knowledge.</w:t>
      </w:r>
      <w:r>
        <w:t xml:space="preserve"> </w:t>
      </w:r>
      <w:r>
        <w:t xml:space="preserve">While embracing open data, ethical considerations necessitate data anonymization and privacy safeguards.</w:t>
      </w:r>
      <w:r>
        <w:t xml:space="preserve"> </w:t>
      </w:r>
      <w:r>
        <w:t xml:space="preserve">The efficacy of data sharing hinges on clear and transparent storage practices.</w:t>
      </w:r>
      <w:r>
        <w:t xml:space="preserve"> </w:t>
      </w:r>
      <w:r>
        <w:t xml:space="preserve">Innovations in this domain, facilitated by platforms like the Open Science Framework and tools such as Git, have revolutionized data sharing in the academic sphere.</w:t>
      </w:r>
      <w:r>
        <w:t xml:space="preserve"> </w:t>
      </w:r>
      <w:r>
        <w:t xml:space="preserve">Open data brings numerous benefits: it underpins reproducibility, minimizes redundant efforts in research, and demystifies complex academic concepts for the general public.</w:t>
      </w:r>
      <w:r>
        <w:t xml:space="preserve"> </w:t>
      </w:r>
      <w:r>
        <w:t xml:space="preserve">For the research community and society at large, the adoption of open data practices is not just beneficial but essential for responsible research and continued academic advancement.</w:t>
      </w:r>
    </w:p>
    <w:bookmarkEnd w:id="27"/>
    <w:bookmarkStart w:id="28" w:name="positionality-statements"/>
    <w:p>
      <w:pPr>
        <w:pStyle w:val="Heading1"/>
      </w:pPr>
      <w:r>
        <w:t xml:space="preserve">Positionality statements</w:t>
      </w:r>
    </w:p>
    <w:p>
      <w:pPr>
        <w:pStyle w:val="FirstParagraph"/>
      </w:pPr>
      <w:r>
        <w:t xml:space="preserve">A positionality statement is a reflective piece of writing that acknowledges researchers’ stance - or position - toward a research topic, framework, and even participants.</w:t>
      </w:r>
      <w:r>
        <w:t xml:space="preserve"> </w:t>
      </w:r>
      <w:r>
        <w:t xml:space="preserve">One’s positionality encompasses their social, cultural, and personal identity, as well as their biases and assumptions</w:t>
      </w:r>
      <w:r>
        <w:t xml:space="preserve"> </w:t>
      </w:r>
      <w:r>
        <w:t xml:space="preserve">(Holmes, 2020)</w:t>
      </w:r>
      <w:r>
        <w:t xml:space="preserve">, and can influence how research is done and how results are interpreted</w:t>
      </w:r>
      <w:r>
        <w:t xml:space="preserve"> </w:t>
      </w:r>
      <w:r>
        <w:t xml:space="preserve">(Rowe, 2014)</w:t>
      </w:r>
      <w:r>
        <w:t xml:space="preserve">.</w:t>
      </w:r>
      <w:r>
        <w:t xml:space="preserve"> </w:t>
      </w:r>
      <w:r>
        <w:t xml:space="preserve">Among others, relevant personal characteristics that may be included in a positionality statement are gender and racial identity, age, sexual orientation, immigration status, ideological stances</w:t>
      </w:r>
      <w:r>
        <w:t xml:space="preserve"> </w:t>
      </w:r>
      <w:r>
        <w:t xml:space="preserve">(Berger, 2015)</w:t>
      </w:r>
      <w:r>
        <w:t xml:space="preserve">.</w:t>
      </w:r>
      <w:r>
        <w:t xml:space="preserve"> </w:t>
      </w:r>
      <w:r>
        <w:t xml:space="preserve">These traits may indirectly impact research endeavors, since participants may be more willing to engage in a study if they perceive the researcher as sympathetic</w:t>
      </w:r>
      <w:r>
        <w:t xml:space="preserve"> </w:t>
      </w:r>
      <w:r>
        <w:t xml:space="preserve">(De Tona et al., 2006)</w:t>
      </w:r>
      <w:r>
        <w:t xml:space="preserve"> </w:t>
      </w:r>
      <w:r>
        <w:t xml:space="preserve">or may even offer different responses based on the researcher’s perceived identity</w:t>
      </w:r>
      <w:r>
        <w:t xml:space="preserve"> </w:t>
      </w:r>
      <w:r>
        <w:t xml:space="preserve">(Berger, 2015)</w:t>
      </w:r>
      <w:r>
        <w:t xml:space="preserve">.</w:t>
      </w:r>
      <w:r>
        <w:t xml:space="preserve"> </w:t>
      </w:r>
      <w:r>
        <w:t xml:space="preserve">While positionality statements have been adopted in some disciplines of the humanities and social sciences as a way of recognizing the various ways in which researchers’ backgrounds and identities may intersect with their research endeavors, they are a relatively new incorporation in the field of linguistics, appearing primarily in subfields such as applied linguistics, linguistic anthropology, and linguistic ethnography</w:t>
      </w:r>
      <w:r>
        <w:t xml:space="preserve"> </w:t>
      </w:r>
      <w:r>
        <w:t xml:space="preserve">(Bucholtz et al., 2023)</w:t>
      </w:r>
      <w:r>
        <w:t xml:space="preserve">.</w:t>
      </w:r>
      <w:r>
        <w:t xml:space="preserve"> </w:t>
      </w:r>
      <w:r>
        <w:t xml:space="preserve">Increasingly, positionality statements are considered crucial components of the research process, as they increase transparency into research practices</w:t>
      </w:r>
      <w:r>
        <w:t xml:space="preserve"> </w:t>
      </w:r>
      <w:r>
        <w:t xml:space="preserve">(Steltenpohl, Hudson, &amp; Klement, 2022)</w:t>
      </w:r>
      <w:r>
        <w:t xml:space="preserve"> </w:t>
      </w:r>
      <w:r>
        <w:t xml:space="preserve">and contextualize the environment in which studies take place, or, in other words,</w:t>
      </w:r>
      <w:r>
        <w:t xml:space="preserve"> </w:t>
      </w:r>
      <w:r>
        <w:t xml:space="preserve">“</w:t>
      </w:r>
      <w:r>
        <w:t xml:space="preserve">[define] the boundaries within which research was produced</w:t>
      </w:r>
      <w:r>
        <w:t xml:space="preserve">”</w:t>
      </w:r>
      <w:r>
        <w:t xml:space="preserve"> </w:t>
      </w:r>
      <w:r>
        <w:t xml:space="preserve">(Jafar, 2018, p. 1)</w:t>
      </w:r>
      <w:r>
        <w:t xml:space="preserve">.</w:t>
      </w:r>
      <w:r>
        <w:t xml:space="preserve"> </w:t>
      </w:r>
      <w:r>
        <w:t xml:space="preserve">While traditionally, positionality statements have been more prevalent in qualitative research, they should be considered equally important in quantitative research, since, aside from contributing to ongoing efforts to promote transparency and openness in research practices, recognizing and addressing the researcher’s positionality can increase the validity of the findings</w:t>
      </w:r>
      <w:r>
        <w:t xml:space="preserve"> </w:t>
      </w:r>
      <w:r>
        <w:t xml:space="preserve">(Jafar, 2018)</w:t>
      </w:r>
      <w:r>
        <w:t xml:space="preserve">.</w:t>
      </w:r>
      <w:r>
        <w:t xml:space="preserve"> </w:t>
      </w:r>
      <w:r>
        <w:t xml:space="preserve">Moreover,</w:t>
      </w:r>
      <w:r>
        <w:t xml:space="preserve"> </w:t>
      </w:r>
      <w:r>
        <w:t xml:space="preserve">Bucholtz et al. (2023)</w:t>
      </w:r>
      <w:r>
        <w:t xml:space="preserve"> </w:t>
      </w:r>
      <w:r>
        <w:t xml:space="preserve">note that, considering researchers’ positionality may be especially important in linguistics,</w:t>
      </w:r>
      <w:r>
        <w:t xml:space="preserve"> </w:t>
      </w:r>
      <w:r>
        <w:t xml:space="preserve">“</w:t>
      </w:r>
      <w:r>
        <w:t xml:space="preserve">which relies on racially minoritized communities as sources of data yet lack adequate (if any) representation of those communities among faculty researchers</w:t>
      </w:r>
      <w:r>
        <w:t xml:space="preserve">”</w:t>
      </w:r>
      <w:r>
        <w:t xml:space="preserve"> </w:t>
      </w:r>
      <w:r>
        <w:t xml:space="preserve">(p. 2).</w:t>
      </w:r>
      <w:r>
        <w:t xml:space="preserve"> </w:t>
      </w:r>
      <w:r>
        <w:t xml:space="preserve">However, although many researchers support and advocate for the inclusion of positionality statements in their research publications</w:t>
      </w:r>
      <w:r>
        <w:t xml:space="preserve"> </w:t>
      </w:r>
      <w:r>
        <w:t xml:space="preserve">(e.g., Bucholtz et al., 2023; Jafar, 2018; Steltenpohl et al., 2022)</w:t>
      </w:r>
      <w:r>
        <w:t xml:space="preserve">, others are contesting this practice, pointing to the universalism of research or, in other words, the belief that scholarly endeavors should be assessed on their inherent merits, regardless of the status or personal identity of the person making the contribution</w:t>
      </w:r>
      <w:r>
        <w:t xml:space="preserve"> </w:t>
      </w:r>
      <w:r>
        <w:t xml:space="preserve">(Savolainen, Casey, McBrayer, &amp; Schwerdtle, 2023)</w:t>
      </w:r>
      <w:r>
        <w:t xml:space="preserve">.</w:t>
      </w:r>
      <w:r>
        <w:t xml:space="preserve"> </w:t>
      </w:r>
      <w:r>
        <w:t xml:space="preserve">Additionally,</w:t>
      </w:r>
      <w:r>
        <w:t xml:space="preserve"> </w:t>
      </w:r>
      <w:r>
        <w:t xml:space="preserve">Savolainen et al. (2023)</w:t>
      </w:r>
      <w:r>
        <w:t xml:space="preserve"> </w:t>
      </w:r>
      <w:r>
        <w:t xml:space="preserve">draw connections between positionality statements and conflict of interest statements, arguing that, while researchers are required to disclose any and all financial gains associated with a research project,</w:t>
      </w:r>
      <w:r>
        <w:t xml:space="preserve"> </w:t>
      </w:r>
      <w:r>
        <w:t xml:space="preserve">“</w:t>
      </w:r>
      <w:r>
        <w:t xml:space="preserve">positionality statements grant authors the freedom to decide which parts of their biography they choose to share and how they choose to frame it.</w:t>
      </w:r>
      <w:r>
        <w:t xml:space="preserve">”</w:t>
      </w:r>
      <w:r>
        <w:t xml:space="preserve"> </w:t>
      </w:r>
      <w:r>
        <w:t xml:space="preserve">(p. 1334).</w:t>
      </w:r>
    </w:p>
    <w:p>
      <w:pPr>
        <w:pStyle w:val="BodyText"/>
      </w:pPr>
      <w:r>
        <w:t xml:space="preserve">While positionality statements, due to their reflexive nature, may encompass larger pieces of writing, they can also take the form of short paragraphs that illustrate a few personal characteristics deemed relevant for the particular research endeavor:</w:t>
      </w:r>
      <w:r>
        <w:t xml:space="preserve"> </w:t>
      </w:r>
      <w:r>
        <w:t xml:space="preserve">“</w:t>
      </w:r>
      <w:r>
        <w:t xml:space="preserve">Gabriela is a white immigrant cis-gender woman from Romania whose research focuses on how non-native speakers are ideologically framed as linguistically deficient in comparison to native speakers characterized by their linguistic authority and expertise.</w:t>
      </w:r>
      <w:r>
        <w:t xml:space="preserve">”</w:t>
      </w:r>
      <w:r>
        <w:t xml:space="preserve"> </w:t>
      </w:r>
      <w:r>
        <w:t xml:space="preserve">Lastly, in showing their commitment to Diversity, Equity, Inclusivity, and Belonging (DEIB) initiatives, journals have started to encourage authors to include positionality statements with their submissions (see the Journal of Social and Personal Relationships).</w:t>
      </w:r>
      <w:r>
        <w:t xml:space="preserve"> </w:t>
      </w:r>
      <w:r>
        <w:t xml:space="preserve">Therefore, researchers should reflect on their positionality before starting a project and write a positionality statement.</w:t>
      </w:r>
      <w:r>
        <w:t xml:space="preserve"> </w:t>
      </w:r>
      <w:r>
        <w:t xml:space="preserve">When submitting a study for publication, the positionality statement can be included in additional materials if the word limit is a concern.</w:t>
      </w:r>
    </w:p>
    <w:p>
      <w:pPr>
        <w:pStyle w:val="BodyText"/>
      </w:pPr>
      <w:r>
        <w:t xml:space="preserve">In sum, positionality statements are critical in linguistic research as they promote critical self-reflection, increase transparency, and help address diversity and inclusion concerns.</w:t>
      </w:r>
      <w:r>
        <w:t xml:space="preserve"> </w:t>
      </w:r>
      <w:r>
        <w:t xml:space="preserve">Additionally, including positionality statements in quantitative research can increase the validity of findings.</w:t>
      </w:r>
      <w:r>
        <w:t xml:space="preserve"> </w:t>
      </w:r>
      <w:r>
        <w:t xml:space="preserve">By reflecting on who it is that does the research, linguistics can become a more diverse, inclusive, and transparent field.</w:t>
      </w:r>
    </w:p>
    <w:bookmarkEnd w:id="28"/>
    <w:bookmarkStart w:id="36" w:name="preregistration-and-registered-reports"/>
    <w:p>
      <w:pPr>
        <w:pStyle w:val="Heading1"/>
      </w:pPr>
      <w:r>
        <w:t xml:space="preserve">Preregistration and registered reports</w:t>
      </w:r>
    </w:p>
    <w:p>
      <w:pPr>
        <w:pStyle w:val="FirstParagraph"/>
      </w:pPr>
      <w:r>
        <w:t xml:space="preserve">A preregistration stands as a meticulously timestamped document that delineates comprehensive details about a study, encompassing research questions, hypotheses, methodologies, and analytic strategies.</w:t>
      </w:r>
      <w:r>
        <w:t xml:space="preserve"> </w:t>
      </w:r>
      <w:r>
        <w:t xml:space="preserve">As a pivotal facet of rigorous research, distinguishing itself from fellow open science methodologies like registered reports and preprints, a preregistration is written prior to data collection sans peer review.</w:t>
      </w:r>
      <w:r>
        <w:t xml:space="preserve"> </w:t>
      </w:r>
      <w:r>
        <w:t xml:space="preserve">The depth of content detail within a preregistration spans a spectrum: in the simplest case, a preregistration can comprise merely a hypothesis or perhaps a brief description of the methods; on the other extreme, a detailed preregistration can include code, power analyses, participant exclusion criteria and beyond, supplementing the fundamental information.</w:t>
      </w:r>
      <w:r>
        <w:t xml:space="preserve"> </w:t>
      </w:r>
      <w:r>
        <w:t xml:space="preserve">In this section will delve deeper into the various constituents adaptable to a preregistration, centering on its advantageous impact on linguistic research.</w:t>
      </w:r>
      <w:r>
        <w:t xml:space="preserve"> </w:t>
      </w:r>
      <w:r>
        <w:t xml:space="preserve">Specifically, it will expound upon the actors involved (who), the rationale driving this practice(why), its content(what), and the procedural intricacies(how), elucidating the process of preregistering a study within the realm of linguistics.</w:t>
      </w:r>
    </w:p>
    <w:p>
      <w:pPr>
        <w:pStyle w:val="BodyText"/>
      </w:pPr>
      <w:r>
        <w:t xml:space="preserve">Linguists engaged in empirical studies delve into data collection and observations to explore various dimensions of human language.</w:t>
      </w:r>
      <w:r>
        <w:t xml:space="preserve"> </w:t>
      </w:r>
      <w:r>
        <w:t xml:space="preserve">These investigations span diverse areas such as corpus analysis, interview analysis, experimental analysis, and more. However, as highlighted by</w:t>
      </w:r>
      <w:r>
        <w:t xml:space="preserve"> </w:t>
      </w:r>
      <w:r>
        <w:t xml:space="preserve">Roettger (2021)</w:t>
      </w:r>
      <w:r>
        <w:t xml:space="preserve">, researchers are human and humans have evolved to filter the world in irrational ways, which can lead to questionable research practices (QRPs) and other problems that may affect the replicability of published research.</w:t>
      </w:r>
      <w:r>
        <w:t xml:space="preserve"> </w:t>
      </w:r>
      <w:r>
        <w:t xml:space="preserve">Preregistration emerges as a powerful instrument empowering linguists to bolster the trustworthiness and credibility of their inquiries through a systematic and predefined methodology.</w:t>
      </w:r>
      <w:r>
        <w:t xml:space="preserve"> </w:t>
      </w:r>
      <w:r>
        <w:t xml:space="preserve">Moreover, beyond linguists, the practice of preregistration extends its benefits to a broader audience, encompassing students, professionals, and academics alike.</w:t>
      </w:r>
    </w:p>
    <w:p>
      <w:pPr>
        <w:pStyle w:val="BodyText"/>
      </w:pPr>
      <w:r>
        <w:t xml:space="preserve">Researchers face vital decisions while designing and executing research, with an inherent flexibility involved in the process of designing and conducting the experiment, and in analyzing the results</w:t>
      </w:r>
      <w:r>
        <w:t xml:space="preserve"> </w:t>
      </w:r>
      <w:r>
        <w:t xml:space="preserve">(Simmons, Nelson, &amp; Simonsohn, 2011)</w:t>
      </w:r>
      <w:r>
        <w:t xml:space="preserve">.</w:t>
      </w:r>
      <w:r>
        <w:t xml:space="preserve"> </w:t>
      </w:r>
      <w:r>
        <w:t xml:space="preserve">This type of flexibility is termed as</w:t>
      </w:r>
      <w:r>
        <w:t xml:space="preserve"> </w:t>
      </w:r>
      <w:r>
        <w:t xml:space="preserve">“</w:t>
      </w:r>
      <w:r>
        <w:t xml:space="preserve">researcher degree of freedom</w:t>
      </w:r>
      <w:r>
        <w:t xml:space="preserve">”</w:t>
      </w:r>
      <w:r>
        <w:t xml:space="preserve">.</w:t>
      </w:r>
      <w:r>
        <w:t xml:space="preserve"> </w:t>
      </w:r>
      <w:r>
        <w:t xml:space="preserve">For instance, envision a phonetician intrigued by exploring lexical stress. In this scenario, the researcher might concentrate on distinct acoustic markers linked with stress, like pitch, duration, and/or intensity.</w:t>
      </w:r>
      <w:r>
        <w:t xml:space="preserve"> </w:t>
      </w:r>
      <w:r>
        <w:t xml:space="preserve">Beyond selecting which acoustic markers to assess, they must pinpoint the specific realm for these measurements.</w:t>
      </w:r>
      <w:r>
        <w:t xml:space="preserve"> </w:t>
      </w:r>
      <w:r>
        <w:t xml:space="preserve">Does it encompass the nucleus of stressed/unstressed syllables or the entirety of the syllable?</w:t>
      </w:r>
      <w:r>
        <w:t xml:space="preserve"> </w:t>
      </w:r>
      <w:r>
        <w:t xml:space="preserve">Where exactly does the measurement occur—at the midpoint or as an average across the entire syllable?</w:t>
      </w:r>
      <w:r>
        <w:t xml:space="preserve"> </w:t>
      </w:r>
      <w:r>
        <w:t xml:space="preserve">These choices wield significant influence on subsequent analyses.</w:t>
      </w:r>
      <w:r>
        <w:t xml:space="preserve"> </w:t>
      </w:r>
      <w:r>
        <w:t xml:space="preserve">Preregistration serves the purpose of meticulously documenting these crucial facets of the study.</w:t>
      </w:r>
      <w:r>
        <w:t xml:space="preserve"> </w:t>
      </w:r>
      <w:r>
        <w:t xml:space="preserve">Moreover, preregistration acts as a deterrent against questionable research practices (QRPs) like HARKing or p-hacking by mandating explicit declaration of decisions in the research trajectory before any data collection commences.</w:t>
      </w:r>
      <w:r>
        <w:t xml:space="preserve"> </w:t>
      </w:r>
      <w:r>
        <w:t xml:space="preserve">Preregistering also acts as substantiation that researchers are conducting confirmatory rather than exploratory data analysis by delineating a clear chronology of decisions made prior to and post data collection.</w:t>
      </w:r>
      <w:r>
        <w:t xml:space="preserve"> </w:t>
      </w:r>
      <w:r>
        <w:t xml:space="preserve">Additionally, an enhanced level of specificity in the preregistration compels researchers to consider facets of their study that might usually be deferred to a later stage, such as statistical analyses.</w:t>
      </w:r>
      <w:r>
        <w:t xml:space="preserve"> </w:t>
      </w:r>
      <w:r>
        <w:t xml:space="preserve">This proactive approach demands more initial time investment from the researcher but significantly enhances the prospects of uncovering pivotal flaws in the study design.</w:t>
      </w:r>
    </w:p>
    <w:p>
      <w:pPr>
        <w:pStyle w:val="BodyText"/>
      </w:pPr>
      <w:r>
        <w:t xml:space="preserve">The scope of preregistration extends to any facet of research deemed worthy of temporal documentation preceding the initiation of the study, and the essential components predominantly include Research Questions/Hypotheses, Methodological Framework, and Analytical Approaches.</w:t>
      </w:r>
      <w:r>
        <w:t xml:space="preserve"> </w:t>
      </w:r>
      <w:r>
        <w:t xml:space="preserve">The specific elements that will encompass a preregistration document will appear to be considerably diverse dependent upon the specific domain within linguistics and the nuanced nature of the study in question.</w:t>
      </w:r>
    </w:p>
    <w:p>
      <w:pPr>
        <w:pStyle w:val="BodyText"/>
      </w:pPr>
      <w:r>
        <w:t xml:space="preserve">An example illustrating this variability is as follows.</w:t>
      </w:r>
      <w:r>
        <w:t xml:space="preserve"> </w:t>
      </w:r>
      <w:r>
        <w:t xml:space="preserve">Consider the scenario where a psycholinguist is poised to undertake an experiment utilizing the self-paced reading methodology.</w:t>
      </w:r>
      <w:r>
        <w:t xml:space="preserve"> </w:t>
      </w:r>
      <w:r>
        <w:t xml:space="preserve">In this context, the focus of the preregistration would logically revolve around pivotal aspects, including explanations of research inquiries, formulation of hypotheses, and meticulous delineation of methodological intricacies.</w:t>
      </w:r>
      <w:r>
        <w:t xml:space="preserve"> </w:t>
      </w:r>
      <w:r>
        <w:t xml:space="preserve">This encompasses characterization of participant demographics, recruitment strategies, sample size considerations, and analogous critical details.</w:t>
      </w:r>
      <w:r>
        <w:t xml:space="preserve"> </w:t>
      </w:r>
      <w:r>
        <w:t xml:space="preserve">Additionally, the psycholinguist may find it imperative to explain the notable variables subject to manipulation within the experimental design, articulate planned data transformations, and analyze the chosen statistical modeling strategies for subsequent inferential analyses.</w:t>
      </w:r>
      <w:r>
        <w:t xml:space="preserve"> </w:t>
      </w:r>
      <w:r>
        <w:t xml:space="preserve">Not all of the aforementioned components are equally prioritized in a preregistration.</w:t>
      </w:r>
    </w:p>
    <w:p>
      <w:pPr>
        <w:pStyle w:val="BodyText"/>
      </w:pPr>
      <w:r>
        <w:t xml:space="preserve">It is important to acknowledge that incorporating the entirety of these components into a preregistration may be a formidable challenge, particularly if Open Science is a new endeavor for the researcher.</w:t>
      </w:r>
      <w:r>
        <w:t xml:space="preserve"> </w:t>
      </w:r>
      <w:r>
        <w:t xml:space="preserve">In such instances, a judicious approach is permissible, with researchers encouraged to commence with elements they perceive as most valuable to their study.</w:t>
      </w:r>
      <w:r>
        <w:t xml:space="preserve"> </w:t>
      </w:r>
      <w:r>
        <w:t xml:space="preserve">Over time and through iterative practice, researchers will gain a better discernment of relevance within the Open Science framework.</w:t>
      </w:r>
    </w:p>
    <w:p>
      <w:pPr>
        <w:pStyle w:val="BodyText"/>
      </w:pPr>
      <w:r>
        <w:t xml:space="preserve">Many concerns regarding the implementation of Open Science or adopting preregistration revolve around the potential burden of</w:t>
      </w:r>
      <w:r>
        <w:t xml:space="preserve"> </w:t>
      </w:r>
      <w:r>
        <w:t xml:space="preserve">‘</w:t>
      </w:r>
      <w:r>
        <w:t xml:space="preserve">extra work</w:t>
      </w:r>
      <w:r>
        <w:t xml:space="preserve">’</w:t>
      </w:r>
      <w:r>
        <w:t xml:space="preserve">.</w:t>
      </w:r>
      <w:r>
        <w:t xml:space="preserve"> </w:t>
      </w:r>
      <w:r>
        <w:t xml:space="preserve">Conversely, preregistration is intended to streamline our workflow, fostering efficiency both in the short term and the long run.</w:t>
      </w:r>
      <w:r>
        <w:t xml:space="preserve"> </w:t>
      </w:r>
      <w:r>
        <w:t xml:space="preserve">Moreover, it offers complete control over the level of detail one chooses to include.</w:t>
      </w:r>
      <w:r>
        <w:t xml:space="preserve"> </w:t>
      </w:r>
      <w:r>
        <w:t xml:space="preserve">The depth of preregistration directly correlates with the effort invested; the more comprehensive the preregistration, the greater the initial workload, leading to reduced effort in subsequent stages.</w:t>
      </w:r>
      <w:r>
        <w:t xml:space="preserve"> </w:t>
      </w:r>
      <w:r>
        <w:t xml:space="preserve">Presented here are select levels of detail as suggestions to help gauge the extent of information to incorporate into your preregistration (See</w:t>
      </w:r>
      <w:r>
        <w:t xml:space="preserve"> </w:t>
      </w:r>
      <w:hyperlink w:anchor="fig-detail">
        <w:r>
          <w:rPr>
            <w:rStyle w:val="Hyperlink"/>
          </w:rPr>
          <w:t xml:space="preserve">Figure 2</w:t>
        </w:r>
      </w:hyperlink>
      <w:r>
        <w:t xml:space="preserve">).</w:t>
      </w:r>
      <w:r>
        <w:t xml:space="preserve"> </w:t>
      </w:r>
      <w:r>
        <w:t xml:space="preserve">The shading denotes the degree of detail; darker shades signify more exhaustive information (thus requiring more work).</w:t>
      </w:r>
      <w:r>
        <w:t xml:space="preserve"> </w:t>
      </w:r>
      <w:r>
        <w:t xml:space="preserve">It’s worth noting that flexibility allows for varying levels of detail in different sections.</w:t>
      </w:r>
    </w:p>
    <w:tbl>
      <w:tblPr>
        <w:tblStyle w:val="Table"/>
        <w:tblW w:type="pct" w:w="5000"/>
        <w:tblLook w:firstRow="0" w:lastRow="0" w:firstColumn="0" w:lastColumn="0" w:noHBand="0" w:noVBand="0" w:val="0000"/>
        <w:jc w:val="start"/>
      </w:tblPr>
      <w:tblGrid>
        <w:gridCol w:w="7920"/>
      </w:tblGrid>
      <w:tr>
        <w:tc>
          <w:tcPr/>
          <w:bookmarkStart w:id="32" w:name="fig-detail"/>
          <w:p>
            <w:pPr>
              <w:jc w:val="center"/>
            </w:pPr>
            <w:r>
              <w:drawing>
                <wp:inline>
                  <wp:extent cx="5943600" cy="4769954"/>
                  <wp:effectExtent b="0" l="0" r="0" t="0"/>
                  <wp:docPr descr="" title="" id="30" name="Picture"/>
                  <a:graphic>
                    <a:graphicData uri="http://schemas.openxmlformats.org/drawingml/2006/picture">
                      <pic:pic>
                        <pic:nvPicPr>
                          <pic:cNvPr descr="./figs/levels_of_detail.png" id="31" name="Picture"/>
                          <pic:cNvPicPr>
                            <a:picLocks noChangeArrowheads="1" noChangeAspect="1"/>
                          </pic:cNvPicPr>
                        </pic:nvPicPr>
                        <pic:blipFill>
                          <a:blip r:embed="rId29"/>
                          <a:stretch>
                            <a:fillRect/>
                          </a:stretch>
                        </pic:blipFill>
                        <pic:spPr bwMode="auto">
                          <a:xfrm>
                            <a:off x="0" y="0"/>
                            <a:ext cx="5943600" cy="47699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Add caption here.</w:t>
            </w:r>
          </w:p>
          <w:bookmarkEnd w:id="32"/>
        </w:tc>
      </w:tr>
    </w:tbl>
    <w:p>
      <w:pPr>
        <w:pStyle w:val="BodyText"/>
      </w:pPr>
      <w:r>
        <w:t xml:space="preserve">The reproducibility crisis has drawn attention to the shortcomings of the traditional model of publishing scientific research. In the current model, researchers generate hypotheses, design studies, collect data, analyze data, interpret results, and submit their findings for publication. However, this model has been criticized for lending itself to questionable research practices (QRPs), such as p-hacking, harking, and publication bias.</w:t>
      </w:r>
    </w:p>
    <w:bookmarkStart w:id="33" w:name="attempts-at-reform"/>
    <w:p>
      <w:pPr>
        <w:pStyle w:val="Heading2"/>
      </w:pPr>
      <w:r>
        <w:t xml:space="preserve">Attempts at reform</w:t>
      </w:r>
    </w:p>
    <w:p>
      <w:pPr>
        <w:pStyle w:val="FirstParagraph"/>
      </w:pPr>
      <w:r>
        <w:t xml:space="preserve">To address these issues, researchers have attempted various reforms, such as meta-analysis and pre-registration.</w:t>
      </w:r>
      <w:r>
        <w:t xml:space="preserve"> </w:t>
      </w:r>
      <w:r>
        <w:t xml:space="preserve">Meta-analysis is a statistical technique that combines the results of multiple studies to increase the power of analysis.</w:t>
      </w:r>
      <w:r>
        <w:t xml:space="preserve"> </w:t>
      </w:r>
      <w:r>
        <w:t xml:space="preserve">Pre-registration involves publicly registering a study’s design and methods before collecting data, to mitigate QRPs.</w:t>
      </w:r>
    </w:p>
    <w:bookmarkEnd w:id="33"/>
    <w:bookmarkStart w:id="34" w:name="a-new-model"/>
    <w:p>
      <w:pPr>
        <w:pStyle w:val="Heading2"/>
      </w:pPr>
      <w:r>
        <w:t xml:space="preserve">A New model</w:t>
      </w:r>
    </w:p>
    <w:p>
      <w:pPr>
        <w:pStyle w:val="FirstParagraph"/>
      </w:pPr>
      <w:r>
        <w:t xml:space="preserve">Registered Reports (RRs) are a new model that combines pre-registration with peer review.</w:t>
      </w:r>
      <w:r>
        <w:t xml:space="preserve"> </w:t>
      </w:r>
      <w:r>
        <w:t xml:space="preserve">In this model, researchers submit a detailed proposal of their study, including their hypotheses, methods, and analyses, for review before data collection.</w:t>
      </w:r>
      <w:r>
        <w:t xml:space="preserve"> </w:t>
      </w:r>
      <w:r>
        <w:t xml:space="preserve">If the proposal is accepted, the study is guaranteed publication, regardless of the results.</w:t>
      </w:r>
      <w:r>
        <w:t xml:space="preserve"> </w:t>
      </w:r>
      <w:r>
        <w:t xml:space="preserve">This incentivizes rigorous methodology and reduces QRPs, as researchers cannot manipulate their analyses to obtain significant results.</w:t>
      </w:r>
    </w:p>
    <w:p>
      <w:pPr>
        <w:pStyle w:val="BodyText"/>
      </w:pPr>
      <w:r>
        <w:t xml:space="preserve">RRs were first introduced in 2013 by the Center for Open Science (COS), and have since been adopted by many journals across various fields, including psychology, neuroscience, and medicine.</w:t>
      </w:r>
    </w:p>
    <w:p>
      <w:pPr>
        <w:pStyle w:val="BodyText"/>
      </w:pPr>
      <w:r>
        <w:t xml:space="preserve">Pre-registration is often confused with RR, but they differ in that pre-registration is a separate step that occurs before the traditional publishing pipeline, whereas RR is integrated into the publishing process.</w:t>
      </w:r>
      <w:r>
        <w:t xml:space="preserve"> </w:t>
      </w:r>
      <w:r>
        <w:t xml:space="preserve">RRs cannot solve all the problems with the current model, but they can help reduce QRPs and increase transparency in scientific research.</w:t>
      </w:r>
    </w:p>
    <w:bookmarkEnd w:id="34"/>
    <w:bookmarkStart w:id="35" w:name="current-state-future"/>
    <w:p>
      <w:pPr>
        <w:pStyle w:val="Heading2"/>
      </w:pPr>
      <w:r>
        <w:t xml:space="preserve">Current state, future</w:t>
      </w:r>
    </w:p>
    <w:p>
      <w:pPr>
        <w:pStyle w:val="FirstParagraph"/>
      </w:pPr>
      <w:r>
        <w:t xml:space="preserve">RRs are gaining popularity, but some fields, such as linguistics, have been slow to adopt them.</w:t>
      </w:r>
      <w:r>
        <w:t xml:space="preserve"> </w:t>
      </w:r>
      <w:r>
        <w:t xml:space="preserve">RRs may particularly benefit early-career researchers (ECRs), who can use them to increase their chances of publication and build a reputation for rigor.</w:t>
      </w:r>
      <w:r>
        <w:t xml:space="preserve"> </w:t>
      </w:r>
      <w:r>
        <w:t xml:space="preserve">However, more senior researchers may be resistant to change and may need to be convinced of the benefits of RRs for the field as a whole.</w:t>
      </w:r>
    </w:p>
    <w:p>
      <w:pPr>
        <w:pStyle w:val="BodyText"/>
      </w:pPr>
      <w:r>
        <w:t xml:space="preserve">In conclusion, Registered Reports represent a promising new model for publishing scientific research that can help reduce QRPs and increase transparency.</w:t>
      </w:r>
      <w:r>
        <w:t xml:space="preserve"> </w:t>
      </w:r>
      <w:r>
        <w:t xml:space="preserve">As more journals adopt RRs, the scientific community can move towards a more rigorous and trustworthy publishing model.</w:t>
      </w:r>
    </w:p>
    <w:bookmarkEnd w:id="35"/>
    <w:bookmarkEnd w:id="36"/>
    <w:bookmarkStart w:id="37" w:name="reproducible-code-and-projects"/>
    <w:p>
      <w:pPr>
        <w:pStyle w:val="Heading1"/>
      </w:pPr>
      <w:r>
        <w:t xml:space="preserve">Reproducible code and projects</w:t>
      </w:r>
    </w:p>
    <w:p>
      <w:pPr>
        <w:pStyle w:val="FirstParagraph"/>
      </w:pPr>
      <w:r>
        <w:t xml:space="preserve">Reproducibility is a crucial aspect of any scientific study, and it has become increasingly important in recent years.</w:t>
      </w:r>
      <w:r>
        <w:t xml:space="preserve"> </w:t>
      </w:r>
      <w:r>
        <w:t xml:space="preserve">Researchers must be able to provide a clear and transparent account of their findings, including the methods used to obtain them.</w:t>
      </w:r>
      <w:r>
        <w:t xml:space="preserve"> </w:t>
      </w:r>
      <w:r>
        <w:t xml:space="preserve">Reproducibility can help to ensure that research results are valid, reliable, and can be used by others to build on existing knowledge.</w:t>
      </w:r>
      <w:r>
        <w:t xml:space="preserve"> </w:t>
      </w:r>
      <w:r>
        <w:t xml:space="preserve">In this section, we explore the importance of reproducibility, what we know about it in the fields of psychology and linguistics, and how researchers can make their code and projects more reproducible.</w:t>
      </w:r>
    </w:p>
    <w:p>
      <w:pPr>
        <w:pStyle w:val="BodyText"/>
      </w:pPr>
      <w:r>
        <w:t xml:space="preserve">The importance of reproducibility cannot be overstated.</w:t>
      </w:r>
      <w:r>
        <w:t xml:space="preserve"> </w:t>
      </w:r>
      <w:r>
        <w:t xml:space="preserve">In general, it helps to increase the credibility of research findings and allows other researchers to verify and build on existing work.</w:t>
      </w:r>
      <w:r>
        <w:t xml:space="preserve"> </w:t>
      </w:r>
      <w:r>
        <w:t xml:space="preserve">At worst, a lack of reproducibility can lead to irreproducible results and wasted resources.</w:t>
      </w:r>
      <w:r>
        <w:t xml:space="preserve"> </w:t>
      </w:r>
      <w:r>
        <w:t xml:space="preserve">This can have serious implications for public health and policy decisions based on research findings.</w:t>
      </w:r>
    </w:p>
    <w:p>
      <w:pPr>
        <w:pStyle w:val="BodyText"/>
      </w:pPr>
      <w:r>
        <w:t xml:space="preserve">In order to ensure reproducibility, it is necessary to be transparent about the methods used in research.</w:t>
      </w:r>
      <w:r>
        <w:t xml:space="preserve"> </w:t>
      </w:r>
      <w:r>
        <w:t xml:space="preserve">This includes not only the data collection and analysis methods but also the code used to conduct the analysis.</w:t>
      </w:r>
      <w:r>
        <w:t xml:space="preserve"> </w:t>
      </w:r>
      <w:r>
        <w:t xml:space="preserve">In the fields of psychology and linguistics, there is increasing awareness of the importance of reproducibility, and many researchers are taking steps to improve the transparency of their research.</w:t>
      </w:r>
    </w:p>
    <w:p>
      <w:pPr>
        <w:pStyle w:val="BodyText"/>
      </w:pPr>
      <w:r>
        <w:t xml:space="preserve">Researchers have an ethical responsibility to make their code and projects reproducible.</w:t>
      </w:r>
      <w:r>
        <w:t xml:space="preserve"> </w:t>
      </w:r>
      <w:r>
        <w:t xml:space="preserve">There are several steps that researchers can take to make their code and projects more reproducible.</w:t>
      </w:r>
      <w:r>
        <w:t xml:space="preserve"> </w:t>
      </w:r>
      <w:r>
        <w:t xml:space="preserve">One approach is to create reports that document the research process, including the data used, the methods used to analyze the data, and the results obtained.</w:t>
      </w:r>
      <w:r>
        <w:t xml:space="preserve"> </w:t>
      </w:r>
      <w:r>
        <w:t xml:space="preserve">This documentation can then be used to reproduce the research findings.</w:t>
      </w:r>
    </w:p>
    <w:p>
      <w:pPr>
        <w:pStyle w:val="BodyText"/>
      </w:pPr>
      <w:r>
        <w:t xml:space="preserve">Another approach is to create reproducible projects.</w:t>
      </w:r>
      <w:r>
        <w:t xml:space="preserve"> </w:t>
      </w:r>
      <w:r>
        <w:t xml:space="preserve">These projects include all of the data, code, and documentation necessary to reproduce the research findings.</w:t>
      </w:r>
      <w:r>
        <w:t xml:space="preserve"> </w:t>
      </w:r>
      <w:r>
        <w:t xml:space="preserve">This approach makes it easier for others to reproduce the research findings and build on the work.</w:t>
      </w:r>
    </w:p>
    <w:p>
      <w:pPr>
        <w:pStyle w:val="BodyText"/>
      </w:pPr>
      <w:r>
        <w:t xml:space="preserve">Dependency management tools like renv and targets can also be helpful in ensuring reproducibility.</w:t>
      </w:r>
      <w:r>
        <w:t xml:space="preserve"> </w:t>
      </w:r>
      <w:r>
        <w:t xml:space="preserve">These tools help to manage the dependencies that are necessary to run the code and ensure that the code can be run on different systems.</w:t>
      </w:r>
      <w:r>
        <w:t xml:space="preserve"> </w:t>
      </w:r>
      <w:r>
        <w:t xml:space="preserve">Computational reproducibility platforms like Binder and Code Ocean can also be used to ensure reproducibility.</w:t>
      </w:r>
      <w:r>
        <w:t xml:space="preserve"> </w:t>
      </w:r>
      <w:r>
        <w:t xml:space="preserve">These platforms allow researchers to share their code and data in a way that can be easily replicated by others.</w:t>
      </w:r>
    </w:p>
    <w:p>
      <w:pPr>
        <w:pStyle w:val="BodyText"/>
      </w:pPr>
      <w:r>
        <w:t xml:space="preserve">It is important to note that there is no way to future-proof code or projects.</w:t>
      </w:r>
      <w:r>
        <w:t xml:space="preserve"> </w:t>
      </w:r>
      <w:r>
        <w:t xml:space="preserve">Researchers must continually work to maintain the reproducibility of their work.</w:t>
      </w:r>
      <w:r>
        <w:t xml:space="preserve"> </w:t>
      </w:r>
      <w:r>
        <w:t xml:space="preserve">This includes updating the code and documentation as needed and testing the code on different systems to ensure that it can be run in different environments.</w:t>
      </w:r>
    </w:p>
    <w:p>
      <w:pPr>
        <w:pStyle w:val="BodyText"/>
      </w:pPr>
      <w:r>
        <w:t xml:space="preserve">In conclusion, reproducibility is a crucial aspect of scientific research.</w:t>
      </w:r>
      <w:r>
        <w:t xml:space="preserve"> </w:t>
      </w:r>
      <w:r>
        <w:t xml:space="preserve">It helps to ensure that research findings are valid, reliable, and can be used by others to build on existing knowledge.</w:t>
      </w:r>
      <w:r>
        <w:t xml:space="preserve"> </w:t>
      </w:r>
      <w:r>
        <w:t xml:space="preserve">In the fields of psychology and linguistics, there is increasing awareness of the importance of reproducibility, and many researchers are taking steps to improve the transparency of their research.</w:t>
      </w:r>
      <w:r>
        <w:t xml:space="preserve"> </w:t>
      </w:r>
      <w:r>
        <w:t xml:space="preserve">By creating reports, reproducible projects, and using dependency management tools and computational reproducibility platforms, researchers can make their code and projects more reproducible.</w:t>
      </w:r>
    </w:p>
    <w:bookmarkEnd w:id="37"/>
    <w:bookmarkStart w:id="42" w:name="prepost-prints"/>
    <w:p>
      <w:pPr>
        <w:pStyle w:val="Heading1"/>
      </w:pPr>
      <w:r>
        <w:t xml:space="preserve">Pre/post prints</w:t>
      </w:r>
    </w:p>
    <w:p>
      <w:pPr>
        <w:pStyle w:val="FirstParagraph"/>
      </w:pPr>
      <w:r>
        <w:t xml:space="preserve">In recent years, the concept of open science has gained traction in academic circles.</w:t>
      </w:r>
      <w:r>
        <w:t xml:space="preserve"> </w:t>
      </w:r>
      <w:r>
        <w:t xml:space="preserve">The idea behind open science is to make scientific research and data more accessible, transparent, and reproducible.</w:t>
      </w:r>
      <w:r>
        <w:t xml:space="preserve"> </w:t>
      </w:r>
      <w:r>
        <w:t xml:space="preserve">One of the ways in which open science is being promoted is through the use of pre-prints.</w:t>
      </w:r>
    </w:p>
    <w:bookmarkStart w:id="38" w:name="what-is-a-pre-print"/>
    <w:p>
      <w:pPr>
        <w:pStyle w:val="Heading2"/>
      </w:pPr>
      <w:r>
        <w:t xml:space="preserve">What is a pre-print?</w:t>
      </w:r>
    </w:p>
    <w:p>
      <w:pPr>
        <w:pStyle w:val="FirstParagraph"/>
      </w:pPr>
      <w:r>
        <w:t xml:space="preserve">A pre-print is a version of a research article, open and accessible, that has not yet undergone peer review but is publicly available online, through a pre-print server.</w:t>
      </w:r>
      <w:r>
        <w:t xml:space="preserve"> </w:t>
      </w:r>
      <w:r>
        <w:t xml:space="preserve">The general process consists of an initial screening process, followed by a posting of the manuscript on the preprint server within a few days of submission, bypassing peer review, and making the research findings freely accessible online</w:t>
      </w:r>
      <w:r>
        <w:t xml:space="preserve"> </w:t>
      </w:r>
      <w:r>
        <w:t xml:space="preserve">(Puebla, Polka, &amp; Rieger, 2021)</w:t>
      </w:r>
      <w:r>
        <w:t xml:space="preserve">.</w:t>
      </w:r>
      <w:r>
        <w:t xml:space="preserve"> </w:t>
      </w:r>
      <w:r>
        <w:t xml:space="preserve">Pre-prints allow researchers to share their findings with the scientific community and get feedback before their work is published in a traditional academic journal.</w:t>
      </w:r>
      <w:r>
        <w:t xml:space="preserve"> </w:t>
      </w:r>
      <w:r>
        <w:t xml:space="preserve">This process can speed up the dissemination of knowledge and facilitate collaboration between researchers.</w:t>
      </w:r>
      <w:r>
        <w:t xml:space="preserve"> </w:t>
      </w:r>
      <w:r>
        <w:t xml:space="preserve">While pre-prints accelerate the dissemination of research, it is vital to remember that this process does not always lead to journal publication.</w:t>
      </w:r>
      <w:r>
        <w:t xml:space="preserve"> </w:t>
      </w:r>
      <w:r>
        <w:t xml:space="preserve">This can occur for several reasons, such as authors may choose not to pursue this route, or the research may be intended for different dissemination avenues</w:t>
      </w:r>
      <w:r>
        <w:t xml:space="preserve"> </w:t>
      </w:r>
      <w:r>
        <w:t xml:space="preserve">(Ettinger et al., 2022)</w:t>
      </w:r>
      <w:r>
        <w:t xml:space="preserve">.</w:t>
      </w:r>
      <w:r>
        <w:t xml:space="preserve"> </w:t>
      </w:r>
      <w:r>
        <w:t xml:space="preserve">Pre-prints have become increasingly popular in recent years, particularly in fields such as biology, physics, and computer science.</w:t>
      </w:r>
      <w:r>
        <w:t xml:space="preserve"> </w:t>
      </w:r>
      <w:r>
        <w:t xml:space="preserve">The adoption of pre-prints has been slower in some fields, such as the social sciences and humanities, but this is changing as more researchers become aware of the benefits of open science, and new national and regional platforms by open science advocates continue to emerge.</w:t>
      </w:r>
    </w:p>
    <w:bookmarkEnd w:id="38"/>
    <w:bookmarkStart w:id="39" w:name="what-are-the-benefits-of-pre-printing"/>
    <w:p>
      <w:pPr>
        <w:pStyle w:val="Heading2"/>
      </w:pPr>
      <w:r>
        <w:t xml:space="preserve">What are the benefits of pre-printing?</w:t>
      </w:r>
    </w:p>
    <w:p>
      <w:pPr>
        <w:pStyle w:val="FirstParagraph"/>
      </w:pPr>
      <w:r>
        <w:t xml:space="preserve">One of the primary benefits of pre-prints is that they allow researchers to share their findings quickly and easily.</w:t>
      </w:r>
      <w:r>
        <w:t xml:space="preserve"> </w:t>
      </w:r>
      <w:r>
        <w:t xml:space="preserve">This can be especially important in fields where research moves quickly, such as biology or computer science.</w:t>
      </w:r>
      <w:r>
        <w:t xml:space="preserve"> </w:t>
      </w:r>
      <w:r>
        <w:t xml:space="preserve">Pre-prints also allow researchers to receive feedback on their work from their peers, which can help to improve the quality of their research.</w:t>
      </w:r>
      <w:r>
        <w:t xml:space="preserve"> </w:t>
      </w:r>
      <w:r>
        <w:t xml:space="preserve">The provision of commentary and reviews of pre-prints yields benefits not only to the authors but also extends support to the authors, but this process also supports reviewers, journals and publishers, and the reader audience.</w:t>
      </w:r>
      <w:r>
        <w:t xml:space="preserve"> </w:t>
      </w:r>
      <w:r>
        <w:t xml:space="preserve">This inclusive process allows more researchers and reviewers to participate in discussing the research findings and reduces the need for repeated rounds of re-review or extensive revisions.</w:t>
      </w:r>
    </w:p>
    <w:p>
      <w:pPr>
        <w:pStyle w:val="BodyText"/>
      </w:pPr>
      <w:r>
        <w:t xml:space="preserve">One of the most significant benefits of pre-prints is their</w:t>
      </w:r>
      <w:r>
        <w:t xml:space="preserve"> </w:t>
      </w:r>
      <w:r>
        <w:t xml:space="preserve">“</w:t>
      </w:r>
      <w:r>
        <w:t xml:space="preserve">early view</w:t>
      </w:r>
      <w:r>
        <w:t xml:space="preserve">”</w:t>
      </w:r>
      <w:r>
        <w:t xml:space="preserve"> </w:t>
      </w:r>
      <w:r>
        <w:t xml:space="preserve">and</w:t>
      </w:r>
      <w:r>
        <w:t xml:space="preserve"> </w:t>
      </w:r>
      <w:r>
        <w:t xml:space="preserve">“</w:t>
      </w:r>
      <w:r>
        <w:t xml:space="preserve">open access</w:t>
      </w:r>
      <w:r>
        <w:t xml:space="preserve">”</w:t>
      </w:r>
      <w:r>
        <w:t xml:space="preserve"> </w:t>
      </w:r>
      <w:r>
        <w:t xml:space="preserve">effect, which leads to more attention from readers, increasing visibility and development of the overall research</w:t>
      </w:r>
      <w:r>
        <w:t xml:space="preserve"> </w:t>
      </w:r>
      <w:r>
        <w:t xml:space="preserve">(Das Biswas &amp; Biswas, 2023)</w:t>
      </w:r>
      <w:r>
        <w:t xml:space="preserve">.</w:t>
      </w:r>
      <w:r>
        <w:t xml:space="preserve"> </w:t>
      </w:r>
      <w:r>
        <w:t xml:space="preserve">Pre-prints are not just quick dissemination; they also promote transparency and reproducibility in scientific research.</w:t>
      </w:r>
      <w:r>
        <w:t xml:space="preserve"> </w:t>
      </w:r>
      <w:r>
        <w:t xml:space="preserve">Recognizing these benefits, more major publishers have either launched preprint platforms or entered partnerships over the past 5-7 years, allowing preprints to be incorporated into the workflow</w:t>
      </w:r>
      <w:r>
        <w:t xml:space="preserve"> </w:t>
      </w:r>
      <w:r>
        <w:t xml:space="preserve">(Puebla et al., 2021)</w:t>
      </w:r>
      <w:r>
        <w:t xml:space="preserve">.</w:t>
      </w:r>
      <w:r>
        <w:t xml:space="preserve"> </w:t>
      </w:r>
      <w:r>
        <w:t xml:space="preserve">By making research findings available to the public before peer-review, pre-prints not only improve the accuracy and reliability of research findings but also encourage collaborative efforts to identify potential errors, refine methodologies, and accelerate knowledge dissemination.</w:t>
      </w:r>
    </w:p>
    <w:p>
      <w:pPr>
        <w:pStyle w:val="BodyText"/>
      </w:pPr>
      <w:r>
        <w:t xml:space="preserve">Another benefit of pre-prints is that they can help to reduce publication bias, a widespread challenge in traditional publishing.</w:t>
      </w:r>
      <w:r>
        <w:t xml:space="preserve"> </w:t>
      </w:r>
      <w:r>
        <w:t xml:space="preserve">Publication bias occurs when positive results are more likely to be published than negative results.</w:t>
      </w:r>
      <w:r>
        <w:t xml:space="preserve"> </w:t>
      </w:r>
      <w:r>
        <w:t xml:space="preserve">This can skew the scientific literature and lead to a misunderstanding of the state of the research.</w:t>
      </w:r>
      <w:r>
        <w:t xml:space="preserve"> </w:t>
      </w:r>
      <w:r>
        <w:t xml:space="preserve">Pre-prints address this obstacle by openly sharing all research findings, regardless of outcome, creating a fairer and more accurate representation of the current scientific landscape of that field.</w:t>
      </w:r>
    </w:p>
    <w:bookmarkEnd w:id="39"/>
    <w:bookmarkStart w:id="40" w:name="why-the-hesitation-to-pre-print"/>
    <w:p>
      <w:pPr>
        <w:pStyle w:val="Heading2"/>
      </w:pPr>
      <w:r>
        <w:t xml:space="preserve">Why the hesitation to pre-print?</w:t>
      </w:r>
    </w:p>
    <w:p>
      <w:pPr>
        <w:pStyle w:val="FirstParagraph"/>
      </w:pPr>
      <w:r>
        <w:t xml:space="preserve">Despite these benefits, some researchers remain hesitant to use pre-prints.</w:t>
      </w:r>
      <w:r>
        <w:t xml:space="preserve"> </w:t>
      </w:r>
      <w:r>
        <w:t xml:space="preserve">One concern is that publishing a pre-print may harm their chances of being published in a traditional academic journal.</w:t>
      </w:r>
      <w:r>
        <w:t xml:space="preserve"> </w:t>
      </w:r>
      <w:r>
        <w:t xml:space="preserve">However, this concern is becoming less relevant as more journals are accepting pre-prints as a legitimate form of publication.</w:t>
      </w:r>
      <w:r>
        <w:t xml:space="preserve"> </w:t>
      </w:r>
      <w:r>
        <w:t xml:space="preserve">According to</w:t>
      </w:r>
      <w:r>
        <w:t xml:space="preserve"> </w:t>
      </w:r>
      <w:r>
        <w:t xml:space="preserve">Liu &amp; De Cat (2021)</w:t>
      </w:r>
      <w:r>
        <w:t xml:space="preserve">, who conducted a survey asking as to the barriers in sharing preprints and discovered that the following were raised as additional barriers: peer review, journal policy, lack of knowledge of the process, confidentiality issues, data types, utility of sharing preprints, time constraints, and issues in preprint management.</w:t>
      </w:r>
    </w:p>
    <w:p>
      <w:pPr>
        <w:pStyle w:val="BodyText"/>
      </w:pPr>
      <w:r>
        <w:t xml:space="preserve">One of the concerns about preprints is their ability to secure the steady resources (technologies, expertise, policies, visions, standards, and so on) required to maintain and enhance the value of a service based on a user community’s needs</w:t>
      </w:r>
      <w:r>
        <w:t xml:space="preserve"> </w:t>
      </w:r>
      <w:r>
        <w:t xml:space="preserve">(Rieger, 2012)</w:t>
      </w:r>
      <w:r>
        <w:t xml:space="preserve">.</w:t>
      </w:r>
      <w:r>
        <w:t xml:space="preserve"> </w:t>
      </w:r>
      <w:r>
        <w:t xml:space="preserve">Preprints emerged as a</w:t>
      </w:r>
      <w:r>
        <w:t xml:space="preserve"> </w:t>
      </w:r>
      <w:r>
        <w:t xml:space="preserve">‘</w:t>
      </w:r>
      <w:r>
        <w:t xml:space="preserve">public good</w:t>
      </w:r>
      <w:r>
        <w:t xml:space="preserve">’</w:t>
      </w:r>
      <w:r>
        <w:t xml:space="preserve"> </w:t>
      </w:r>
      <w:r>
        <w:t xml:space="preserve">and preprint platforms provide a free service to both authors and readers; at the same time, many of the existing preprint services lack a scalable and transparent business model.</w:t>
      </w:r>
    </w:p>
    <w:p>
      <w:pPr>
        <w:pStyle w:val="BodyText"/>
      </w:pPr>
      <w:r>
        <w:t xml:space="preserve">Additionally, data shows that more senior researchers had more experience sharing through the format of preprint than PhD students and early-career researchers in the 0-4 years group</w:t>
      </w:r>
      <w:r>
        <w:t xml:space="preserve"> </w:t>
      </w:r>
      <w:r>
        <w:t xml:space="preserve">(Liu &amp; De Cat, 2021)</w:t>
      </w:r>
      <w:r>
        <w:t xml:space="preserve">.</w:t>
      </w:r>
      <w:r>
        <w:t xml:space="preserve"> </w:t>
      </w:r>
      <w:r>
        <w:t xml:space="preserve">However, the data collected from these surveys showed positive attitudes and willingness to contribute to open science through the submission of pre-prints. These findings encourage early-career researchers to submit their research for pre-prints to receive valuable feedback from established scholars in their field of study and to increase visibility of their research, particularly in rapidly evolving fields.</w:t>
      </w:r>
    </w:p>
    <w:bookmarkEnd w:id="40"/>
    <w:bookmarkStart w:id="41" w:name="what-is-the-process-to-pre-print"/>
    <w:p>
      <w:pPr>
        <w:pStyle w:val="Heading2"/>
      </w:pPr>
      <w:r>
        <w:t xml:space="preserve">What is the process to pre-print?</w:t>
      </w:r>
    </w:p>
    <w:p>
      <w:pPr>
        <w:pStyle w:val="FirstParagraph"/>
      </w:pPr>
      <w:r>
        <w:t xml:space="preserve">First, select your pre-print server that aligns with your course of research.</w:t>
      </w:r>
      <w:r>
        <w:t xml:space="preserve"> </w:t>
      </w:r>
      <w:r>
        <w:t xml:space="preserve">Next, all pre-prints undergo a short screening, confirming author background, basic research content, and compliance with the ethical standards of the pre-print platform.</w:t>
      </w:r>
      <w:r>
        <w:t xml:space="preserve"> </w:t>
      </w:r>
      <w:r>
        <w:t xml:space="preserve">Once pre-prints pass the screening process, the content is made available online in open access format, encouraging others to comment and share.</w:t>
      </w:r>
      <w:r>
        <w:t xml:space="preserve"> </w:t>
      </w:r>
      <w:r>
        <w:t xml:space="preserve">To learn more about the various methods for preparing linguistic data for archiving and sharing,</w:t>
      </w:r>
      <w:r>
        <w:t xml:space="preserve"> </w:t>
      </w:r>
      <w:r>
        <w:t xml:space="preserve">Thomason (2022)</w:t>
      </w:r>
      <w:r>
        <w:t xml:space="preserve"> </w:t>
      </w:r>
      <w:r>
        <w:t xml:space="preserve">shares more on Open Handbook of Linguistic Data Management.</w:t>
      </w:r>
    </w:p>
    <w:p>
      <w:pPr>
        <w:pStyle w:val="BodyText"/>
      </w:pPr>
      <w:r>
        <w:t xml:space="preserve">In conclusion, the growing visibility of pre-prints, and their acceptance as valid research outputs by diverse stakeholders, including researchers, funders, and national institutions, has fueled collaborative research efforts and strengthened support for their presence in a variety of research disciplinaries.</w:t>
      </w:r>
      <w:r>
        <w:t xml:space="preserve"> </w:t>
      </w:r>
      <w:r>
        <w:t xml:space="preserve">Pre-prints play an important role in advancing the tenets of open science by promoting transparency, reproducibility, and collaboration.</w:t>
      </w:r>
      <w:r>
        <w:t xml:space="preserve"> </w:t>
      </w:r>
      <w:r>
        <w:t xml:space="preserve">While some researchers may still be hesitant to use this dissemination paradigm, the benefits of open science are becoming increasingly clear.</w:t>
      </w:r>
      <w:r>
        <w:t xml:space="preserve"> </w:t>
      </w:r>
      <w:r>
        <w:t xml:space="preserve">By embracing pre-prints, researchers can accelerate the dissemination of knowledge, improve the quality of research, and ensure that their findings are available to the widest possible audience.</w:t>
      </w:r>
    </w:p>
    <w:bookmarkEnd w:id="41"/>
    <w:bookmarkEnd w:id="42"/>
    <w:bookmarkStart w:id="43" w:name="conclusion"/>
    <w:p>
      <w:pPr>
        <w:pStyle w:val="Heading1"/>
      </w:pPr>
      <w:r>
        <w:t xml:space="preserve">Conclusion</w:t>
      </w:r>
    </w:p>
    <w:p>
      <w:pPr>
        <w:pStyle w:val="FirstParagraph"/>
      </w:pPr>
      <w:r>
        <w:t xml:space="preserve">The purpose of this article is to help foster open science in linguistics (FOSIL).</w:t>
      </w:r>
      <w:r>
        <w:t xml:space="preserve"> </w:t>
      </w:r>
      <w:r>
        <w:t xml:space="preserve">The early 2010’s saw the reproducibility crisis take hold of the psychological sciences.</w:t>
      </w:r>
      <w:r>
        <w:t xml:space="preserve"> </w:t>
      </w:r>
      <w:r>
        <w:t xml:space="preserve">As a consequence, there has been a push for increased transparency and reproducible methodology to help mitigate the effects of questionable research practices.</w:t>
      </w:r>
      <w:r>
        <w:t xml:space="preserve"> </w:t>
      </w:r>
      <w:r>
        <w:t xml:space="preserve">The resulting methodological framework and associated techniques, now referred to as open science, have reshaped research methods in psychology and have slowly but surely made their way into adjacent fields, such as linguistics.</w:t>
      </w:r>
      <w:r>
        <w:t xml:space="preserve"> </w:t>
      </w:r>
      <w:r>
        <w:t xml:space="preserve">Important considerations often overlooked in the wake of the open science movement deal with (1) how linguists actually learn open science practices and (2) how senior researchers can train the next generation of linguists.</w:t>
      </w:r>
      <w:r>
        <w:t xml:space="preserve"> </w:t>
      </w:r>
      <w:r>
        <w:t xml:space="preserve">Few, if any, researchers have had explicit instruction on the practices of open science as part of their professional training.</w:t>
      </w:r>
      <w:r>
        <w:t xml:space="preserve"> </w:t>
      </w:r>
      <w:r>
        <w:t xml:space="preserve">Nonetheless, today’s speech researcher is expected to be up to date on the current protocols of open science in order incorporate the methodological practices aimed at improving reproducibility/replicability.</w:t>
      </w:r>
      <w:r>
        <w:t xml:space="preserve"> </w:t>
      </w:r>
      <w:r>
        <w:t xml:space="preserve">The FOSIL project aims to make open science practices clear and accessible to people conducting research in the field of linguistics.</w:t>
      </w:r>
    </w:p>
    <w:p>
      <w:r>
        <w:br w:type="page"/>
      </w:r>
    </w:p>
    <w:bookmarkEnd w:id="43"/>
    <w:bookmarkStart w:id="89" w:name="references"/>
    <w:p>
      <w:pPr>
        <w:pStyle w:val="Heading1"/>
      </w:pPr>
      <w:r>
        <w:t xml:space="preserve">References</w:t>
      </w:r>
    </w:p>
    <w:bookmarkStart w:id="88" w:name="refs"/>
    <w:bookmarkStart w:id="44" w:name="ref-barnes1995complete"/>
    <w:p>
      <w:pPr>
        <w:pStyle w:val="Bibliography"/>
      </w:pPr>
      <w:r>
        <w:t xml:space="preserve">Barnes, J. et al. (1995).</w:t>
      </w:r>
      <w:r>
        <w:t xml:space="preserve"> </w:t>
      </w:r>
      <w:r>
        <w:rPr>
          <w:iCs/>
          <w:i/>
        </w:rPr>
        <w:t xml:space="preserve">The complete works of aristotle</w:t>
      </w:r>
      <w:r>
        <w:t xml:space="preserve"> </w:t>
      </w:r>
      <w:r>
        <w:t xml:space="preserve">(Vol. 2). Princeton University Press.</w:t>
      </w:r>
    </w:p>
    <w:bookmarkEnd w:id="44"/>
    <w:bookmarkStart w:id="46" w:name="ref-berger2015now"/>
    <w:p>
      <w:pPr>
        <w:pStyle w:val="Bibliography"/>
      </w:pPr>
      <w:r>
        <w:t xml:space="preserve">Berger, R. (2015). Now</w:t>
      </w:r>
      <w:r>
        <w:t xml:space="preserve"> </w:t>
      </w:r>
      <w:r>
        <w:t xml:space="preserve">I</w:t>
      </w:r>
      <w:r>
        <w:t xml:space="preserve"> </w:t>
      </w:r>
      <w:r>
        <w:t xml:space="preserve">see it, now</w:t>
      </w:r>
      <w:r>
        <w:t xml:space="preserve"> </w:t>
      </w:r>
      <w:r>
        <w:t xml:space="preserve">I</w:t>
      </w:r>
      <w:r>
        <w:t xml:space="preserve"> </w:t>
      </w:r>
      <w:r>
        <w:t xml:space="preserve">don’t: Researcher’s position and reflexivity in qualitative research.</w:t>
      </w:r>
      <w:r>
        <w:t xml:space="preserve"> </w:t>
      </w:r>
      <w:r>
        <w:rPr>
          <w:iCs/>
          <w:i/>
        </w:rPr>
        <w:t xml:space="preserve">Qualitative Research</w:t>
      </w:r>
      <w:r>
        <w:t xml:space="preserve">,</w:t>
      </w:r>
      <w:r>
        <w:t xml:space="preserve"> </w:t>
      </w:r>
      <w:r>
        <w:rPr>
          <w:iCs/>
          <w:i/>
        </w:rPr>
        <w:t xml:space="preserve">15</w:t>
      </w:r>
      <w:r>
        <w:t xml:space="preserve">(2), 219–234.</w:t>
      </w:r>
      <w:r>
        <w:t xml:space="preserve"> </w:t>
      </w:r>
      <w:hyperlink r:id="rId45">
        <w:r>
          <w:rPr>
            <w:rStyle w:val="Hyperlink"/>
          </w:rPr>
          <w:t xml:space="preserve">https://doi.org/10.1177/1468794112468</w:t>
        </w:r>
      </w:hyperlink>
    </w:p>
    <w:bookmarkEnd w:id="46"/>
    <w:bookmarkStart w:id="48" w:name="ref-bucholtz2023researcher"/>
    <w:p>
      <w:pPr>
        <w:pStyle w:val="Bibliography"/>
      </w:pPr>
      <w:r>
        <w:t xml:space="preserve">Bucholtz, M., Campbell, E. W., Cevallos, T., Cruz, V., Fawcett, A. Z., Guerrero, B., … Reyes Basurto, G. (2023). Researcher positionality in linguistics: Lessons from undergraduate experiences in community-centered collaborative research.</w:t>
      </w:r>
      <w:r>
        <w:t xml:space="preserve"> </w:t>
      </w:r>
      <w:r>
        <w:rPr>
          <w:iCs/>
          <w:i/>
        </w:rPr>
        <w:t xml:space="preserve">Language and Linguistics Compass</w:t>
      </w:r>
      <w:r>
        <w:t xml:space="preserve">,</w:t>
      </w:r>
      <w:r>
        <w:t xml:space="preserve"> </w:t>
      </w:r>
      <w:r>
        <w:rPr>
          <w:iCs/>
          <w:i/>
        </w:rPr>
        <w:t xml:space="preserve">17</w:t>
      </w:r>
      <w:r>
        <w:t xml:space="preserve">(4), 1–15.</w:t>
      </w:r>
      <w:r>
        <w:t xml:space="preserve"> </w:t>
      </w:r>
      <w:hyperlink r:id="rId47">
        <w:r>
          <w:rPr>
            <w:rStyle w:val="Hyperlink"/>
          </w:rPr>
          <w:t xml:space="preserve">https://doi.org/10.1111/lnc3.12495</w:t>
        </w:r>
      </w:hyperlink>
    </w:p>
    <w:bookmarkEnd w:id="48"/>
    <w:bookmarkStart w:id="50" w:name="ref-camerer2016evaluating"/>
    <w:p>
      <w:pPr>
        <w:pStyle w:val="Bibliography"/>
      </w:pPr>
      <w:r>
        <w:t xml:space="preserve">Camerer, C. F., Dreber, A., Forsell, E., Ho, T.-H., Huber, J., Johannesson, M., et al.others. (2016). Evaluating replicability of laboratory experiments in economics.</w:t>
      </w:r>
      <w:r>
        <w:t xml:space="preserve"> </w:t>
      </w:r>
      <w:r>
        <w:rPr>
          <w:iCs/>
          <w:i/>
        </w:rPr>
        <w:t xml:space="preserve">Science</w:t>
      </w:r>
      <w:r>
        <w:t xml:space="preserve">,</w:t>
      </w:r>
      <w:r>
        <w:t xml:space="preserve"> </w:t>
      </w:r>
      <w:r>
        <w:rPr>
          <w:iCs/>
          <w:i/>
        </w:rPr>
        <w:t xml:space="preserve">351</w:t>
      </w:r>
      <w:r>
        <w:t xml:space="preserve">(6280), 1433–1436.</w:t>
      </w:r>
      <w:r>
        <w:t xml:space="preserve"> </w:t>
      </w:r>
      <w:hyperlink r:id="rId49">
        <w:r>
          <w:rPr>
            <w:rStyle w:val="Hyperlink"/>
          </w:rPr>
          <w:t xml:space="preserve">https://doi.org/10.1126/science.aaf091</w:t>
        </w:r>
      </w:hyperlink>
    </w:p>
    <w:bookmarkEnd w:id="50"/>
    <w:bookmarkStart w:id="52" w:name="ref-camerer2018evaluating"/>
    <w:p>
      <w:pPr>
        <w:pStyle w:val="Bibliography"/>
      </w:pPr>
      <w:r>
        <w:t xml:space="preserve">Camerer, C. F., Dreber, A., Holzmeister, F., Ho, T.-H., Huber, J., Johannesson, M., et al.others. (2018). Evaluating the replicability of social science experiments in nature and science between 2010 and 2015.</w:t>
      </w:r>
      <w:r>
        <w:t xml:space="preserve"> </w:t>
      </w:r>
      <w:r>
        <w:rPr>
          <w:iCs/>
          <w:i/>
        </w:rPr>
        <w:t xml:space="preserve">Nature Human Behaviour</w:t>
      </w:r>
      <w:r>
        <w:t xml:space="preserve">,</w:t>
      </w:r>
      <w:r>
        <w:t xml:space="preserve"> </w:t>
      </w:r>
      <w:r>
        <w:rPr>
          <w:iCs/>
          <w:i/>
        </w:rPr>
        <w:t xml:space="preserve">2</w:t>
      </w:r>
      <w:r>
        <w:t xml:space="preserve">(9), 637–644.</w:t>
      </w:r>
      <w:r>
        <w:t xml:space="preserve"> </w:t>
      </w:r>
      <w:hyperlink r:id="rId51">
        <w:r>
          <w:rPr>
            <w:rStyle w:val="Hyperlink"/>
          </w:rPr>
          <w:t xml:space="preserve">https://doi.org/10.1038/s41562-018-0399-z</w:t>
        </w:r>
      </w:hyperlink>
    </w:p>
    <w:bookmarkEnd w:id="52"/>
    <w:bookmarkStart w:id="53" w:name="ref-biswas2023"/>
    <w:p>
      <w:pPr>
        <w:pStyle w:val="Bibliography"/>
      </w:pPr>
      <w:r>
        <w:t xml:space="preserve">Das Biswas, M., &amp; Biswas, A. (2023). Open access to scholarly communication through preprints: Accelerating sustainable development in education. In D. Coghlan &amp; M. Brydon-Miller (Eds.),</w:t>
      </w:r>
      <w:r>
        <w:t xml:space="preserve"> </w:t>
      </w:r>
      <w:r>
        <w:rPr>
          <w:iCs/>
          <w:i/>
        </w:rPr>
        <w:t xml:space="preserve">Digital libraries: Sustainable development in education</w:t>
      </w:r>
      <w:r>
        <w:t xml:space="preserve"> </w:t>
      </w:r>
      <w:r>
        <w:t xml:space="preserve">(pp. 525–545). National Digital Library of India, IIT Kharagpur.</w:t>
      </w:r>
    </w:p>
    <w:bookmarkEnd w:id="53"/>
    <w:bookmarkStart w:id="55" w:name="ref-de2006but"/>
    <w:p>
      <w:pPr>
        <w:pStyle w:val="Bibliography"/>
      </w:pPr>
      <w:r>
        <w:t xml:space="preserve">De Tona, C. et al. (2006). But what is interesting is the story of why and how migration happened.</w:t>
      </w:r>
      <w:r>
        <w:t xml:space="preserve"> </w:t>
      </w:r>
      <w:r>
        <w:rPr>
          <w:iCs/>
          <w:i/>
        </w:rPr>
        <w:t xml:space="preserve">Forum: Qualitative Social Research</w:t>
      </w:r>
      <w:r>
        <w:t xml:space="preserve">,</w:t>
      </w:r>
      <w:r>
        <w:t xml:space="preserve"> </w:t>
      </w:r>
      <w:r>
        <w:rPr>
          <w:iCs/>
          <w:i/>
        </w:rPr>
        <w:t xml:space="preserve">7</w:t>
      </w:r>
      <w:r>
        <w:t xml:space="preserve">(3), 1–12.</w:t>
      </w:r>
      <w:r>
        <w:t xml:space="preserve"> </w:t>
      </w:r>
      <w:hyperlink r:id="rId54">
        <w:r>
          <w:rPr>
            <w:rStyle w:val="Hyperlink"/>
          </w:rPr>
          <w:t xml:space="preserve">https://doi.org/10.17169/fqs-7.3.143</w:t>
        </w:r>
      </w:hyperlink>
    </w:p>
    <w:bookmarkEnd w:id="55"/>
    <w:bookmarkStart w:id="57" w:name="ref-errington2021investigating"/>
    <w:p>
      <w:pPr>
        <w:pStyle w:val="Bibliography"/>
      </w:pPr>
      <w:r>
        <w:t xml:space="preserve">Errington, T. M., Mathur, M., Soderberg, C. K., Denis, A., Perfito, N., Iorns, E., &amp; Nosek, B. A. (2021). Investigating the replicability of preclinical cancer biology.</w:t>
      </w:r>
      <w:r>
        <w:t xml:space="preserve"> </w:t>
      </w:r>
      <w:r>
        <w:rPr>
          <w:iCs/>
          <w:i/>
        </w:rPr>
        <w:t xml:space="preserve">Elife</w:t>
      </w:r>
      <w:r>
        <w:t xml:space="preserve">,</w:t>
      </w:r>
      <w:r>
        <w:t xml:space="preserve"> </w:t>
      </w:r>
      <w:r>
        <w:rPr>
          <w:iCs/>
          <w:i/>
        </w:rPr>
        <w:t xml:space="preserve">10</w:t>
      </w:r>
      <w:r>
        <w:t xml:space="preserve">, e71601.</w:t>
      </w:r>
      <w:r>
        <w:t xml:space="preserve"> </w:t>
      </w:r>
      <w:hyperlink r:id="rId56">
        <w:r>
          <w:rPr>
            <w:rStyle w:val="Hyperlink"/>
          </w:rPr>
          <w:t xml:space="preserve">https://doi.org/10.7554/eLife.71601</w:t>
        </w:r>
      </w:hyperlink>
    </w:p>
    <w:bookmarkEnd w:id="57"/>
    <w:bookmarkStart w:id="59" w:name="ref-ettinger_2022"/>
    <w:p>
      <w:pPr>
        <w:pStyle w:val="Bibliography"/>
      </w:pPr>
      <w:r>
        <w:t xml:space="preserve">Ettinger, C. L., Sadanandappa, M. K., Görgülü, K., Coghlan, K. L., Hallenbeck, K. K., &amp; Puebla, I. (2022). A guide to preprinting for early-career researchers.</w:t>
      </w:r>
      <w:r>
        <w:t xml:space="preserve"> </w:t>
      </w:r>
      <w:r>
        <w:rPr>
          <w:iCs/>
          <w:i/>
        </w:rPr>
        <w:t xml:space="preserve">Biology Open</w:t>
      </w:r>
      <w:r>
        <w:t xml:space="preserve">,</w:t>
      </w:r>
      <w:r>
        <w:t xml:space="preserve"> </w:t>
      </w:r>
      <w:r>
        <w:rPr>
          <w:iCs/>
          <w:i/>
        </w:rPr>
        <w:t xml:space="preserve">11</w:t>
      </w:r>
      <w:r>
        <w:t xml:space="preserve">(7), 1–8.</w:t>
      </w:r>
      <w:r>
        <w:t xml:space="preserve"> </w:t>
      </w:r>
      <w:hyperlink r:id="rId58">
        <w:r>
          <w:rPr>
            <w:rStyle w:val="Hyperlink"/>
          </w:rPr>
          <w:t xml:space="preserve">https://doi.org/10.1242/bio.059310</w:t>
        </w:r>
      </w:hyperlink>
    </w:p>
    <w:bookmarkEnd w:id="59"/>
    <w:bookmarkStart w:id="60" w:name="ref-foster2017open"/>
    <w:p>
      <w:pPr>
        <w:pStyle w:val="Bibliography"/>
      </w:pPr>
      <w:r>
        <w:t xml:space="preserve">Foster, E. D., &amp; Deardorff, A. (2017). Open science framework (OSF).</w:t>
      </w:r>
      <w:r>
        <w:t xml:space="preserve"> </w:t>
      </w:r>
      <w:r>
        <w:rPr>
          <w:iCs/>
          <w:i/>
        </w:rPr>
        <w:t xml:space="preserve">Journal of the Medical Library Association: JMLA</w:t>
      </w:r>
      <w:r>
        <w:t xml:space="preserve">,</w:t>
      </w:r>
      <w:r>
        <w:t xml:space="preserve"> </w:t>
      </w:r>
      <w:r>
        <w:rPr>
          <w:iCs/>
          <w:i/>
        </w:rPr>
        <w:t xml:space="preserve">105</w:t>
      </w:r>
      <w:r>
        <w:t xml:space="preserve">(2), 203.</w:t>
      </w:r>
    </w:p>
    <w:bookmarkEnd w:id="60"/>
    <w:bookmarkStart w:id="62" w:name="ref-holmes2020researcher"/>
    <w:p>
      <w:pPr>
        <w:pStyle w:val="Bibliography"/>
      </w:pPr>
      <w:r>
        <w:t xml:space="preserve">Holmes, A. G. D. (2020). Researcher positionality–a consideration of its influence and place in qualitative research–a new researcher guide.</w:t>
      </w:r>
      <w:r>
        <w:t xml:space="preserve"> </w:t>
      </w:r>
      <w:r>
        <w:rPr>
          <w:iCs/>
          <w:i/>
        </w:rPr>
        <w:t xml:space="preserve">Shanlax International Journal of Education</w:t>
      </w:r>
      <w:r>
        <w:t xml:space="preserve">,</w:t>
      </w:r>
      <w:r>
        <w:t xml:space="preserve"> </w:t>
      </w:r>
      <w:r>
        <w:rPr>
          <w:iCs/>
          <w:i/>
        </w:rPr>
        <w:t xml:space="preserve">8</w:t>
      </w:r>
      <w:r>
        <w:t xml:space="preserve">(4), 1–10.</w:t>
      </w:r>
      <w:r>
        <w:t xml:space="preserve"> </w:t>
      </w:r>
      <w:hyperlink r:id="rId61">
        <w:r>
          <w:rPr>
            <w:rStyle w:val="Hyperlink"/>
          </w:rPr>
          <w:t xml:space="preserve">https://doi.org/10.34293/education.v8i4.3232</w:t>
        </w:r>
      </w:hyperlink>
    </w:p>
    <w:bookmarkEnd w:id="62"/>
    <w:bookmarkStart w:id="64" w:name="ref-jafar2018positionality"/>
    <w:p>
      <w:pPr>
        <w:pStyle w:val="Bibliography"/>
      </w:pPr>
      <w:r>
        <w:t xml:space="preserve">Jafar, A. J. N. (2018). What is positionality and should it be expressed in quantitative studies?</w:t>
      </w:r>
      <w:r>
        <w:t xml:space="preserve"> </w:t>
      </w:r>
      <w:r>
        <w:rPr>
          <w:iCs/>
          <w:i/>
        </w:rPr>
        <w:t xml:space="preserve">Emergency Medicine Journal</w:t>
      </w:r>
      <w:r>
        <w:t xml:space="preserve">,</w:t>
      </w:r>
      <w:r>
        <w:t xml:space="preserve"> </w:t>
      </w:r>
      <w:r>
        <w:rPr>
          <w:iCs/>
          <w:i/>
        </w:rPr>
        <w:t xml:space="preserve">35</w:t>
      </w:r>
      <w:r>
        <w:t xml:space="preserve">(5), 323–324.</w:t>
      </w:r>
      <w:r>
        <w:t xml:space="preserve"> </w:t>
      </w:r>
      <w:hyperlink r:id="rId63">
        <w:r>
          <w:rPr>
            <w:rStyle w:val="Hyperlink"/>
          </w:rPr>
          <w:t xml:space="preserve">https://doi.org/10.1136/emermed-2017-207158</w:t>
        </w:r>
      </w:hyperlink>
    </w:p>
    <w:bookmarkEnd w:id="64"/>
    <w:bookmarkStart w:id="65" w:name="ref-liu2021open"/>
    <w:p>
      <w:pPr>
        <w:pStyle w:val="Bibliography"/>
      </w:pPr>
      <w:r>
        <w:t xml:space="preserve">Liu, M., &amp; De Cat, C. (2021). Open science in applied linguistics: A preliminary survey. In L. Plonsky (Ed.),</w:t>
      </w:r>
      <w:r>
        <w:t xml:space="preserve"> </w:t>
      </w:r>
      <w:r>
        <w:rPr>
          <w:iCs/>
          <w:i/>
        </w:rPr>
        <w:t xml:space="preserve">Open science in applied linguistics</w:t>
      </w:r>
      <w:r>
        <w:t xml:space="preserve"> </w:t>
      </w:r>
      <w:r>
        <w:t xml:space="preserve">(pp. 1–28). John Benjamins.</w:t>
      </w:r>
    </w:p>
    <w:bookmarkEnd w:id="65"/>
    <w:bookmarkStart w:id="66" w:name="ref-nosek2022replicability"/>
    <w:p>
      <w:pPr>
        <w:pStyle w:val="Bibliography"/>
      </w:pPr>
      <w:r>
        <w:t xml:space="preserve">Nosek, B. A., Hardwicke, T. E., Moshontz, H., Allard, A., Corker, K. S., Dreber, A., et al.others. (2022). Replicability, robustness, and reproducibility in psychological science.</w:t>
      </w:r>
      <w:r>
        <w:t xml:space="preserve"> </w:t>
      </w:r>
      <w:r>
        <w:rPr>
          <w:iCs/>
          <w:i/>
        </w:rPr>
        <w:t xml:space="preserve">Annual Review of Psychology</w:t>
      </w:r>
      <w:r>
        <w:t xml:space="preserve">,</w:t>
      </w:r>
      <w:r>
        <w:t xml:space="preserve"> </w:t>
      </w:r>
      <w:r>
        <w:rPr>
          <w:iCs/>
          <w:i/>
        </w:rPr>
        <w:t xml:space="preserve">73</w:t>
      </w:r>
      <w:r>
        <w:t xml:space="preserve">, 719–748.</w:t>
      </w:r>
    </w:p>
    <w:bookmarkEnd w:id="66"/>
    <w:bookmarkStart w:id="68" w:name="ref-open2015estimating"/>
    <w:p>
      <w:pPr>
        <w:pStyle w:val="Bibliography"/>
      </w:pPr>
      <w:r>
        <w:t xml:space="preserve">Open Science Collaboration. (2015). Estimating the reproducibility of psychological science.</w:t>
      </w:r>
      <w:r>
        <w:t xml:space="preserve"> </w:t>
      </w:r>
      <w:r>
        <w:rPr>
          <w:iCs/>
          <w:i/>
        </w:rPr>
        <w:t xml:space="preserve">Science</w:t>
      </w:r>
      <w:r>
        <w:t xml:space="preserve">,</w:t>
      </w:r>
      <w:r>
        <w:t xml:space="preserve"> </w:t>
      </w:r>
      <w:r>
        <w:rPr>
          <w:iCs/>
          <w:i/>
        </w:rPr>
        <w:t xml:space="preserve">349</w:t>
      </w:r>
      <w:r>
        <w:t xml:space="preserve">(6251), aac4716.</w:t>
      </w:r>
      <w:r>
        <w:t xml:space="preserve"> </w:t>
      </w:r>
      <w:hyperlink r:id="rId67">
        <w:r>
          <w:rPr>
            <w:rStyle w:val="Hyperlink"/>
          </w:rPr>
          <w:t xml:space="preserve">https://doi.org/10.1126/science.aac4716</w:t>
        </w:r>
      </w:hyperlink>
    </w:p>
    <w:bookmarkEnd w:id="68"/>
    <w:bookmarkStart w:id="70" w:name="ref-parsons2022community"/>
    <w:p>
      <w:pPr>
        <w:pStyle w:val="Bibliography"/>
      </w:pPr>
      <w:r>
        <w:t xml:space="preserve">Parsons, S., Azevedo, F., Elsherif, M. M., Guay, S., Shahim, O. N., Govaart, G. H., et al.others. (2022). A community-sourced glossary of open scholarship terms.</w:t>
      </w:r>
      <w:r>
        <w:t xml:space="preserve"> </w:t>
      </w:r>
      <w:r>
        <w:rPr>
          <w:iCs/>
          <w:i/>
        </w:rPr>
        <w:t xml:space="preserve">Nature Human Behaviour</w:t>
      </w:r>
      <w:r>
        <w:t xml:space="preserve">,</w:t>
      </w:r>
      <w:r>
        <w:t xml:space="preserve"> </w:t>
      </w:r>
      <w:r>
        <w:rPr>
          <w:iCs/>
          <w:i/>
        </w:rPr>
        <w:t xml:space="preserve">6</w:t>
      </w:r>
      <w:r>
        <w:t xml:space="preserve">(3), 312–318.</w:t>
      </w:r>
      <w:r>
        <w:t xml:space="preserve"> </w:t>
      </w:r>
      <w:hyperlink r:id="rId69">
        <w:r>
          <w:rPr>
            <w:rStyle w:val="Hyperlink"/>
          </w:rPr>
          <w:t xml:space="preserve">https://doi.org/10.1038/s41562-021-01269-4</w:t>
        </w:r>
      </w:hyperlink>
    </w:p>
    <w:bookmarkEnd w:id="70"/>
    <w:bookmarkStart w:id="72" w:name="ref-puebla_polka_rieger_2021"/>
    <w:p>
      <w:pPr>
        <w:pStyle w:val="Bibliography"/>
      </w:pPr>
      <w:r>
        <w:t xml:space="preserve">Puebla, I., Polka, J., &amp; Rieger, O. Y. (2021).</w:t>
      </w:r>
      <w:r>
        <w:t xml:space="preserve"> </w:t>
      </w:r>
      <w:r>
        <w:rPr>
          <w:iCs/>
          <w:i/>
        </w:rPr>
        <w:t xml:space="preserve">Preprints: Their evolving role in science communication</w:t>
      </w:r>
      <w:r>
        <w:t xml:space="preserve">. MetaArXiv.</w:t>
      </w:r>
      <w:r>
        <w:t xml:space="preserve"> </w:t>
      </w:r>
      <w:hyperlink r:id="rId71">
        <w:r>
          <w:rPr>
            <w:rStyle w:val="Hyperlink"/>
          </w:rPr>
          <w:t xml:space="preserve">https://doi.org/10.31222/osf.io/ezfsk</w:t>
        </w:r>
      </w:hyperlink>
    </w:p>
    <w:bookmarkEnd w:id="72"/>
    <w:bookmarkStart w:id="74" w:name="ref-rieger2012sustainability"/>
    <w:p>
      <w:pPr>
        <w:pStyle w:val="Bibliography"/>
      </w:pPr>
      <w:r>
        <w:t xml:space="preserve">Rieger, O. Y. (2012). Sustainability: Scholarly repository as an enterprise.</w:t>
      </w:r>
      <w:r>
        <w:t xml:space="preserve"> </w:t>
      </w:r>
      <w:r>
        <w:rPr>
          <w:iCs/>
          <w:i/>
        </w:rPr>
        <w:t xml:space="preserve">Bulletin of the American Society for Information Science and Technology</w:t>
      </w:r>
      <w:r>
        <w:t xml:space="preserve">,</w:t>
      </w:r>
      <w:r>
        <w:t xml:space="preserve"> </w:t>
      </w:r>
      <w:r>
        <w:rPr>
          <w:iCs/>
          <w:i/>
        </w:rPr>
        <w:t xml:space="preserve">39</w:t>
      </w:r>
      <w:r>
        <w:t xml:space="preserve">(1), 27–31.</w:t>
      </w:r>
      <w:r>
        <w:t xml:space="preserve"> </w:t>
      </w:r>
      <w:hyperlink r:id="rId73">
        <w:r>
          <w:rPr>
            <w:rStyle w:val="Hyperlink"/>
          </w:rPr>
          <w:t xml:space="preserve">https://doi.org/10.1002/bult.2012.1720390110</w:t>
        </w:r>
      </w:hyperlink>
    </w:p>
    <w:bookmarkEnd w:id="74"/>
    <w:bookmarkStart w:id="76" w:name="ref-roettger2021preregistration"/>
    <w:p>
      <w:pPr>
        <w:pStyle w:val="Bibliography"/>
      </w:pPr>
      <w:r>
        <w:t xml:space="preserve">Roettger, T. B. (2021). Preregistration in experimental linguistics: Applications, challenges, and limitations.</w:t>
      </w:r>
      <w:r>
        <w:t xml:space="preserve"> </w:t>
      </w:r>
      <w:r>
        <w:rPr>
          <w:iCs/>
          <w:i/>
        </w:rPr>
        <w:t xml:space="preserve">Linguistics</w:t>
      </w:r>
      <w:r>
        <w:t xml:space="preserve">,</w:t>
      </w:r>
      <w:r>
        <w:t xml:space="preserve"> </w:t>
      </w:r>
      <w:r>
        <w:rPr>
          <w:iCs/>
          <w:i/>
        </w:rPr>
        <w:t xml:space="preserve">59</w:t>
      </w:r>
      <w:r>
        <w:t xml:space="preserve">(5), 1227–1249.</w:t>
      </w:r>
      <w:r>
        <w:t xml:space="preserve"> </w:t>
      </w:r>
      <w:hyperlink r:id="rId75">
        <w:r>
          <w:rPr>
            <w:rStyle w:val="Hyperlink"/>
          </w:rPr>
          <w:t xml:space="preserve">https://doi.org/10.1515/ling-2019-0048</w:t>
        </w:r>
      </w:hyperlink>
    </w:p>
    <w:bookmarkEnd w:id="76"/>
    <w:bookmarkStart w:id="77" w:name="ref-rowe2014"/>
    <w:p>
      <w:pPr>
        <w:pStyle w:val="Bibliography"/>
      </w:pPr>
      <w:r>
        <w:t xml:space="preserve">Rowe, W. E. (2014). Positionality. In D. Coghlan &amp; M. Brydon-Miller (Eds.),</w:t>
      </w:r>
      <w:r>
        <w:t xml:space="preserve"> </w:t>
      </w:r>
      <w:r>
        <w:rPr>
          <w:iCs/>
          <w:i/>
        </w:rPr>
        <w:t xml:space="preserve">The</w:t>
      </w:r>
      <w:r>
        <w:rPr>
          <w:iCs/>
          <w:i/>
        </w:rPr>
        <w:t xml:space="preserve"> </w:t>
      </w:r>
      <w:r>
        <w:rPr>
          <w:iCs/>
          <w:i/>
        </w:rPr>
        <w:t xml:space="preserve">SAGE</w:t>
      </w:r>
      <w:r>
        <w:rPr>
          <w:iCs/>
          <w:i/>
        </w:rPr>
        <w:t xml:space="preserve"> </w:t>
      </w:r>
      <w:r>
        <w:rPr>
          <w:iCs/>
          <w:i/>
        </w:rPr>
        <w:t xml:space="preserve">encyclopedia of action research</w:t>
      </w:r>
      <w:r>
        <w:t xml:space="preserve"> </w:t>
      </w:r>
      <w:r>
        <w:t xml:space="preserve">(pp. 627–628). Sage.</w:t>
      </w:r>
    </w:p>
    <w:bookmarkEnd w:id="77"/>
    <w:bookmarkStart w:id="79" w:name="ref-savolainen2023positionality"/>
    <w:p>
      <w:pPr>
        <w:pStyle w:val="Bibliography"/>
      </w:pPr>
      <w:r>
        <w:t xml:space="preserve">Savolainen, J., Casey, P. J., McBrayer, J. P., &amp; Schwerdtle, P. N. (2023). Positionality and its problems: Questioning the value of reflexivity statements in research.</w:t>
      </w:r>
      <w:r>
        <w:t xml:space="preserve"> </w:t>
      </w:r>
      <w:r>
        <w:rPr>
          <w:iCs/>
          <w:i/>
        </w:rPr>
        <w:t xml:space="preserve">Perspectives on Psychological Science</w:t>
      </w:r>
      <w:r>
        <w:t xml:space="preserve">,</w:t>
      </w:r>
      <w:r>
        <w:t xml:space="preserve"> </w:t>
      </w:r>
      <w:r>
        <w:rPr>
          <w:iCs/>
          <w:i/>
        </w:rPr>
        <w:t xml:space="preserve">18</w:t>
      </w:r>
      <w:r>
        <w:t xml:space="preserve">, 1331–1338.</w:t>
      </w:r>
      <w:r>
        <w:t xml:space="preserve"> </w:t>
      </w:r>
      <w:hyperlink r:id="rId78">
        <w:r>
          <w:rPr>
            <w:rStyle w:val="Hyperlink"/>
          </w:rPr>
          <w:t xml:space="preserve">https://doi.org/10.1177/17456916221144988</w:t>
        </w:r>
      </w:hyperlink>
    </w:p>
    <w:bookmarkEnd w:id="79"/>
    <w:bookmarkStart w:id="81" w:name="ref-simmons2011false"/>
    <w:p>
      <w:pPr>
        <w:pStyle w:val="Bibliography"/>
      </w:pPr>
      <w:r>
        <w:t xml:space="preserve">Simmons, J. P., Nelson, L. D., &amp; Simonsohn, U. (2011). False-positive psychology: Undisclosed flexibility in data collection and analysis allows presenting anything as significant.</w:t>
      </w:r>
      <w:r>
        <w:t xml:space="preserve"> </w:t>
      </w:r>
      <w:r>
        <w:rPr>
          <w:iCs/>
          <w:i/>
        </w:rPr>
        <w:t xml:space="preserve">Psychological Science</w:t>
      </w:r>
      <w:r>
        <w:t xml:space="preserve">,</w:t>
      </w:r>
      <w:r>
        <w:t xml:space="preserve"> </w:t>
      </w:r>
      <w:r>
        <w:rPr>
          <w:iCs/>
          <w:i/>
        </w:rPr>
        <w:t xml:space="preserve">22</w:t>
      </w:r>
      <w:r>
        <w:t xml:space="preserve">(11), 1359–1366.</w:t>
      </w:r>
      <w:r>
        <w:t xml:space="preserve"> </w:t>
      </w:r>
      <w:hyperlink r:id="rId80">
        <w:r>
          <w:rPr>
            <w:rStyle w:val="Hyperlink"/>
          </w:rPr>
          <w:t xml:space="preserve">https://doi.org/10.1177/0956797611417632</w:t>
        </w:r>
      </w:hyperlink>
    </w:p>
    <w:bookmarkEnd w:id="81"/>
    <w:bookmarkStart w:id="82" w:name="ref-spellman2017open"/>
    <w:p>
      <w:pPr>
        <w:pStyle w:val="Bibliography"/>
      </w:pPr>
      <w:r>
        <w:t xml:space="preserve">Spellman, B., Gilbert, E., &amp; Corker, K. S. (2017).</w:t>
      </w:r>
      <w:r>
        <w:t xml:space="preserve"> </w:t>
      </w:r>
      <w:r>
        <w:rPr>
          <w:iCs/>
          <w:i/>
        </w:rPr>
        <w:t xml:space="preserve">Open science: What, why, and how</w:t>
      </w:r>
      <w:r>
        <w:t xml:space="preserve">.</w:t>
      </w:r>
    </w:p>
    <w:bookmarkEnd w:id="82"/>
    <w:bookmarkStart w:id="84" w:name="ref-steltenpohl_video"/>
    <w:p>
      <w:pPr>
        <w:pStyle w:val="Bibliography"/>
      </w:pPr>
      <w:r>
        <w:t xml:space="preserve">Steltenpohl, C., Hudson, S., &amp; Klement, K. (2022). How to begin writing a positionality statement. Retrieved from</w:t>
      </w:r>
      <w:r>
        <w:t xml:space="preserve"> </w:t>
      </w:r>
      <w:hyperlink r:id="rId83">
        <w:r>
          <w:rPr>
            <w:rStyle w:val="Hyperlink"/>
          </w:rPr>
          <w:t xml:space="preserve">https://vimeo.com/675236573/741e24aab7</w:t>
        </w:r>
      </w:hyperlink>
    </w:p>
    <w:bookmarkEnd w:id="84"/>
    <w:bookmarkStart w:id="85" w:name="ref-syed2019open"/>
    <w:p>
      <w:pPr>
        <w:pStyle w:val="Bibliography"/>
      </w:pPr>
      <w:r>
        <w:t xml:space="preserve">Syed, M. (2019).</w:t>
      </w:r>
      <w:r>
        <w:t xml:space="preserve"> </w:t>
      </w:r>
      <w:r>
        <w:rPr>
          <w:iCs/>
          <w:i/>
        </w:rPr>
        <w:t xml:space="preserve">The open science movement is for all of us</w:t>
      </w:r>
      <w:r>
        <w:t xml:space="preserve">.</w:t>
      </w:r>
    </w:p>
    <w:bookmarkEnd w:id="85"/>
    <w:bookmarkStart w:id="86" w:name="ref-thomason2022open"/>
    <w:p>
      <w:pPr>
        <w:pStyle w:val="Bibliography"/>
      </w:pPr>
      <w:r>
        <w:t xml:space="preserve">Thomason, S. G. (2022).</w:t>
      </w:r>
      <w:r>
        <w:t xml:space="preserve"> </w:t>
      </w:r>
      <w:r>
        <w:rPr>
          <w:iCs/>
          <w:i/>
        </w:rPr>
        <w:t xml:space="preserve">The open handbook of linguistic data management</w:t>
      </w:r>
      <w:r>
        <w:t xml:space="preserve">. MIT Press.</w:t>
      </w:r>
    </w:p>
    <w:bookmarkEnd w:id="86"/>
    <w:bookmarkStart w:id="87" w:name="ref-wicherts2006poor"/>
    <w:p>
      <w:pPr>
        <w:pStyle w:val="Bibliography"/>
      </w:pPr>
      <w:r>
        <w:t xml:space="preserve">Wicherts, J. M., Borsboom, D., Kats, J., &amp; Molenaar, D. (2006). The poor availability of psychological research data for reanalysis.</w:t>
      </w:r>
      <w:r>
        <w:t xml:space="preserve"> </w:t>
      </w:r>
      <w:r>
        <w:rPr>
          <w:iCs/>
          <w:i/>
        </w:rPr>
        <w:t xml:space="preserve">American Psychologist</w:t>
      </w:r>
      <w:r>
        <w:t xml:space="preserve">,</w:t>
      </w:r>
      <w:r>
        <w:t xml:space="preserve"> </w:t>
      </w:r>
      <w:r>
        <w:rPr>
          <w:iCs/>
          <w:i/>
        </w:rPr>
        <w:t xml:space="preserve">61</w:t>
      </w:r>
      <w:r>
        <w:t xml:space="preserve">(7), 726.</w:t>
      </w:r>
    </w:p>
    <w:bookmarkEnd w:id="87"/>
    <w:bookmarkEnd w:id="88"/>
    <w:bookmarkEnd w:id="89"/>
    <w:sectPr w:rsidR="000A1916">
      <w:headerReference r:id="rId9" w:type="even"/>
      <w:headerReference r:id="rId10" w:type="default"/>
      <w:footerReference r:id="rId14" w:type="even"/>
      <w:footerReference r:id="rId12" w:type="default"/>
      <w:headerReference r:id="rId11" w:type="first"/>
      <w:footerReference r:id="rId13"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Latin Modern Math">
    <w:panose1 w:val="020B0604020202020204"/>
    <w:charset w:val="4D"/>
    <w:family w:val="auto"/>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0F741" w14:textId="77777777" w:rsidR="002C311A" w:rsidRDefault="002C31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7EB31" w14:textId="77777777" w:rsidR="002C311A" w:rsidRDefault="002C31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DBD55" w14:textId="77777777" w:rsidR="002C311A" w:rsidRDefault="002C311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432692"/>
      <w:docPartObj>
        <w:docPartGallery w:val="Page Numbers (Top of Page)"/>
        <w:docPartUnique/>
      </w:docPartObj>
    </w:sdtPr>
    <w:sdtContent>
      <w:p w14:paraId="1B7189D0" w14:textId="5317051A"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11F85B" w14:textId="77777777" w:rsidR="00290DEA" w:rsidRDefault="00290DEA" w:rsidP="00290D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2060013"/>
      <w:docPartObj>
        <w:docPartGallery w:val="Page Numbers (Top of Page)"/>
        <w:docPartUnique/>
      </w:docPartObj>
    </w:sdtPr>
    <w:sdtContent>
      <w:p w14:paraId="0C16CAE1" w14:textId="254DEFC2"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96FF76" w14:textId="1D3D77AF" w:rsidR="004C1A18" w:rsidRPr="00023D74" w:rsidRDefault="004C1A18" w:rsidP="00290DEA">
    <w:pPr>
      <w:pStyle w:val="Header"/>
      <w:rPr>
        <w:rFonts w:ascii="Times New Roman" w:hAnsi="Times New Roman" w:cs="Times New Roman"/>
      </w:rPr>
    </w:pPr>
    <w:r w:rsidRPr="00023D74">
      <w:rPr>
        <w:rFonts w:ascii="Times New Roman" w:hAnsi="Times New Roman" w:cs="Times New Roman"/>
      </w:rPr>
      <w:t xml:space="preserve">Running head: </w:t>
    </w:r>
    <w:r w:rsidR="002C311A">
      <w:rPr>
        <w:rFonts w:ascii="Times New Roman" w:hAnsi="Times New Roman" w:cs="Times New Roman"/>
      </w:rPr>
      <w:t>SHORT TITLE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A54CF" w14:textId="77777777" w:rsidR="002C311A" w:rsidRDefault="002C311A">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4F4197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C3AB8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F84CD7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F0C84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9E86D9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40402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55A89A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630A04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17A3A2C"/>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0A9ED114"/>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E78AE6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1D546B9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60CFEF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36818034" w:numId="1">
    <w:abstractNumId w:val="10"/>
  </w:num>
  <w:num w16cid:durableId="1430615699" w:numId="2">
    <w:abstractNumId w:val="11"/>
  </w:num>
  <w:num w16cid:durableId="423956392"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33340740" w:numId="4">
    <w:abstractNumId w:val="0"/>
  </w:num>
  <w:num w16cid:durableId="681664215" w:numId="5">
    <w:abstractNumId w:val="1"/>
  </w:num>
  <w:num w16cid:durableId="2134327961" w:numId="6">
    <w:abstractNumId w:val="2"/>
  </w:num>
  <w:num w16cid:durableId="41253893" w:numId="7">
    <w:abstractNumId w:val="3"/>
  </w:num>
  <w:num w16cid:durableId="1224833452" w:numId="8">
    <w:abstractNumId w:val="8"/>
  </w:num>
  <w:num w16cid:durableId="932586503" w:numId="9">
    <w:abstractNumId w:val="4"/>
  </w:num>
  <w:num w16cid:durableId="520899331" w:numId="10">
    <w:abstractNumId w:val="5"/>
  </w:num>
  <w:num w16cid:durableId="1534541487" w:numId="11">
    <w:abstractNumId w:val="6"/>
  </w:num>
  <w:num w16cid:durableId="1795981238" w:numId="12">
    <w:abstractNumId w:val="7"/>
  </w:num>
  <w:num w16cid:durableId="858474234"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1"/>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Latin Modern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C45A1"/>
    <w:pPr>
      <w:keepNext/>
      <w:keepLines/>
      <w:spacing w:after="240"/>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12108"/>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F12108"/>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F12108"/>
    <w:pPr>
      <w:keepNext/>
      <w:keepLines/>
      <w:spacing w:after="0" w:line="480" w:lineRule="auto"/>
      <w:ind w:left="432"/>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aliases w:val="affiliation"/>
    <w:basedOn w:val="Normal"/>
    <w:next w:val="BodyText"/>
    <w:uiPriority w:val="9"/>
    <w:unhideWhenUsed/>
    <w:qFormat/>
    <w:rsid w:val="002E0C29"/>
    <w:pPr>
      <w:keepNext/>
      <w:keepLines/>
      <w:spacing w:after="0" w:before="200"/>
      <w:jc w:val="center"/>
      <w:outlineLvl w:val="8"/>
    </w:pPr>
    <w:rPr>
      <w:rFonts w:ascii="Times New Roman" w:cs="Times New Roman (Headings CS)" w:eastAsiaTheme="majorEastAsia" w:hAnsi="Times New Roman"/>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C626F"/>
    <w:pPr>
      <w:spacing w:after="0" w:line="480" w:lineRule="auto"/>
      <w:ind w:firstLine="432"/>
    </w:pPr>
    <w:rPr>
      <w:rFonts w:ascii="Times New Roman" w:hAnsi="Times New Roman"/>
    </w:rPr>
  </w:style>
  <w:style w:customStyle="1" w:styleId="FirstParagraph" w:type="paragraph">
    <w:name w:val="First Paragraph"/>
    <w:basedOn w:val="BodyText"/>
    <w:next w:val="BodyText"/>
    <w:qFormat/>
    <w:rsid w:val="006912BD"/>
  </w:style>
  <w:style w:customStyle="1" w:styleId="Compact" w:type="paragraph">
    <w:name w:val="Compact"/>
    <w:basedOn w:val="BodyText"/>
    <w:qFormat/>
    <w:rsid w:val="007B090F"/>
    <w:pPr>
      <w:spacing w:after="36" w:before="36" w:line="240" w:lineRule="auto"/>
      <w:ind w:firstLine="0"/>
    </w:pPr>
  </w:style>
  <w:style w:styleId="Title" w:type="paragraph">
    <w:name w:val="Title"/>
    <w:basedOn w:val="Normal"/>
    <w:next w:val="BodyText"/>
    <w:qFormat/>
    <w:rsid w:val="0035639C"/>
    <w:pPr>
      <w:keepNext/>
      <w:keepLines/>
      <w:spacing w:after="240" w:before="2040"/>
      <w:jc w:val="center"/>
    </w:pPr>
    <w:rPr>
      <w:rFonts w:ascii="Times New Roman" w:cstheme="majorBidi" w:eastAsiaTheme="majorEastAsia" w:hAnsi="Times New Roman"/>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F4EE0"/>
    <w:pPr>
      <w:keepNext/>
      <w:keepLines/>
      <w:spacing w:after="0"/>
      <w:jc w:val="center"/>
    </w:pPr>
    <w:rPr>
      <w:rFonts w:ascii="Times New Roman" w:hAnsi="Times New Roman"/>
    </w:rPr>
  </w:style>
  <w:style w:styleId="Date" w:type="paragraph">
    <w:name w:val="Date"/>
    <w:next w:val="BodyText"/>
    <w:qFormat/>
    <w:rsid w:val="004C4444"/>
    <w:pPr>
      <w:keepNext/>
      <w:keepLines/>
      <w:spacing w:after="240" w:line="480" w:lineRule="auto"/>
      <w:jc w:val="center"/>
    </w:pPr>
    <w:rPr>
      <w:rFonts w:ascii="Times New Roman" w:hAnsi="Times New Roman"/>
    </w:rPr>
  </w:style>
  <w:style w:customStyle="1" w:styleId="Abstract" w:type="paragraph">
    <w:name w:val="Abstract"/>
    <w:basedOn w:val="Normal"/>
    <w:next w:val="BodyText"/>
    <w:qFormat/>
    <w:rsid w:val="009F3262"/>
    <w:pPr>
      <w:keepNext/>
      <w:keepLines/>
      <w:spacing w:after="0" w:line="480" w:lineRule="auto"/>
      <w:ind w:firstLine="432"/>
    </w:pPr>
    <w:rPr>
      <w:rFonts w:ascii="Times New Roman" w:hAnsi="Times New Roman"/>
      <w:szCs w:val="20"/>
    </w:rPr>
  </w:style>
  <w:style w:styleId="Bibliography" w:type="paragraph">
    <w:name w:val="Bibliography"/>
    <w:basedOn w:val="Normal"/>
    <w:qFormat/>
    <w:rsid w:val="00FC45A1"/>
    <w:pPr>
      <w:ind w:hanging="432" w:left="432"/>
    </w:pPr>
    <w:rPr>
      <w:rFonts w:ascii="Times New Roman" w:hAnsi="Times New Roman"/>
    </w:rPr>
  </w:style>
  <w:style w:styleId="BlockText" w:type="paragraph">
    <w:name w:val="Block Text"/>
    <w:basedOn w:val="BodyText"/>
    <w:next w:val="BodyText"/>
    <w:uiPriority w:val="9"/>
    <w:unhideWhenUsed/>
    <w:qFormat/>
    <w:rsid w:val="00887D0D"/>
    <w:pPr>
      <w:spacing w:after="240" w:before="120" w:line="240" w:lineRule="auto"/>
      <w:ind w:firstLine="0" w:left="475" w:right="475"/>
    </w:pPr>
  </w:style>
  <w:style w:styleId="FootnoteText" w:type="paragraph">
    <w:name w:val="footnote text"/>
    <w:basedOn w:val="Normal"/>
    <w:uiPriority w:val="9"/>
    <w:unhideWhenUsed/>
    <w:qFormat/>
    <w:rsid w:val="00D5766C"/>
    <w:pPr>
      <w:spacing w:after="0"/>
    </w:pPr>
    <w:rPr>
      <w:rFonts w:ascii="Times New Roman" w:hAnsi="Times New Roman"/>
      <w:sz w:val="21"/>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11C3A"/>
    <w:pPr>
      <w:keepNext/>
    </w:pPr>
    <w:rPr>
      <w:rFonts w:ascii="Times New Roman" w:hAnsi="Times New Roman"/>
    </w:rPr>
  </w:style>
  <w:style w:customStyle="1" w:styleId="ImageCaption" w:type="paragraph">
    <w:name w:val="Image Caption"/>
    <w:basedOn w:val="Caption"/>
    <w:rsid w:val="00912EAA"/>
    <w:pPr>
      <w:spacing w:after="300"/>
    </w:pPr>
    <w:rPr>
      <w:rFonts w:ascii="Times New Roman" w:hAnsi="Times New Roman"/>
    </w:rPr>
  </w:style>
  <w:style w:customStyle="1" w:styleId="Figure" w:type="paragraph">
    <w:name w:val="Figure"/>
    <w:basedOn w:val="Normal"/>
    <w:rsid w:val="001631B2"/>
    <w:rPr>
      <w:rFonts w:ascii="Times New Roman" w:hAnsi="Times New Roman"/>
      <w:i/>
    </w:rPr>
  </w:style>
  <w:style w:customStyle="1" w:styleId="CaptionedFigure" w:type="paragraph">
    <w:name w:val="Captioned Figure"/>
    <w:basedOn w:val="Figure"/>
    <w:rsid w:val="00DE26B3"/>
    <w:pPr>
      <w:keepNext/>
      <w:jc w:val="center"/>
    </w:pPr>
    <w:rPr>
      <w:i w:val="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11C3A"/>
    <w:rPr>
      <w:rFonts w:ascii="Menlo" w:hAnsi="Menlo"/>
      <w:sz w:val="20"/>
      <w:shd w:color="auto" w:fill="F8F8F8"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rsid w:val="00011C3A"/>
    <w:pPr>
      <w:shd w:color="auto" w:fill="F8F8F8" w:val="clear"/>
      <w:wordWrap w:val="0"/>
    </w:pPr>
    <w:rPr>
      <w:rFonts w:ascii="Menlo" w:hAnsi="Menlo"/>
      <w:sz w:val="20"/>
    </w:rPr>
  </w:style>
  <w:style w:customStyle="1" w:styleId="KeywordTok" w:type="character">
    <w:name w:val="KeywordTok"/>
    <w:basedOn w:val="VerbatimChar"/>
    <w:rPr>
      <w:rFonts w:ascii="Menlo" w:hAnsi="Menlo"/>
      <w:b/>
      <w:color w:val="204A87"/>
      <w:sz w:val="20"/>
      <w:shd w:color="auto" w:fill="F8F8F8" w:val="clear"/>
    </w:rPr>
  </w:style>
  <w:style w:customStyle="1" w:styleId="DataTypeTok" w:type="character">
    <w:name w:val="DataTypeTok"/>
    <w:basedOn w:val="VerbatimChar"/>
    <w:rPr>
      <w:rFonts w:ascii="Menlo" w:hAnsi="Menlo"/>
      <w:color w:val="204A87"/>
      <w:sz w:val="20"/>
      <w:shd w:color="auto" w:fill="F8F8F8" w:val="clear"/>
    </w:rPr>
  </w:style>
  <w:style w:customStyle="1" w:styleId="DecValTok" w:type="character">
    <w:name w:val="DecValTok"/>
    <w:basedOn w:val="VerbatimChar"/>
    <w:rPr>
      <w:rFonts w:ascii="Menlo" w:hAnsi="Menlo"/>
      <w:color w:val="0000CF"/>
      <w:sz w:val="20"/>
      <w:shd w:color="auto" w:fill="F8F8F8" w:val="clear"/>
    </w:rPr>
  </w:style>
  <w:style w:customStyle="1" w:styleId="BaseNTok" w:type="character">
    <w:name w:val="BaseNTok"/>
    <w:basedOn w:val="VerbatimChar"/>
    <w:rPr>
      <w:rFonts w:ascii="Menlo" w:hAnsi="Menlo"/>
      <w:color w:val="0000CF"/>
      <w:sz w:val="20"/>
      <w:shd w:color="auto" w:fill="F8F8F8" w:val="clear"/>
    </w:rPr>
  </w:style>
  <w:style w:customStyle="1" w:styleId="FloatTok" w:type="character">
    <w:name w:val="FloatTok"/>
    <w:basedOn w:val="VerbatimChar"/>
    <w:rPr>
      <w:rFonts w:ascii="Menlo" w:hAnsi="Menlo"/>
      <w:color w:val="0000CF"/>
      <w:sz w:val="20"/>
      <w:shd w:color="auto" w:fill="F8F8F8" w:val="clear"/>
    </w:rPr>
  </w:style>
  <w:style w:customStyle="1" w:styleId="ConstantTok" w:type="character">
    <w:name w:val="ConstantTok"/>
    <w:basedOn w:val="VerbatimChar"/>
    <w:rPr>
      <w:rFonts w:ascii="Menlo" w:hAnsi="Menlo"/>
      <w:color w:val="000000"/>
      <w:sz w:val="20"/>
      <w:shd w:color="auto" w:fill="F8F8F8" w:val="clear"/>
    </w:rPr>
  </w:style>
  <w:style w:customStyle="1" w:styleId="CharTok" w:type="character">
    <w:name w:val="CharTok"/>
    <w:basedOn w:val="VerbatimChar"/>
    <w:rPr>
      <w:rFonts w:ascii="Menlo" w:hAnsi="Menlo"/>
      <w:color w:val="4E9A06"/>
      <w:sz w:val="20"/>
      <w:shd w:color="auto" w:fill="F8F8F8" w:val="clear"/>
    </w:rPr>
  </w:style>
  <w:style w:customStyle="1" w:styleId="SpecialCharTok" w:type="character">
    <w:name w:val="SpecialCharTok"/>
    <w:basedOn w:val="VerbatimChar"/>
    <w:rPr>
      <w:rFonts w:ascii="Menlo" w:hAnsi="Menlo"/>
      <w:color w:val="000000"/>
      <w:sz w:val="20"/>
      <w:shd w:color="auto" w:fill="F8F8F8" w:val="clear"/>
    </w:rPr>
  </w:style>
  <w:style w:customStyle="1" w:styleId="StringTok" w:type="character">
    <w:name w:val="StringTok"/>
    <w:basedOn w:val="VerbatimChar"/>
    <w:rPr>
      <w:rFonts w:ascii="Menlo" w:hAnsi="Menlo"/>
      <w:color w:val="4E9A06"/>
      <w:sz w:val="20"/>
      <w:shd w:color="auto" w:fill="F8F8F8" w:val="clear"/>
    </w:rPr>
  </w:style>
  <w:style w:customStyle="1" w:styleId="VerbatimStringTok" w:type="character">
    <w:name w:val="VerbatimStringTok"/>
    <w:basedOn w:val="VerbatimChar"/>
    <w:rPr>
      <w:rFonts w:ascii="Menlo" w:hAnsi="Menlo"/>
      <w:color w:val="4E9A06"/>
      <w:sz w:val="20"/>
      <w:shd w:color="auto" w:fill="F8F8F8" w:val="clear"/>
    </w:rPr>
  </w:style>
  <w:style w:customStyle="1" w:styleId="SpecialStringTok" w:type="character">
    <w:name w:val="SpecialStringTok"/>
    <w:basedOn w:val="VerbatimChar"/>
    <w:rPr>
      <w:rFonts w:ascii="Menlo" w:hAnsi="Menlo"/>
      <w:color w:val="4E9A06"/>
      <w:sz w:val="20"/>
      <w:shd w:color="auto" w:fill="F8F8F8" w:val="clear"/>
    </w:rPr>
  </w:style>
  <w:style w:customStyle="1" w:styleId="ImportTok" w:type="character">
    <w:name w:val="ImportTok"/>
    <w:basedOn w:val="VerbatimChar"/>
    <w:rPr>
      <w:rFonts w:ascii="Menlo" w:hAnsi="Menlo"/>
      <w:sz w:val="20"/>
      <w:shd w:color="auto" w:fill="F8F8F8" w:val="clear"/>
    </w:rPr>
  </w:style>
  <w:style w:customStyle="1" w:styleId="CommentTok" w:type="character">
    <w:name w:val="CommentTok"/>
    <w:basedOn w:val="VerbatimChar"/>
    <w:rPr>
      <w:rFonts w:ascii="Menlo" w:hAnsi="Menlo"/>
      <w:i/>
      <w:color w:val="8F5902"/>
      <w:sz w:val="20"/>
      <w:shd w:color="auto" w:fill="F8F8F8" w:val="clear"/>
    </w:rPr>
  </w:style>
  <w:style w:customStyle="1" w:styleId="DocumentationTok" w:type="character">
    <w:name w:val="DocumentationTok"/>
    <w:basedOn w:val="VerbatimChar"/>
    <w:rPr>
      <w:rFonts w:ascii="Menlo" w:hAnsi="Menlo"/>
      <w:b/>
      <w:i/>
      <w:color w:val="8F5902"/>
      <w:sz w:val="20"/>
      <w:shd w:color="auto" w:fill="F8F8F8" w:val="clear"/>
    </w:rPr>
  </w:style>
  <w:style w:customStyle="1" w:styleId="AnnotationTok" w:type="character">
    <w:name w:val="AnnotationTok"/>
    <w:basedOn w:val="VerbatimChar"/>
    <w:rPr>
      <w:rFonts w:ascii="Menlo" w:hAnsi="Menlo"/>
      <w:b/>
      <w:i/>
      <w:color w:val="8F5902"/>
      <w:sz w:val="20"/>
      <w:shd w:color="auto" w:fill="F8F8F8" w:val="clear"/>
    </w:rPr>
  </w:style>
  <w:style w:customStyle="1" w:styleId="CommentVarTok" w:type="character">
    <w:name w:val="CommentVarTok"/>
    <w:basedOn w:val="VerbatimChar"/>
    <w:rPr>
      <w:rFonts w:ascii="Menlo" w:hAnsi="Menlo"/>
      <w:b/>
      <w:i/>
      <w:color w:val="8F5902"/>
      <w:sz w:val="20"/>
      <w:shd w:color="auto" w:fill="F8F8F8" w:val="clear"/>
    </w:rPr>
  </w:style>
  <w:style w:customStyle="1" w:styleId="OtherTok" w:type="character">
    <w:name w:val="OtherTok"/>
    <w:basedOn w:val="VerbatimChar"/>
    <w:rPr>
      <w:rFonts w:ascii="Menlo" w:hAnsi="Menlo"/>
      <w:color w:val="8F5902"/>
      <w:sz w:val="20"/>
      <w:shd w:color="auto" w:fill="F8F8F8" w:val="clear"/>
    </w:rPr>
  </w:style>
  <w:style w:customStyle="1" w:styleId="FunctionTok" w:type="character">
    <w:name w:val="FunctionTok"/>
    <w:basedOn w:val="VerbatimChar"/>
    <w:rPr>
      <w:rFonts w:ascii="Menlo" w:hAnsi="Menlo"/>
      <w:color w:val="000000"/>
      <w:sz w:val="20"/>
      <w:shd w:color="auto" w:fill="F8F8F8" w:val="clear"/>
    </w:rPr>
  </w:style>
  <w:style w:customStyle="1" w:styleId="VariableTok" w:type="character">
    <w:name w:val="VariableTok"/>
    <w:basedOn w:val="VerbatimChar"/>
    <w:rPr>
      <w:rFonts w:ascii="Menlo" w:hAnsi="Menlo"/>
      <w:color w:val="000000"/>
      <w:sz w:val="20"/>
      <w:shd w:color="auto" w:fill="F8F8F8" w:val="clear"/>
    </w:rPr>
  </w:style>
  <w:style w:customStyle="1" w:styleId="ControlFlowTok" w:type="character">
    <w:name w:val="ControlFlowTok"/>
    <w:basedOn w:val="VerbatimChar"/>
    <w:rPr>
      <w:rFonts w:ascii="Menlo" w:hAnsi="Menlo"/>
      <w:b/>
      <w:color w:val="204A87"/>
      <w:sz w:val="20"/>
      <w:shd w:color="auto" w:fill="F8F8F8" w:val="clear"/>
    </w:rPr>
  </w:style>
  <w:style w:customStyle="1" w:styleId="OperatorTok" w:type="character">
    <w:name w:val="OperatorTok"/>
    <w:basedOn w:val="VerbatimChar"/>
    <w:rPr>
      <w:rFonts w:ascii="Menlo" w:hAnsi="Menlo"/>
      <w:b/>
      <w:color w:val="CE5C00"/>
      <w:sz w:val="20"/>
      <w:shd w:color="auto" w:fill="F8F8F8" w:val="clear"/>
    </w:rPr>
  </w:style>
  <w:style w:customStyle="1" w:styleId="BuiltInTok" w:type="character">
    <w:name w:val="BuiltInTok"/>
    <w:basedOn w:val="VerbatimChar"/>
    <w:rPr>
      <w:rFonts w:ascii="Menlo" w:hAnsi="Menlo"/>
      <w:sz w:val="20"/>
      <w:shd w:color="auto" w:fill="F8F8F8" w:val="clear"/>
    </w:rPr>
  </w:style>
  <w:style w:customStyle="1" w:styleId="ExtensionTok" w:type="character">
    <w:name w:val="ExtensionTok"/>
    <w:basedOn w:val="VerbatimChar"/>
    <w:rPr>
      <w:rFonts w:ascii="Menlo" w:hAnsi="Menlo"/>
      <w:sz w:val="20"/>
      <w:shd w:color="auto" w:fill="F8F8F8" w:val="clear"/>
    </w:rPr>
  </w:style>
  <w:style w:customStyle="1" w:styleId="PreprocessorTok" w:type="character">
    <w:name w:val="PreprocessorTok"/>
    <w:basedOn w:val="VerbatimChar"/>
    <w:rPr>
      <w:rFonts w:ascii="Menlo" w:hAnsi="Menlo"/>
      <w:i/>
      <w:color w:val="8F5902"/>
      <w:sz w:val="20"/>
      <w:shd w:color="auto" w:fill="F8F8F8" w:val="clear"/>
    </w:rPr>
  </w:style>
  <w:style w:customStyle="1" w:styleId="AttributeTok" w:type="character">
    <w:name w:val="AttributeTok"/>
    <w:basedOn w:val="VerbatimChar"/>
    <w:rPr>
      <w:rFonts w:ascii="Menlo" w:hAnsi="Menlo"/>
      <w:color w:val="C4A000"/>
      <w:sz w:val="20"/>
      <w:shd w:color="auto" w:fill="F8F8F8" w:val="clear"/>
    </w:rPr>
  </w:style>
  <w:style w:customStyle="1" w:styleId="RegionMarkerTok" w:type="character">
    <w:name w:val="RegionMarkerTok"/>
    <w:basedOn w:val="VerbatimChar"/>
    <w:rPr>
      <w:rFonts w:ascii="Menlo" w:hAnsi="Menlo"/>
      <w:sz w:val="20"/>
      <w:shd w:color="auto" w:fill="F8F8F8" w:val="clear"/>
    </w:rPr>
  </w:style>
  <w:style w:customStyle="1" w:styleId="InformationTok" w:type="character">
    <w:name w:val="InformationTok"/>
    <w:basedOn w:val="VerbatimChar"/>
    <w:rPr>
      <w:rFonts w:ascii="Menlo" w:hAnsi="Menlo"/>
      <w:b/>
      <w:i/>
      <w:color w:val="8F5902"/>
      <w:sz w:val="20"/>
      <w:shd w:color="auto" w:fill="F8F8F8" w:val="clear"/>
    </w:rPr>
  </w:style>
  <w:style w:customStyle="1" w:styleId="WarningTok" w:type="character">
    <w:name w:val="WarningTok"/>
    <w:basedOn w:val="VerbatimChar"/>
    <w:rPr>
      <w:rFonts w:ascii="Menlo" w:hAnsi="Menlo"/>
      <w:b/>
      <w:i/>
      <w:color w:val="8F5902"/>
      <w:sz w:val="20"/>
      <w:shd w:color="auto" w:fill="F8F8F8" w:val="clear"/>
    </w:rPr>
  </w:style>
  <w:style w:customStyle="1" w:styleId="AlertTok" w:type="character">
    <w:name w:val="AlertTok"/>
    <w:basedOn w:val="VerbatimChar"/>
    <w:rPr>
      <w:rFonts w:ascii="Menlo" w:hAnsi="Menlo"/>
      <w:color w:val="EF2929"/>
      <w:sz w:val="20"/>
      <w:shd w:color="auto" w:fill="F8F8F8" w:val="clear"/>
    </w:rPr>
  </w:style>
  <w:style w:customStyle="1" w:styleId="ErrorTok" w:type="character">
    <w:name w:val="ErrorTok"/>
    <w:basedOn w:val="VerbatimChar"/>
    <w:rPr>
      <w:rFonts w:ascii="Menlo" w:hAnsi="Menlo"/>
      <w:b/>
      <w:color w:val="A40000"/>
      <w:sz w:val="20"/>
      <w:shd w:color="auto" w:fill="F8F8F8" w:val="clear"/>
    </w:rPr>
  </w:style>
  <w:style w:customStyle="1" w:styleId="NormalTok" w:type="character">
    <w:name w:val="NormalTok"/>
    <w:basedOn w:val="VerbatimChar"/>
    <w:rPr>
      <w:rFonts w:ascii="Menlo" w:hAnsi="Menlo"/>
      <w:sz w:val="20"/>
      <w:shd w:color="auto" w:fill="F8F8F8" w:val="clear"/>
    </w:rPr>
  </w:style>
  <w:style w:styleId="ListBullet" w:type="paragraph">
    <w:name w:val="List Bullet"/>
    <w:basedOn w:val="Normal"/>
    <w:semiHidden/>
    <w:unhideWhenUsed/>
    <w:rsid w:val="00011C3A"/>
    <w:pPr>
      <w:numPr>
        <w:numId w:val="13"/>
      </w:numPr>
      <w:contextualSpacing/>
    </w:pPr>
    <w:rPr>
      <w:rFonts w:ascii="Times New Roman" w:hAnsi="Times New Roman"/>
    </w:rPr>
  </w:style>
  <w:style w:customStyle="1" w:styleId="BodyTextChar" w:type="character">
    <w:name w:val="Body Text Char"/>
    <w:basedOn w:val="DefaultParagraphFont"/>
    <w:link w:val="BodyText"/>
    <w:rsid w:val="001C626F"/>
    <w:rPr>
      <w:rFonts w:ascii="Times New Roman" w:hAnsi="Times New Roman"/>
    </w:rPr>
  </w:style>
  <w:style w:styleId="ListNumber" w:type="paragraph">
    <w:name w:val="List Number"/>
    <w:basedOn w:val="Normal"/>
    <w:semiHidden/>
    <w:unhideWhenUsed/>
    <w:rsid w:val="00011C3A"/>
    <w:pPr>
      <w:numPr>
        <w:numId w:val="8"/>
      </w:numPr>
      <w:contextualSpacing/>
    </w:pPr>
    <w:rPr>
      <w:rFonts w:ascii="Times New Roman" w:hAnsi="Times New Roman"/>
    </w:rPr>
  </w:style>
  <w:style w:styleId="PageNumber" w:type="character">
    <w:name w:val="page number"/>
    <w:basedOn w:val="DefaultParagraphFont"/>
    <w:semiHidden/>
    <w:unhideWhenUsed/>
    <w:rsid w:val="00011C3A"/>
    <w:rPr>
      <w:rFonts w:ascii="Times New Roman" w:hAnsi="Times New Roman"/>
      <w:b w:val="0"/>
      <w:i w:val="0"/>
      <w:sz w:val="24"/>
    </w:rPr>
  </w:style>
  <w:style w:styleId="Header" w:type="paragraph">
    <w:name w:val="header"/>
    <w:basedOn w:val="Normal"/>
    <w:link w:val="HeaderChar"/>
    <w:unhideWhenUsed/>
    <w:rsid w:val="004C1A18"/>
    <w:pPr>
      <w:tabs>
        <w:tab w:pos="4680" w:val="center"/>
        <w:tab w:pos="9360" w:val="right"/>
      </w:tabs>
      <w:spacing w:after="0"/>
    </w:pPr>
  </w:style>
  <w:style w:customStyle="1" w:styleId="HeaderChar" w:type="character">
    <w:name w:val="Header Char"/>
    <w:basedOn w:val="DefaultParagraphFont"/>
    <w:link w:val="Header"/>
    <w:rsid w:val="004C1A18"/>
  </w:style>
  <w:style w:styleId="Footer" w:type="paragraph">
    <w:name w:val="footer"/>
    <w:basedOn w:val="Normal"/>
    <w:link w:val="FooterChar"/>
    <w:unhideWhenUsed/>
    <w:rsid w:val="004C1A18"/>
    <w:pPr>
      <w:tabs>
        <w:tab w:pos="4680" w:val="center"/>
        <w:tab w:pos="9360" w:val="right"/>
      </w:tabs>
      <w:spacing w:after="0"/>
    </w:pPr>
  </w:style>
  <w:style w:customStyle="1" w:styleId="FooterChar" w:type="character">
    <w:name w:val="Footer Char"/>
    <w:basedOn w:val="DefaultParagraphFont"/>
    <w:link w:val="Footer"/>
    <w:rsid w:val="004C1A18"/>
  </w:style>
  <w:style w:customStyle="1" w:styleId="Abstractheading" w:type="paragraph">
    <w:name w:val="Abstract heading"/>
    <w:basedOn w:val="Heading1"/>
    <w:qFormat/>
    <w:rsid w:val="00DB32D8"/>
    <w:rPr>
      <w:rFonts w:cs="Times New Roman (Headings CS)"/>
      <w:b w:val="0"/>
    </w:rPr>
  </w:style>
  <w:style w:customStyle="1" w:styleId="Title2" w:type="paragraph">
    <w:name w:val="Title2"/>
    <w:basedOn w:val="Title"/>
    <w:qFormat/>
    <w:rsid w:val="002B1C5D"/>
    <w:pPr>
      <w:spacing w:after="360" w:before="0"/>
    </w:pPr>
  </w:style>
  <w:style w:customStyle="1" w:styleId="math" w:type="paragraph">
    <w:name w:val="math"/>
    <w:basedOn w:val="BodyText"/>
    <w:qFormat/>
    <w:rsid w:val="00AC443E"/>
    <w:rPr>
      <w:rFonts w:ascii="Latin Modern Math" w:hAnsi="Latin Modern Math"/>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3.xml" Type="http://schemas.openxmlformats.org/officeDocument/2006/relationships/footer" /><Relationship Id="rId14"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73" Target="https://doi.org/10.1002/bult.2012.1720390110" TargetMode="External" /><Relationship Type="http://schemas.openxmlformats.org/officeDocument/2006/relationships/hyperlink" Id="rId51" Target="https://doi.org/10.1038/s41562-018-0399-z" TargetMode="External" /><Relationship Type="http://schemas.openxmlformats.org/officeDocument/2006/relationships/hyperlink" Id="rId69" Target="https://doi.org/10.1038/s41562-021-01269-4" TargetMode="External" /><Relationship Type="http://schemas.openxmlformats.org/officeDocument/2006/relationships/hyperlink" Id="rId47" Target="https://doi.org/10.1111/lnc3.12495" TargetMode="External" /><Relationship Type="http://schemas.openxmlformats.org/officeDocument/2006/relationships/hyperlink" Id="rId67" Target="https://doi.org/10.1126/science.aac4716" TargetMode="External" /><Relationship Type="http://schemas.openxmlformats.org/officeDocument/2006/relationships/hyperlink" Id="rId49" Target="https://doi.org/10.1126/science.aaf091" TargetMode="External" /><Relationship Type="http://schemas.openxmlformats.org/officeDocument/2006/relationships/hyperlink" Id="rId63" Target="https://doi.org/10.1136/emermed-2017-207158" TargetMode="External" /><Relationship Type="http://schemas.openxmlformats.org/officeDocument/2006/relationships/hyperlink" Id="rId80" Target="https://doi.org/10.1177/0956797611417632" TargetMode="External" /><Relationship Type="http://schemas.openxmlformats.org/officeDocument/2006/relationships/hyperlink" Id="rId45" Target="https://doi.org/10.1177/1468794112468" TargetMode="External" /><Relationship Type="http://schemas.openxmlformats.org/officeDocument/2006/relationships/hyperlink" Id="rId78" Target="https://doi.org/10.1177/17456916221144988" TargetMode="External" /><Relationship Type="http://schemas.openxmlformats.org/officeDocument/2006/relationships/hyperlink" Id="rId58" Target="https://doi.org/10.1242/bio.059310" TargetMode="External" /><Relationship Type="http://schemas.openxmlformats.org/officeDocument/2006/relationships/hyperlink" Id="rId75" Target="https://doi.org/10.1515/ling-2019-0048" TargetMode="External" /><Relationship Type="http://schemas.openxmlformats.org/officeDocument/2006/relationships/hyperlink" Id="rId54" Target="https://doi.org/10.17169/fqs-7.3.143" TargetMode="External" /><Relationship Type="http://schemas.openxmlformats.org/officeDocument/2006/relationships/hyperlink" Id="rId71" Target="https://doi.org/10.31222/osf.io/ezfsk" TargetMode="External" /><Relationship Type="http://schemas.openxmlformats.org/officeDocument/2006/relationships/hyperlink" Id="rId61" Target="https://doi.org/10.34293/education.v8i4.3232" TargetMode="External" /><Relationship Type="http://schemas.openxmlformats.org/officeDocument/2006/relationships/hyperlink" Id="rId56" Target="https://doi.org/10.7554/eLife.71601" TargetMode="External" /><Relationship Type="http://schemas.openxmlformats.org/officeDocument/2006/relationships/hyperlink" Id="rId83" Target="https://vimeo.com/675236573/741e24aab7"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02/bult.2012.1720390110" TargetMode="External" /><Relationship Type="http://schemas.openxmlformats.org/officeDocument/2006/relationships/hyperlink" Id="rId51" Target="https://doi.org/10.1038/s41562-018-0399-z" TargetMode="External" /><Relationship Type="http://schemas.openxmlformats.org/officeDocument/2006/relationships/hyperlink" Id="rId69" Target="https://doi.org/10.1038/s41562-021-01269-4" TargetMode="External" /><Relationship Type="http://schemas.openxmlformats.org/officeDocument/2006/relationships/hyperlink" Id="rId47" Target="https://doi.org/10.1111/lnc3.12495" TargetMode="External" /><Relationship Type="http://schemas.openxmlformats.org/officeDocument/2006/relationships/hyperlink" Id="rId67" Target="https://doi.org/10.1126/science.aac4716" TargetMode="External" /><Relationship Type="http://schemas.openxmlformats.org/officeDocument/2006/relationships/hyperlink" Id="rId49" Target="https://doi.org/10.1126/science.aaf091" TargetMode="External" /><Relationship Type="http://schemas.openxmlformats.org/officeDocument/2006/relationships/hyperlink" Id="rId63" Target="https://doi.org/10.1136/emermed-2017-207158" TargetMode="External" /><Relationship Type="http://schemas.openxmlformats.org/officeDocument/2006/relationships/hyperlink" Id="rId80" Target="https://doi.org/10.1177/0956797611417632" TargetMode="External" /><Relationship Type="http://schemas.openxmlformats.org/officeDocument/2006/relationships/hyperlink" Id="rId45" Target="https://doi.org/10.1177/1468794112468" TargetMode="External" /><Relationship Type="http://schemas.openxmlformats.org/officeDocument/2006/relationships/hyperlink" Id="rId78" Target="https://doi.org/10.1177/17456916221144988" TargetMode="External" /><Relationship Type="http://schemas.openxmlformats.org/officeDocument/2006/relationships/hyperlink" Id="rId58" Target="https://doi.org/10.1242/bio.059310" TargetMode="External" /><Relationship Type="http://schemas.openxmlformats.org/officeDocument/2006/relationships/hyperlink" Id="rId75" Target="https://doi.org/10.1515/ling-2019-0048" TargetMode="External" /><Relationship Type="http://schemas.openxmlformats.org/officeDocument/2006/relationships/hyperlink" Id="rId54" Target="https://doi.org/10.17169/fqs-7.3.143" TargetMode="External" /><Relationship Type="http://schemas.openxmlformats.org/officeDocument/2006/relationships/hyperlink" Id="rId71" Target="https://doi.org/10.31222/osf.io/ezfsk" TargetMode="External" /><Relationship Type="http://schemas.openxmlformats.org/officeDocument/2006/relationships/hyperlink" Id="rId61" Target="https://doi.org/10.34293/education.v8i4.3232" TargetMode="External" /><Relationship Type="http://schemas.openxmlformats.org/officeDocument/2006/relationships/hyperlink" Id="rId56" Target="https://doi.org/10.7554/eLife.71601" TargetMode="External" /><Relationship Type="http://schemas.openxmlformats.org/officeDocument/2006/relationships/hyperlink" Id="rId83" Target="https://vimeo.com/675236573/741e24aab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Opening open science to all: Demystifying practices of open science in linguistics research</dc:title>
  <dc:creator>Joseph V. Casillas; Gabriela Constantin-Dureci; Iván Rascón Andreu; Jiawei Shao; Stephanie Rodríguez; Adrija Gadamsetty; Alexandria Minetti; Krishita Laungani; Johnathan Thatcher; Rhode-Taina Gardere; Katherine Taveras; Isabelle Chang; Nicole Rodríguez; Kyle Parrish</dc:creator>
  <cp:category>article</cp:category>
  <dc:description>Open science practices</dc:description>
  <dc:subject>linguistics</dc:subject>
  <cp:keywords/>
  <dcterms:created xsi:type="dcterms:W3CDTF">2023-12-15T03:35:55Z</dcterms:created>
  <dcterms:modified xsi:type="dcterms:W3CDTF">2023-12-15T03:35:55Z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./bib/os_refs.bib</vt:lpwstr>
  </property>
  <property fmtid="{D5CDD505-2E9C-101B-9397-08002B2CF9AE}" pid="6" name="by-affiliation">
    <vt:lpwstr/>
  </property>
  <property fmtid="{D5CDD505-2E9C-101B-9397-08002B2CF9AE}" pid="7" name="by-author">
    <vt:lpwstr/>
  </property>
  <property fmtid="{D5CDD505-2E9C-101B-9397-08002B2CF9AE}" pid="8" name="csl">
    <vt:lpwstr>./bib/apa-6th-edition.csl</vt:lpwstr>
  </property>
  <property fmtid="{D5CDD505-2E9C-101B-9397-08002B2CF9AE}" pid="9" name="editor_option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indent">
    <vt:lpwstr>True</vt:lpwstr>
  </property>
  <property fmtid="{D5CDD505-2E9C-101B-9397-08002B2CF9AE}" pid="14" name="labels">
    <vt:lpwstr/>
  </property>
  <property fmtid="{D5CDD505-2E9C-101B-9397-08002B2CF9AE}" pid="15" name="shorttitle">
    <vt:lpwstr>Opening open science to all</vt:lpwstr>
  </property>
  <property fmtid="{D5CDD505-2E9C-101B-9397-08002B2CF9AE}" pid="16" name="toc-title">
    <vt:lpwstr>Table of contents</vt:lpwstr>
  </property>
</Properties>
</file>