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02.png" ContentType="image/png"/>
  <Override PartName="/word/media/rId70.png" ContentType="image/png"/>
  <Override PartName="/word/media/rId55.png" ContentType="image/png"/>
  <Override PartName="/word/media/rId6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 practices.</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28"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 and HARKing,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In the aftermath of the aforementioned crisis, there has been a push for increased transparency and reproducible methodology to help mitigate the effects of QRPs.</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To wit,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(ERC)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students/ERCs to senior researchers and advisors.</w:t>
      </w:r>
      <w:r>
        <w:t xml:space="preserve"> </w:t>
      </w:r>
      <w:r>
        <w:t xml:space="preserve">To this end, we identify the following three areas of stance, workflow and dissemination, in which linguists can engage in open science (see</w:t>
      </w:r>
      <w:r>
        <w:t xml:space="preserve"> </w:t>
      </w:r>
      <w:hyperlink w:anchor="fig-os-flow-edit">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in what follows, we dedicate five sections of this paper to highlighting eight open science practices within these areas: positionality statements and declarations of conflict of interest, open data (as both a stance and a dissemination practice), reproducible code/projects and literate programming,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7" w:name="fig-os-flow-edit"/>
          <w:p>
            <w:pPr>
              <w:pStyle w:val="Compact"/>
              <w:jc w:val="center"/>
            </w:pPr>
            <w:r>
              <w:drawing>
                <wp:inline>
                  <wp:extent cx="5943600" cy="3202190"/>
                  <wp:effectExtent b="0" l="0" r="0" t="0"/>
                  <wp:docPr descr="" title="" id="25" name="Picture"/>
                  <a:graphic>
                    <a:graphicData uri="http://schemas.openxmlformats.org/drawingml/2006/picture">
                      <pic:pic>
                        <pic:nvPicPr>
                          <pic:cNvPr descr="figs/os-flow/fig-os-flow_edit.png" id="26" name="Picture"/>
                          <pic:cNvPicPr>
                            <a:picLocks noChangeArrowheads="1" noChangeAspect="1"/>
                          </pic:cNvPicPr>
                        </pic:nvPicPr>
                        <pic:blipFill>
                          <a:blip r:embed="rId24"/>
                          <a:stretch>
                            <a:fillRect/>
                          </a:stretch>
                        </pic:blipFill>
                        <pic:spPr bwMode="auto">
                          <a:xfrm>
                            <a:off x="0" y="0"/>
                            <a:ext cx="5943600" cy="32021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7"/>
        </w:tc>
      </w:tr>
    </w:tbl>
    <w:bookmarkEnd w:id="28"/>
    <w:bookmarkStart w:id="32" w:name="positionality-statements"/>
    <w:p>
      <w:pPr>
        <w:pStyle w:val="Heading1"/>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way of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29"/>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examples of positionality statements in linguistic research, the interested reader is directed to</w:t>
      </w:r>
      <w:r>
        <w:t xml:space="preserve"> </w:t>
      </w:r>
      <w:r>
        <w:t xml:space="preserve">Bochynska et al. (2023)</w:t>
      </w:r>
      <w:r>
        <w:t xml:space="preserve"> </w:t>
      </w:r>
      <w:r>
        <w:t xml:space="preserve">and</w:t>
      </w:r>
      <w:r>
        <w:t xml:space="preserve"> </w:t>
      </w:r>
      <w:r>
        <w:t xml:space="preserve">Weissler et al. (2023)</w:t>
      </w:r>
      <w:r>
        <w:t xml:space="preserve">.</w:t>
      </w:r>
    </w:p>
    <w:bookmarkEnd w:id="32"/>
    <w:bookmarkStart w:id="48" w:name="open-data"/>
    <w:p>
      <w:pPr>
        <w:pStyle w:val="Heading1"/>
      </w:pPr>
      <w:r>
        <w:t xml:space="preserve">Open data</w:t>
      </w:r>
    </w:p>
    <w:p>
      <w:pPr>
        <w:pStyle w:val="FirstParagraph"/>
      </w:pPr>
      <w:r>
        <w:t xml:space="preserve">The term</w:t>
      </w:r>
      <w:r>
        <w:t xml:space="preserve"> </w:t>
      </w:r>
      <w:r>
        <w:rPr>
          <w:i/>
          <w:iCs/>
        </w:rPr>
        <w:t xml:space="preserve">open data</w:t>
      </w:r>
      <w:r>
        <w:t xml:space="preserve"> </w:t>
      </w:r>
      <w:r>
        <w:t xml:space="preserve">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Recent efforts have attempted to encourage researchers to make linguistic data open and accessible via servers.</w:t>
      </w:r>
      <w:r>
        <w:t xml:space="preserve"> </w:t>
      </w:r>
      <w:r>
        <w:t xml:space="preserve">An illustrative example is the IRIS database (</w:t>
      </w:r>
      <w:hyperlink r:id="rId33">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sharing code and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data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 open data and consider the specific challenges researchers face in the field of linguistics.</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data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linguistic data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which fosters a more inclusive and comprehensive understanding of the global linguistic landscape.</w:t>
      </w:r>
    </w:p>
    <w:p>
      <w:pPr>
        <w:pStyle w:val="BodyText"/>
      </w:pPr>
      <w:r>
        <w:t xml:space="preserve">Having stated all the above, it is necessary to recognize that linguistics faces a unique set of challenges with its multitude of subfields, each potentially working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rPr>
          <w:rStyle w:val="FootnoteReference"/>
        </w:rPr>
        <w:footnoteReference w:id="34"/>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5">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6"/>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data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 data set.</w:t>
      </w:r>
      <w:r>
        <w:t xml:space="preserve"> </w:t>
      </w:r>
      <w:r>
        <w:t xml:space="preserve">Unfortunately, most publicly available data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0">
        <w:r>
          <w:rPr>
            <w:rStyle w:val="Hyperlink"/>
          </w:rPr>
          <w:t xml:space="preserve">https://osf.io/q6g8d</w:t>
        </w:r>
      </w:hyperlink>
      <w:r>
        <w:t xml:space="preserve">,</w:t>
      </w:r>
      <w:r>
        <w:t xml:space="preserve"> </w:t>
      </w:r>
      <w:hyperlink r:id="rId41">
        <w:r>
          <w:rPr>
            <w:rStyle w:val="Hyperlink"/>
          </w:rPr>
          <w:t xml:space="preserve">https://osf.io/d3pum</w:t>
        </w:r>
      </w:hyperlink>
      <w:r>
        <w:t xml:space="preserve">), data-level (</w:t>
      </w:r>
      <w:hyperlink r:id="rId42">
        <w:r>
          <w:rPr>
            <w:rStyle w:val="Hyperlink"/>
          </w:rPr>
          <w:t xml:space="preserve">https://osf.io/tk4cb</w:t>
        </w:r>
      </w:hyperlink>
      <w:r>
        <w:t xml:space="preserve">), and variable-level (</w:t>
      </w:r>
      <w:hyperlink r:id="rId43">
        <w:r>
          <w:rPr>
            <w:rStyle w:val="Hyperlink"/>
          </w:rPr>
          <w:t xml:space="preserve">https://osf.io/ynqcu</w:t>
        </w:r>
      </w:hyperlink>
      <w:r>
        <w:t xml:space="preserve">).</w:t>
      </w:r>
    </w:p>
    <w:p>
      <w:pPr>
        <w:pStyle w:val="BodyText"/>
      </w:pPr>
      <w:r>
        <w:t xml:space="preserve">Once the data has been prepared for sharing, the researcher must decide where to share it.</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data sets (and other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4">
        <w:r>
          <w:rPr>
            <w:rStyle w:val="Hyperlink"/>
          </w:rPr>
          <w:t xml:space="preserve">https://osf.io/zx9ky/</w:t>
        </w:r>
      </w:hyperlink>
      <w:r>
        <w:t xml:space="preserve">,</w:t>
      </w:r>
      <w:r>
        <w:t xml:space="preserve"> </w:t>
      </w:r>
      <w:hyperlink r:id="rId45">
        <w:r>
          <w:rPr>
            <w:rStyle w:val="Hyperlink"/>
          </w:rPr>
          <w:t xml:space="preserve">https://osf.io/3bmcp/</w:t>
        </w:r>
      </w:hyperlink>
      <w:r>
        <w:t xml:space="preserve">, or</w:t>
      </w:r>
      <w:r>
        <w:t xml:space="preserve"> </w:t>
      </w:r>
      <w:hyperlink r:id="rId46">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47"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47"/>
          <w:p/>
        </w:tc>
      </w:tr>
    </w:tbl>
    <w:p>
      <w:pPr>
        <w:pStyle w:val="BodyText"/>
      </w:pPr>
      <w:r>
        <w:t xml:space="preserve">To summarize, open data is important because it facilitates transparency, rigor, reproducibility, replication, accumulation of knowledge, and, importantly, it makes participating in the scientific endeavor more inclusive.</w:t>
      </w:r>
      <w:r>
        <w:t xml:space="preserve"> </w:t>
      </w:r>
      <w:r>
        <w:t xml:space="preserve">According to some accounts, linguistics, in general, does not engage in open science practices, including sharing data</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data outnumber many of these challenges.</w:t>
      </w:r>
      <w:r>
        <w:t xml:space="preserve"> </w:t>
      </w:r>
      <w:r>
        <w:t xml:space="preserve">Researchers should take the stance to share what is reasonable and ethically responsible all the while holding at the forefront the priorities of the individuals from which the data are derived, especially regarding marginalized communities.</w:t>
      </w:r>
    </w:p>
    <w:bookmarkEnd w:id="48"/>
    <w:bookmarkStart w:id="52" w:name="X86d878d9595b9fb6a0b84acee7de2c2c447eb35"/>
    <w:p>
      <w:pPr>
        <w:pStyle w:val="Heading1"/>
      </w:pPr>
      <w:r>
        <w:t xml:space="preserve">Reproducible code/projects and literate programming</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p>
      <w:pPr>
        <w:pStyle w:val="BodyText"/>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 markdown files (Rmd) and Quarto markdown files (qmd).</w:t>
      </w:r>
      <w:r>
        <w:t xml:space="preserve"> </w:t>
      </w:r>
      <w:r>
        <w:t xml:space="preserve">These formats use the R package</w:t>
      </w:r>
      <w:r>
        <w:t xml:space="preserve"> </w:t>
      </w:r>
      <w:r>
        <w:rPr>
          <w:rStyle w:val="VerbatimChar"/>
        </w:rPr>
        <w:t xml:space="preserve">knitr</w:t>
      </w:r>
      <w:r>
        <w:t xml:space="preserve"> </w:t>
      </w:r>
      <w:r>
        <w:t xml:space="preserve">(Xie, 2014, 2015, 2023)</w:t>
      </w:r>
      <w:r>
        <w:t xml:space="preserve"> </w:t>
      </w:r>
      <w:r>
        <w:t xml:space="preserve">to tangle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In fact, the present manuscript was generated using literate programming and is available for download here:</w:t>
      </w:r>
      <w:r>
        <w:t xml:space="preserve"> </w:t>
      </w:r>
      <w:hyperlink r:id="rId49">
        <w:r>
          <w:rPr>
            <w:rStyle w:val="Hyperlink"/>
          </w:rPr>
          <w:t xml:space="preserve">https://osf.io/bsu2q/</w:t>
        </w:r>
      </w:hyperlink>
      <w:r>
        <w:t xml:space="preserve">.</w:t>
      </w:r>
    </w:p>
    <w:p>
      <w:pPr>
        <w:pStyle w:val="BodyText"/>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This allows a researcher to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Examples of completed reproducible projects are available to the interested reader here:</w:t>
      </w:r>
      <w:r>
        <w:t xml:space="preserve"> </w:t>
      </w:r>
      <w:hyperlink r:id="rId50">
        <w:r>
          <w:rPr>
            <w:rStyle w:val="Hyperlink"/>
          </w:rPr>
          <w:t xml:space="preserve">https://osf.io/un45x/</w:t>
        </w:r>
      </w:hyperlink>
      <w:r>
        <w:t xml:space="preserve"> </w:t>
      </w:r>
      <w:r>
        <w:t xml:space="preserve">and</w:t>
      </w:r>
      <w:r>
        <w:t xml:space="preserve"> </w:t>
      </w:r>
      <w:hyperlink r:id="rId51">
        <w:r>
          <w:rPr>
            <w:rStyle w:val="Hyperlink"/>
          </w:rPr>
          <w:t xml:space="preserve">https://osf.io/cp9bs/</w:t>
        </w:r>
      </w:hyperlink>
      <w:r>
        <w:t xml:space="preserve">.</w:t>
      </w:r>
    </w:p>
    <w:p>
      <w:pPr>
        <w:pStyle w:val="BodyText"/>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and Code Ocean can also be used to create virtual environments in which projects can be reproduced online.</w:t>
      </w:r>
      <w:r>
        <w:t xml:space="preserve"> </w:t>
      </w:r>
      <w:r>
        <w:t xml:space="preserve">Thus, these platforms allow researchers to share their code and data in ways that can be easily replicated by anybody with an internet connection.</w:t>
      </w:r>
    </w:p>
    <w:p>
      <w:pPr>
        <w:pStyle w:val="BodyText"/>
      </w:pPr>
      <w:r>
        <w:t xml:space="preserve">At this juncture it is important to note that there is no way to completely future-proof code or projects.</w:t>
      </w:r>
      <w:r>
        <w:t xml:space="preserve"> </w:t>
      </w:r>
      <w:r>
        <w:t xml:space="preserve">Researchers must continually strive to maintain the reproducibility of their work.</w:t>
      </w:r>
      <w:r>
        <w:t xml:space="preserve"> </w:t>
      </w:r>
      <w:r>
        <w:t xml:space="preserve">This includes updating code and documentation as needed and testing projects on different operating systems to ensure that it can be run in different environments.</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By creating dynamic reports using literate programming and integrating them into reproducible projects in conjunction with dependency management tools, linguists can make their projects more reproducible and accessible.</w:t>
      </w:r>
    </w:p>
    <w:bookmarkEnd w:id="52"/>
    <w:bookmarkStart w:id="69" w:name="preregistration-and-registered-reports"/>
    <w:p>
      <w:pPr>
        <w:pStyle w:val="Heading1"/>
      </w:pPr>
      <w:r>
        <w:t xml:space="preserve">Preregistration and registered reports</w:t>
      </w:r>
    </w:p>
    <w:p>
      <w:pPr>
        <w:pStyle w:val="FirstParagraph"/>
      </w:pPr>
      <w:r>
        <w:t xml:space="preserve">In this section, we will briefly consider two open science innovations that are making a profound impact on how academic research is conducted, evaluated, and, ultimately, disseminated to the public.</w:t>
      </w:r>
      <w:r>
        <w:t xml:space="preserve"> </w:t>
      </w:r>
      <w:r>
        <w:t xml:space="preserve">These innovations, preregistrations and registered reports, were designed with the goal of reducing QRPs and publication bias.</w:t>
      </w:r>
    </w:p>
    <w:bookmarkStart w:id="60"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corpus analysis, conversation/discourse analysis, experimental research, and more.</w:t>
      </w:r>
      <w:r>
        <w:t xml:space="preserve"> </w:t>
      </w:r>
      <w:r>
        <w:t xml:space="preserve">However,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br/>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p>
    <w:p>
      <w:pPr>
        <w:pStyle w:val="BodyText"/>
      </w:pPr>
      <w:r>
        <w:t xml:space="preserve">It is important to acknowledge that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run,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examples of preregistrations at the following links:</w:t>
      </w:r>
      <w:r>
        <w:t xml:space="preserve"> </w:t>
      </w:r>
      <w:hyperlink r:id="rId53">
        <w:r>
          <w:rPr>
            <w:rStyle w:val="Hyperlink"/>
          </w:rPr>
          <w:t xml:space="preserve">https://osf.io/nprgz</w:t>
        </w:r>
      </w:hyperlink>
      <w:r>
        <w:t xml:space="preserve"> </w:t>
      </w:r>
      <w:r>
        <w:t xml:space="preserve">and</w:t>
      </w:r>
      <w:r>
        <w:t xml:space="preserve"> </w:t>
      </w:r>
      <w:hyperlink r:id="rId54">
        <w:r>
          <w:rPr>
            <w:rStyle w:val="Hyperlink"/>
          </w:rPr>
          <w:t xml:space="preserve">https://osf.io/qvjzy</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9" w:name="fig-pr"/>
          <w:p>
            <w:pPr>
              <w:pStyle w:val="Compact"/>
              <w:jc w:val="center"/>
            </w:pPr>
            <w:r>
              <w:drawing>
                <wp:inline>
                  <wp:extent cx="5943600" cy="2674620"/>
                  <wp:effectExtent b="0" l="0" r="0" t="0"/>
                  <wp:docPr descr="" title="" id="56" name="Picture"/>
                  <a:graphic>
                    <a:graphicData uri="http://schemas.openxmlformats.org/drawingml/2006/picture">
                      <pic:pic>
                        <pic:nvPicPr>
                          <pic:cNvPr descr="./figs/preregistration/fig-pr-1.png" id="57" name="Picture"/>
                          <pic:cNvPicPr>
                            <a:picLocks noChangeArrowheads="1" noChangeAspect="1"/>
                          </pic:cNvPicPr>
                        </pic:nvPicPr>
                        <pic:blipFill>
                          <a:blip r:embed="rId55"/>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scrapped from</w:t>
            </w:r>
            <w:r>
              <w:t xml:space="preserve"> </w:t>
            </w:r>
            <w:hyperlink r:id="rId58">
              <w:r>
                <w:rPr>
                  <w:rStyle w:val="Hyperlink"/>
                </w:rPr>
                <w:t xml:space="preserve">https://osf.io/search</w:t>
              </w:r>
            </w:hyperlink>
            <w:r>
              <w:t xml:space="preserve"> </w:t>
            </w:r>
            <w:r>
              <w:t xml:space="preserve">on 12-12-2024.</w:t>
            </w:r>
          </w:p>
          <w:bookmarkEnd w:id="59"/>
        </w:tc>
      </w:tr>
    </w:tbl>
    <w:bookmarkEnd w:id="60"/>
    <w:bookmarkStart w:id="68"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data,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statistical technique that combines the results of multiple studies to increase the power of analysis.</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64" w:name="fig-dissemination-cycle"/>
          <w:p>
            <w:pPr>
              <w:pStyle w:val="Compact"/>
              <w:jc w:val="center"/>
            </w:pPr>
            <w:r>
              <w:drawing>
                <wp:inline>
                  <wp:extent cx="5943600" cy="3007166"/>
                  <wp:effectExtent b="0" l="0" r="0" t="0"/>
                  <wp:docPr descr="" title="" id="62" name="Picture"/>
                  <a:graphic>
                    <a:graphicData uri="http://schemas.openxmlformats.org/drawingml/2006/picture">
                      <pic:pic>
                        <pic:nvPicPr>
                          <pic:cNvPr descr="figs/dissemination-cycle/fig-dissemination-cycle.png" id="63" name="Picture"/>
                          <pic:cNvPicPr>
                            <a:picLocks noChangeArrowheads="1" noChangeAspect="1"/>
                          </pic:cNvPicPr>
                        </pic:nvPicPr>
                        <pic:blipFill>
                          <a:blip r:embed="rId61"/>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Flow chart of the standard publication model and registered reports.</w:t>
            </w:r>
          </w:p>
          <w:bookmarkEnd w:id="64"/>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the option to submit a registered report.</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r>
        <w:t xml:space="preserve"> </w:t>
      </w:r>
      <w:r>
        <w:t xml:space="preserve">These data are freely available on the OSF website at</w:t>
      </w:r>
      <w:r>
        <w:t xml:space="preserve"> </w:t>
      </w:r>
      <w:hyperlink r:id="rId65">
        <w:r>
          <w:rPr>
            <w:rStyle w:val="Hyperlink"/>
          </w:rPr>
          <w:t xml:space="preserve">https://www.cos.io/initiatives/registered-reports</w:t>
        </w:r>
      </w:hyperlink>
      <w:r>
        <w:t xml:space="preserve">.</w:t>
      </w:r>
      <w:r>
        <w:t xml:space="preserve"> </w:t>
      </w:r>
      <w:r>
        <w:t xml:space="preserve">Empty cells in</w:t>
      </w:r>
      <w:r>
        <w:t xml:space="preserve"> </w:t>
      </w:r>
      <w:hyperlink w:anchor="tbl-rr">
        <w:r>
          <w:rPr>
            <w:rStyle w:val="Hyperlink"/>
          </w:rPr>
          <w:t xml:space="preserve">Table 2</w:t>
        </w:r>
      </w:hyperlink>
      <w:r>
        <w:t xml:space="preserve"> </w:t>
      </w:r>
      <w:r>
        <w:t xml:space="preserve">indicate missing data and TBA implies that the relevant parameter is</w:t>
      </w:r>
      <w:r>
        <w:t xml:space="preserve"> </w:t>
      </w:r>
      <w:r>
        <w:t xml:space="preserve">‘to be announced’</w:t>
      </w:r>
      <w:r>
        <w:t xml:space="preserve">.</w:t>
      </w:r>
    </w:p>
    <w:tbl>
      <w:tblPr>
        <w:tblStyle w:val="Table"/>
        <w:tblW w:type="pct" w:w="5000"/>
        <w:tblLayout w:type="fixed"/>
        <w:tblLook w:firstRow="0" w:lastRow="0" w:firstColumn="0" w:lastColumn="0" w:noHBand="0" w:noVBand="0" w:val="0000"/>
      </w:tblPr>
      <w:tblGrid>
        <w:gridCol w:w="7920"/>
      </w:tblGrid>
      <w:tr>
        <w:tc>
          <w:tcPr/>
          <w:bookmarkStart w:id="66"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65">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66"/>
          <w:p/>
        </w:tc>
      </w:tr>
    </w:tbl>
    <w:p>
      <w:pPr>
        <w:pStyle w:val="BodyText"/>
      </w:pPr>
      <w:r>
        <w:t xml:space="preserve">The majority of the listed journals plan to offer RRs as a possible submission option indefinitely (n = 9), as opposed to only for special issues or during a trial period.</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exits.</w:t>
      </w:r>
      <w:r>
        <w:t xml:space="preserve"> </w:t>
      </w:r>
      <w:r>
        <w:t xml:space="preserve">Finally, for six of the 14 journals, a public data deposition is a requirement for RRs.</w:t>
      </w:r>
      <w:r>
        <w:rPr>
          <w:rStyle w:val="FootnoteReference"/>
        </w:rPr>
        <w:footnoteReference w:id="67"/>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p>
    <w:p>
      <w:pPr>
        <w:pStyle w:val="BodyText"/>
      </w:pP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68"/>
    <w:bookmarkEnd w:id="69"/>
    <w:bookmarkStart w:id="75" w:name="pre-prints"/>
    <w:p>
      <w:pPr>
        <w:pStyle w:val="Heading1"/>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r>
        <w:t xml:space="preserve">While pre-prints accelerate the dissemination of research, it is vital to remember that this process does not always lead to journal publication.</w:t>
      </w:r>
      <w:r>
        <w:t xml:space="preserve"> </w:t>
      </w:r>
      <w:r>
        <w:t xml:space="preserve">This can occur for several reasons, such as authors may choose not to pursue this route, or the research may be intended for different dissemination avenues</w:t>
      </w:r>
      <w:r>
        <w:t xml:space="preserve"> </w:t>
      </w:r>
      <w:r>
        <w:t xml:space="preserve">(Ettinger et al., 2022)</w:t>
      </w:r>
      <w:r>
        <w:t xml:space="preserve">.</w:t>
      </w:r>
      <w:r>
        <w:t xml:space="preserve"> </w:t>
      </w: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p>
    <w:tbl>
      <w:tblPr>
        <w:tblStyle w:val="Table"/>
        <w:tblW w:type="pct" w:w="5000"/>
        <w:tblLayout w:type="fixed"/>
        <w:tblLook w:firstRow="0" w:lastRow="0" w:firstColumn="0" w:lastColumn="0" w:noHBand="0" w:noVBand="0" w:val="0000"/>
      </w:tblPr>
      <w:tblGrid>
        <w:gridCol w:w="7920"/>
      </w:tblGrid>
      <w:tr>
        <w:tc>
          <w:tcPr/>
          <w:bookmarkStart w:id="73" w:name="fig-pp"/>
          <w:p>
            <w:pPr>
              <w:pStyle w:val="Compact"/>
              <w:jc w:val="center"/>
            </w:pPr>
            <w:r>
              <w:drawing>
                <wp:inline>
                  <wp:extent cx="5943600" cy="2674620"/>
                  <wp:effectExtent b="0" l="0" r="0" t="0"/>
                  <wp:docPr descr="" title="" id="71" name="Picture"/>
                  <a:graphic>
                    <a:graphicData uri="http://schemas.openxmlformats.org/drawingml/2006/picture">
                      <pic:pic>
                        <pic:nvPicPr>
                          <pic:cNvPr descr="./figs/preprints/fig-pp-1.png" id="72" name="Picture"/>
                          <pic:cNvPicPr>
                            <a:picLocks noChangeArrowheads="1" noChangeAspect="1"/>
                          </pic:cNvPicPr>
                        </pic:nvPicPr>
                        <pic:blipFill>
                          <a:blip r:embed="rId7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scrapped from</w:t>
            </w:r>
            <w:r>
              <w:t xml:space="preserve"> </w:t>
            </w:r>
            <w:hyperlink r:id="rId58">
              <w:r>
                <w:rPr>
                  <w:rStyle w:val="Hyperlink"/>
                </w:rPr>
                <w:t xml:space="preserve">https://osf.io/search</w:t>
              </w:r>
            </w:hyperlink>
            <w:r>
              <w:t xml:space="preserve"> </w:t>
            </w:r>
            <w:r>
              <w:t xml:space="preserve">on 12-15-2024.</w:t>
            </w:r>
          </w:p>
          <w:bookmarkEnd w:id="73"/>
        </w:tc>
      </w:tr>
    </w:tbl>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extends support to the authors, but this process also supports reviewers, journals and publishers, and the reader audience.</w:t>
      </w:r>
      <w:r>
        <w:t xml:space="preserve"> </w:t>
      </w:r>
      <w:r>
        <w:t xml:space="preserve">This inclusive process allows more researchers and reviewers to participate in discussing the research findings and reduces the need for repeated rounds of re-review or extensive revisions.</w:t>
      </w:r>
    </w:p>
    <w:p>
      <w:pPr>
        <w:pStyle w:val="BodyText"/>
      </w:pPr>
      <w:r>
        <w:t xml:space="preserve">One of the most significant benefits of pre-prints is their</w:t>
      </w:r>
      <w:r>
        <w:t xml:space="preserve"> </w:t>
      </w:r>
      <w:r>
        <w:t xml:space="preserve">“early view”</w:t>
      </w:r>
      <w:r>
        <w:t xml:space="preserve"> </w:t>
      </w:r>
      <w:r>
        <w:t xml:space="preserve">and</w:t>
      </w:r>
      <w:r>
        <w:t xml:space="preserve"> </w:t>
      </w:r>
      <w:r>
        <w:t xml:space="preserve">“open access”</w:t>
      </w:r>
      <w:r>
        <w:t xml:space="preserve"> </w:t>
      </w:r>
      <w:r>
        <w:t xml:space="preserve">effect, which leads to more attention from readers, increasing visibility and development of the overall research</w:t>
      </w:r>
      <w:r>
        <w:t xml:space="preserve"> </w:t>
      </w:r>
      <w:r>
        <w:t xml:space="preserve">(Das Biswas &amp; Biswas, 2023)</w:t>
      </w:r>
      <w:r>
        <w:t xml:space="preserve">.</w:t>
      </w:r>
      <w:r>
        <w:t xml:space="preserve"> </w:t>
      </w:r>
      <w:r>
        <w:t xml:space="preserve">Pre-prints are not just quick dissemination; they also promote transparency and reproducibility in scientific research.</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Despite these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p>
    <w:p>
      <w:pPr>
        <w:pStyle w:val="BodyText"/>
      </w:pPr>
      <w:r>
        <w:t xml:space="preserve">Additional concerns about pre-prints include their ability to secure the steady resources (technologies, expertise, policies, visions, standards, and so on) required to maintain and enhance the value of a service based on a user community’s needs</w:t>
      </w:r>
      <w:r>
        <w:t xml:space="preserve"> </w:t>
      </w:r>
      <w:r>
        <w:t xml:space="preserve">(Rieger, 2012)</w:t>
      </w:r>
      <w:r>
        <w:t xml:space="preserve">.</w:t>
      </w:r>
      <w:r>
        <w:t xml:space="preserve"> </w:t>
      </w:r>
      <w:r>
        <w:t xml:space="preserve">Preprints emerged as a</w:t>
      </w:r>
      <w:r>
        <w:t xml:space="preserve"> </w:t>
      </w:r>
      <w:r>
        <w:t xml:space="preserve">‘public good’</w:t>
      </w:r>
      <w:r>
        <w:t xml:space="preserve"> </w:t>
      </w:r>
      <w:r>
        <w:t xml:space="preserve">and pre-print platforms provide a free service to both authors and readers; at the same time, many of the existing pre-print services lack a scalable and transparent business model.</w:t>
      </w:r>
      <w:r>
        <w:t xml:space="preserve"> </w:t>
      </w:r>
      <w:r>
        <w:t xml:space="preserve">Moreover, data show that more senior researchers had more experience sharing through the format of pre-print than PhD students and ECRs in the 0-4 years group</w:t>
      </w:r>
      <w:r>
        <w:t xml:space="preserve"> </w:t>
      </w:r>
      <w:r>
        <w:t xml:space="preserve">(Liu &amp; De Cat, 2021)</w:t>
      </w:r>
      <w:r>
        <w:t xml:space="preserve">.</w:t>
      </w:r>
      <w:r>
        <w:t xml:space="preserve"> </w:t>
      </w:r>
      <w:r>
        <w:t xml:space="preserve">Nonetheless, the data collected from these surveys showed positive attitudes and willingness to contribute to open science through the submission of pre-prints.</w:t>
      </w:r>
      <w:r>
        <w:t xml:space="preserve"> </w:t>
      </w:r>
      <w:r>
        <w:t xml:space="preserve">These findings encourage ECRs to submit their research for pre-prints to receive valuable feedback from established scholars in their field of study and to increase visibility of their research, particularly in rapidly evolving fields.</w:t>
      </w:r>
    </w:p>
    <w:p>
      <w:pPr>
        <w:pStyle w:val="BodyText"/>
      </w:pPr>
      <w:r>
        <w:t xml:space="preserve">Researchers interested in making a pre-print publicly available can follow these simple steps.</w:t>
      </w:r>
      <w:r>
        <w:t xml:space="preserve"> </w:t>
      </w:r>
      <w:r>
        <w:t xml:space="preserve">First, select a pre-print server that aligns with the course of research.</w:t>
      </w:r>
      <w:r>
        <w:t xml:space="preserve"> </w:t>
      </w:r>
      <w:r>
        <w:t xml:space="preserve">Next, all pre-prints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 encouraging others to comment and share.</w:t>
      </w:r>
    </w:p>
    <w:tbl>
      <w:tblPr>
        <w:tblStyle w:val="Table"/>
        <w:tblW w:type="pct" w:w="5000"/>
        <w:tblLayout w:type="fixed"/>
        <w:tblLook w:firstRow="0" w:lastRow="0" w:firstColumn="0" w:lastColumn="0" w:noHBand="0" w:noVBand="0" w:val="0000"/>
      </w:tblPr>
      <w:tblGrid>
        <w:gridCol w:w="7920"/>
      </w:tblGrid>
      <w:tr>
        <w:tc>
          <w:tcPr/>
          <w:bookmarkStart w:id="7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1891"/>
              <w:gridCol w:w="2758"/>
              <w:gridCol w:w="551"/>
              <w:gridCol w:w="512"/>
              <w:gridCol w:w="2206"/>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left"/>
                    <w:jc w:val="center"/>
                  </w:pPr>
                  <w:r>
                    <w:t xml:space="preserve">Database Size</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left"/>
                    <w:jc w:val="center"/>
                  </w:pPr>
                  <w:r>
                    <w:t xml:space="preserve">+8,000</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left"/>
                    <w:jc w:val="center"/>
                  </w:pPr>
                  <w:r>
                    <w:t xml:space="preserve">+3M</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left"/>
                    <w:jc w:val="center"/>
                  </w:pPr>
                  <w:r>
                    <w:t xml:space="preserve">+30,000</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left"/>
                    <w:jc w:val="center"/>
                  </w:pPr>
                  <w:r>
                    <w:t xml:space="preserve">+4,000</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left"/>
                    <w:jc w:val="center"/>
                  </w:pPr>
                  <w:r>
                    <w:t xml:space="preserve">+10,000</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left"/>
                    <w:jc w:val="center"/>
                  </w:pPr>
                  <w:r>
                    <w:t xml:space="preserve">+1,000</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left"/>
                    <w:jc w:val="center"/>
                  </w:pPr>
                  <w:r>
                    <w:t xml:space="preserve">N/A</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left"/>
                    <w:jc w:val="center"/>
                  </w:pPr>
                  <w:r>
                    <w:t xml:space="preserve">+10,000</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left"/>
                    <w:jc w:val="center"/>
                  </w:pPr>
                  <w:r>
                    <w:t xml:space="preserve">+2,5M</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left"/>
                    <w:jc w:val="center"/>
                  </w:pPr>
                  <w:r>
                    <w:t xml:space="preserve">+140,000</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left"/>
                    <w:jc w:val="center"/>
                  </w:pPr>
                  <w:r>
                    <w:t xml:space="preserve">+1M</w:t>
                  </w:r>
                </w:p>
              </w:tc>
              <w:tc>
                <w:tcPr/>
                <w:p>
                  <w:pPr>
                    <w:pStyle w:val="Compact"/>
                    <w:jc w:val="right"/>
                    <w:jc w:val="center"/>
                  </w:pPr>
                  <w:r>
                    <w:t xml:space="preserve">2001</w:t>
                  </w:r>
                </w:p>
              </w:tc>
              <w:tc>
                <w:tcPr/>
                <w:p>
                  <w:pPr>
                    <w:pStyle w:val="Compact"/>
                    <w:jc w:val="left"/>
                    <w:jc w:val="center"/>
                  </w:pPr>
                  <w:r>
                    <w:t xml:space="preserve">https://hal.science/</w:t>
                  </w:r>
                </w:p>
              </w:tc>
            </w:tr>
          </w:tbl>
          <w:bookmarkEnd w:id="7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75"/>
    <w:bookmarkStart w:id="77"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In the present work we have outlined eight specific open science practices, classified into three areas, that researchers in linguistics can adopt to make their research more open, transparent, inclusive, and accessible to a wider audience.</w:t>
      </w:r>
    </w:p>
    <w:p>
      <w:pPr>
        <w:pStyle w:val="BodyText"/>
      </w:pP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w:t>
      </w:r>
      <w:r>
        <w:t xml:space="preserve"> </w:t>
      </w:r>
      <w:r>
        <w:t xml:space="preserve">This necessarily implies providing a framework for senior researchers to learn open science, if we intend for them to train the next generation of linguists.</w:t>
      </w:r>
      <w:r>
        <w:t xml:space="preserve"> </w:t>
      </w:r>
      <w:r>
        <w:t xml:space="preserve">Furthermore, linguistic journals must to adapt to new models of publishing.</w:t>
      </w:r>
    </w:p>
    <w:p>
      <w:pPr>
        <w:pStyle w:val="BodyText"/>
      </w:pP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w:t>
      </w:r>
      <w:r>
        <w:t xml:space="preserve"> </w:t>
      </w:r>
      <w:r>
        <w:t xml:space="preserve">Crucially, the purpose of this article is to help foster open science in linguistics (FOSIL).</w:t>
      </w:r>
      <w:r>
        <w:t xml:space="preserve"> </w:t>
      </w:r>
      <w:r>
        <w:t xml:space="preserve">We leave the interested reader with a series of tutorials designed for linguists:</w:t>
      </w:r>
      <w:r>
        <w:t xml:space="preserve"> </w:t>
      </w:r>
      <w:hyperlink r:id="rId76">
        <w:r>
          <w:rPr>
            <w:rStyle w:val="Hyperlink"/>
          </w:rPr>
          <w:t xml:space="preserve">https://FOSIL-project.github.io</w:t>
        </w:r>
      </w:hyperlink>
      <w:r>
        <w:t xml:space="preserve">.</w:t>
      </w:r>
      <w:r>
        <w:t xml:space="preserve"> </w:t>
      </w:r>
      <w:r>
        <w:t xml:space="preserve">The FOSIL project details many of the open, transparent practices described here with crowd sourced translations into various languages other than English with the goal of making open science practices clear and accessible to all individuals conducting research in the field of linguistics.</w:t>
      </w:r>
    </w:p>
    <w:p>
      <w:r>
        <w:br w:type="page"/>
      </w:r>
    </w:p>
    <w:bookmarkEnd w:id="77"/>
    <w:bookmarkStart w:id="201" w:name="references"/>
    <w:p>
      <w:pPr>
        <w:pStyle w:val="Heading1"/>
      </w:pPr>
      <w:r>
        <w:t xml:space="preserve">References</w:t>
      </w:r>
    </w:p>
    <w:bookmarkStart w:id="200" w:name="refs"/>
    <w:bookmarkStart w:id="79"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78">
        <w:r>
          <w:rPr>
            <w:rStyle w:val="Hyperlink"/>
          </w:rPr>
          <w:t xml:space="preserve">https://doi.org/10.1038/s44159-022-00070-y</w:t>
        </w:r>
      </w:hyperlink>
    </w:p>
    <w:bookmarkEnd w:id="79"/>
    <w:bookmarkStart w:id="81"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80">
        <w:r>
          <w:rPr>
            <w:rStyle w:val="Hyperlink"/>
          </w:rPr>
          <w:t xml:space="preserve">https://doi.org/10.1515/ling-2017-0032</w:t>
        </w:r>
      </w:hyperlink>
    </w:p>
    <w:bookmarkEnd w:id="81"/>
    <w:bookmarkStart w:id="83"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82">
        <w:r>
          <w:rPr>
            <w:rStyle w:val="Hyperlink"/>
          </w:rPr>
          <w:t xml:space="preserve">https://doi.org/10.7551/mitpress/12200.001.0001</w:t>
        </w:r>
      </w:hyperlink>
    </w:p>
    <w:bookmarkEnd w:id="83"/>
    <w:bookmarkStart w:id="85"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84">
        <w:r>
          <w:rPr>
            <w:rStyle w:val="Hyperlink"/>
          </w:rPr>
          <w:t xml:space="preserve">https://doi.org/10.1177/14687941124684</w:t>
        </w:r>
      </w:hyperlink>
    </w:p>
    <w:bookmarkEnd w:id="85"/>
    <w:bookmarkStart w:id="86"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86"/>
    <w:bookmarkStart w:id="88"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87">
        <w:r>
          <w:rPr>
            <w:rStyle w:val="Hyperlink"/>
          </w:rPr>
          <w:t xml:space="preserve">https://doi.org/10.5070/G6011239</w:t>
        </w:r>
      </w:hyperlink>
    </w:p>
    <w:bookmarkEnd w:id="88"/>
    <w:bookmarkStart w:id="90"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89">
        <w:r>
          <w:rPr>
            <w:rStyle w:val="Hyperlink"/>
          </w:rPr>
          <w:t xml:space="preserve">https://doi.org/10.1111/lnc3.12495</w:t>
        </w:r>
      </w:hyperlink>
    </w:p>
    <w:bookmarkEnd w:id="90"/>
    <w:bookmarkStart w:id="92"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91">
        <w:r>
          <w:rPr>
            <w:rStyle w:val="Hyperlink"/>
          </w:rPr>
          <w:t xml:space="preserve">https://doi.org/10.1126/science.aaf0918</w:t>
        </w:r>
      </w:hyperlink>
    </w:p>
    <w:bookmarkEnd w:id="92"/>
    <w:bookmarkStart w:id="94"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93">
        <w:r>
          <w:rPr>
            <w:rStyle w:val="Hyperlink"/>
          </w:rPr>
          <w:t xml:space="preserve">https://doi.org/10.1038/s41562-018-0399-z</w:t>
        </w:r>
      </w:hyperlink>
    </w:p>
    <w:bookmarkEnd w:id="94"/>
    <w:bookmarkStart w:id="96"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95">
        <w:r>
          <w:rPr>
            <w:rStyle w:val="Hyperlink"/>
          </w:rPr>
          <w:t xml:space="preserve">https://doi.org/10.3390/languages6010009</w:t>
        </w:r>
      </w:hyperlink>
    </w:p>
    <w:bookmarkEnd w:id="96"/>
    <w:bookmarkStart w:id="97"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65">
        <w:r>
          <w:rPr>
            <w:rStyle w:val="Hyperlink"/>
          </w:rPr>
          <w:t xml:space="preserve">https://www.cos.io/initiatives/registered-reports</w:t>
        </w:r>
      </w:hyperlink>
    </w:p>
    <w:bookmarkEnd w:id="97"/>
    <w:bookmarkStart w:id="99"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98">
        <w:r>
          <w:rPr>
            <w:rStyle w:val="Hyperlink"/>
          </w:rPr>
          <w:t xml:space="preserve">https://doi.org/10.1177/25152459231162567</w:t>
        </w:r>
      </w:hyperlink>
    </w:p>
    <w:bookmarkEnd w:id="99"/>
    <w:bookmarkStart w:id="101"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00">
        <w:r>
          <w:rPr>
            <w:rStyle w:val="Hyperlink"/>
          </w:rPr>
          <w:t xml:space="preserve">https://doi.org/10.1001/jamapsychiatry.2018.0382</w:t>
        </w:r>
      </w:hyperlink>
    </w:p>
    <w:bookmarkEnd w:id="101"/>
    <w:bookmarkStart w:id="103"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02">
        <w:r>
          <w:rPr>
            <w:rStyle w:val="Hyperlink"/>
          </w:rPr>
          <w:t xml:space="preserve">https://doi.org/10.1027/2151-2604/a000387</w:t>
        </w:r>
      </w:hyperlink>
    </w:p>
    <w:bookmarkEnd w:id="103"/>
    <w:bookmarkStart w:id="104" w:name="ref-biswas2023"/>
    <w:p>
      <w:pPr>
        <w:pStyle w:val="Bibliography"/>
      </w:pPr>
      <w:r>
        <w:t xml:space="preserve">Das Biswas, M., &amp; Biswas, A. (2023). Open access to scholarly communication through preprints: Accelerating sustainable development in education. In D. Coghlan &amp; M. Brydon-Miller (Eds.),</w:t>
      </w:r>
      <w:r>
        <w:t xml:space="preserve"> </w:t>
      </w:r>
      <w:r>
        <w:rPr>
          <w:i/>
          <w:iCs/>
        </w:rPr>
        <w:t xml:space="preserve">Digital libraries: Sustainable development in education</w:t>
      </w:r>
      <w:r>
        <w:t xml:space="preserve"> </w:t>
      </w:r>
      <w:r>
        <w:t xml:space="preserve">(pp. 525–545). National Digital Library of India, IIT Kharagpur.</w:t>
      </w:r>
    </w:p>
    <w:bookmarkEnd w:id="104"/>
    <w:bookmarkStart w:id="106"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05">
        <w:r>
          <w:rPr>
            <w:rStyle w:val="Hyperlink"/>
          </w:rPr>
          <w:t xml:space="preserve">https://doi.org/10.17169/fqs-7.3.143</w:t>
        </w:r>
      </w:hyperlink>
    </w:p>
    <w:bookmarkEnd w:id="106"/>
    <w:bookmarkStart w:id="108"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07">
        <w:r>
          <w:rPr>
            <w:rStyle w:val="Hyperlink"/>
          </w:rPr>
          <w:t xml:space="preserve">https://doi.org/10.7554/eLife.71601</w:t>
        </w:r>
      </w:hyperlink>
    </w:p>
    <w:bookmarkEnd w:id="108"/>
    <w:bookmarkStart w:id="110" w:name="ref-ettinger_2022"/>
    <w:p>
      <w:pPr>
        <w:pStyle w:val="Bibliography"/>
      </w:pPr>
      <w:r>
        <w:t xml:space="preserve">Ettinger, C. L., Sadanandappa, M. K., Görgülü, K., Coghlan, K. L., Hallenbeck, K. K., &amp; Puebla, I. (2022). A guide to preprinting for early-career researchers.</w:t>
      </w:r>
      <w:r>
        <w:t xml:space="preserve"> </w:t>
      </w:r>
      <w:r>
        <w:rPr>
          <w:i/>
          <w:iCs/>
        </w:rPr>
        <w:t xml:space="preserve">Biology Open</w:t>
      </w:r>
      <w:r>
        <w:t xml:space="preserve">,</w:t>
      </w:r>
      <w:r>
        <w:t xml:space="preserve"> </w:t>
      </w:r>
      <w:r>
        <w:rPr>
          <w:i/>
          <w:iCs/>
        </w:rPr>
        <w:t xml:space="preserve">11</w:t>
      </w:r>
      <w:r>
        <w:t xml:space="preserve">(7), 1–8.</w:t>
      </w:r>
      <w:r>
        <w:t xml:space="preserve"> </w:t>
      </w:r>
      <w:hyperlink r:id="rId109">
        <w:r>
          <w:rPr>
            <w:rStyle w:val="Hyperlink"/>
          </w:rPr>
          <w:t xml:space="preserve">https://doi.org/10.1242/bio.059310</w:t>
        </w:r>
      </w:hyperlink>
    </w:p>
    <w:bookmarkEnd w:id="110"/>
    <w:bookmarkStart w:id="112"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11">
        <w:r>
          <w:rPr>
            <w:rStyle w:val="Hyperlink"/>
          </w:rPr>
          <w:t xml:space="preserve">https://doi.org/10.25607/OBP-774</w:t>
        </w:r>
      </w:hyperlink>
    </w:p>
    <w:bookmarkEnd w:id="112"/>
    <w:bookmarkStart w:id="114"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13">
        <w:r>
          <w:rPr>
            <w:rStyle w:val="Hyperlink"/>
          </w:rPr>
          <w:t xml:space="preserve">osf.io/3pkj6</w:t>
        </w:r>
      </w:hyperlink>
    </w:p>
    <w:bookmarkEnd w:id="114"/>
    <w:bookmarkStart w:id="116" w:name="ref-forrt2021"/>
    <w:p>
      <w:pPr>
        <w:pStyle w:val="Bibliography"/>
      </w:pPr>
      <w:r>
        <w:t xml:space="preserve">FORRT. (2021). Reproducibility crisis (a.k.a. Replicability or replication crisis). Retrieved from</w:t>
      </w:r>
      <w:r>
        <w:t xml:space="preserve"> </w:t>
      </w:r>
      <w:hyperlink r:id="rId115">
        <w:r>
          <w:rPr>
            <w:rStyle w:val="Hyperlink"/>
          </w:rPr>
          <w:t xml:space="preserve">https://forrt.org/glossary/english/reproducibility_crisis/</w:t>
        </w:r>
      </w:hyperlink>
    </w:p>
    <w:bookmarkEnd w:id="116"/>
    <w:bookmarkStart w:id="117"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17"/>
    <w:bookmarkStart w:id="119"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18">
        <w:r>
          <w:rPr>
            <w:rStyle w:val="Hyperlink"/>
          </w:rPr>
          <w:t xml:space="preserve">https://doi.org/10.7551/mitpress/12200.003.0006</w:t>
        </w:r>
      </w:hyperlink>
    </w:p>
    <w:bookmarkEnd w:id="119"/>
    <w:bookmarkStart w:id="121"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0">
        <w:r>
          <w:rPr>
            <w:rStyle w:val="Hyperlink"/>
          </w:rPr>
          <w:t xml:space="preserve">https://doi.org/10.1371/journal.pone.0201856</w:t>
        </w:r>
      </w:hyperlink>
    </w:p>
    <w:bookmarkEnd w:id="121"/>
    <w:bookmarkStart w:id="123"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22">
        <w:r>
          <w:rPr>
            <w:rStyle w:val="Hyperlink"/>
          </w:rPr>
          <w:t xml:space="preserve">https://doi.org/10.1177/1745691620979806</w:t>
        </w:r>
      </w:hyperlink>
    </w:p>
    <w:bookmarkEnd w:id="123"/>
    <w:bookmarkStart w:id="125"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24">
        <w:r>
          <w:rPr>
            <w:rStyle w:val="Hyperlink"/>
          </w:rPr>
          <w:t xml:space="preserve">https://doi.org/10.1098/rsos.190806</w:t>
        </w:r>
      </w:hyperlink>
    </w:p>
    <w:bookmarkEnd w:id="125"/>
    <w:bookmarkStart w:id="127"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26">
        <w:r>
          <w:rPr>
            <w:rStyle w:val="Hyperlink"/>
          </w:rPr>
          <w:t xml:space="preserve">https://doi.org/10.34293/education.v8i4.3232</w:t>
        </w:r>
      </w:hyperlink>
    </w:p>
    <w:bookmarkEnd w:id="127"/>
    <w:bookmarkStart w:id="129"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28">
        <w:r>
          <w:rPr>
            <w:rStyle w:val="Hyperlink"/>
          </w:rPr>
          <w:t xml:space="preserve">https://doi.org/10.7551/mitpress/12200.003.0008</w:t>
        </w:r>
      </w:hyperlink>
    </w:p>
    <w:bookmarkEnd w:id="129"/>
    <w:bookmarkStart w:id="131"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30">
        <w:r>
          <w:rPr>
            <w:rStyle w:val="Hyperlink"/>
          </w:rPr>
          <w:t xml:space="preserve">https://doi.org/10.1353/lan.2020.0074</w:t>
        </w:r>
      </w:hyperlink>
    </w:p>
    <w:bookmarkEnd w:id="131"/>
    <w:bookmarkStart w:id="133"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32">
        <w:r>
          <w:rPr>
            <w:rStyle w:val="Hyperlink"/>
          </w:rPr>
          <w:t xml:space="preserve">https://doi.org/10.1136/emermed-2017-207158</w:t>
        </w:r>
      </w:hyperlink>
    </w:p>
    <w:bookmarkEnd w:id="133"/>
    <w:bookmarkStart w:id="135"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34">
        <w:r>
          <w:rPr>
            <w:rStyle w:val="Hyperlink"/>
          </w:rPr>
          <w:t xml:space="preserve">https://doi.org/10.1093/comjnl/27.2.97</w:t>
        </w:r>
      </w:hyperlink>
    </w:p>
    <w:bookmarkEnd w:id="135"/>
    <w:bookmarkStart w:id="136"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36"/>
    <w:bookmarkStart w:id="138"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37">
        <w:r>
          <w:rPr>
            <w:rStyle w:val="Hyperlink"/>
          </w:rPr>
          <w:t xml:space="preserve">https://doi.org/10.21105/joss.02959</w:t>
        </w:r>
      </w:hyperlink>
    </w:p>
    <w:bookmarkEnd w:id="138"/>
    <w:bookmarkStart w:id="139"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39"/>
    <w:bookmarkStart w:id="140"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40"/>
    <w:bookmarkStart w:id="142"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41">
        <w:r>
          <w:rPr>
            <w:rStyle w:val="Hyperlink"/>
          </w:rPr>
          <w:t xml:space="preserve">https://doi.org/10.1080/19312458.2019.1685660</w:t>
        </w:r>
      </w:hyperlink>
    </w:p>
    <w:bookmarkEnd w:id="142"/>
    <w:bookmarkStart w:id="143"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43"/>
    <w:bookmarkStart w:id="145"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44">
        <w:r>
          <w:rPr>
            <w:rStyle w:val="Hyperlink"/>
          </w:rPr>
          <w:t xml:space="preserve">https://doi.org/10.1111/jols.12372</w:t>
        </w:r>
      </w:hyperlink>
    </w:p>
    <w:bookmarkEnd w:id="145"/>
    <w:bookmarkStart w:id="147"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46">
        <w:r>
          <w:rPr>
            <w:rStyle w:val="Hyperlink"/>
          </w:rPr>
          <w:t xml:space="preserve">https://doi.org/10.1242/dmm.015123</w:t>
        </w:r>
      </w:hyperlink>
    </w:p>
    <w:bookmarkEnd w:id="147"/>
    <w:bookmarkStart w:id="148"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48"/>
    <w:bookmarkStart w:id="149"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49"/>
    <w:bookmarkStart w:id="151"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50">
        <w:r>
          <w:rPr>
            <w:rStyle w:val="Hyperlink"/>
          </w:rPr>
          <w:t xml:space="preserve">https://doi.org/10.31234/osf.io/m67tx</w:t>
        </w:r>
      </w:hyperlink>
    </w:p>
    <w:bookmarkEnd w:id="151"/>
    <w:bookmarkStart w:id="153"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52">
        <w:r>
          <w:rPr>
            <w:rStyle w:val="Hyperlink"/>
          </w:rPr>
          <w:t xml:space="preserve">https://doi.org/10.1027/1864-9335/a000192</w:t>
        </w:r>
      </w:hyperlink>
    </w:p>
    <w:bookmarkEnd w:id="153"/>
    <w:bookmarkStart w:id="155"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54">
        <w:r>
          <w:rPr>
            <w:rStyle w:val="Hyperlink"/>
          </w:rPr>
          <w:t xml:space="preserve">https://youtu.be/0Rnq1NpHdmw?si=6tIMWkEbOY47rhaE</w:t>
        </w:r>
      </w:hyperlink>
    </w:p>
    <w:bookmarkEnd w:id="155"/>
    <w:bookmarkStart w:id="157" w:name="ref-open2023"/>
    <w:p>
      <w:pPr>
        <w:pStyle w:val="Bibliography"/>
      </w:pPr>
      <w:r>
        <w:t xml:space="preserve">Open Knowledge. (2023).</w:t>
      </w:r>
      <w:r>
        <w:t xml:space="preserve"> </w:t>
      </w:r>
      <w:r>
        <w:t xml:space="preserve">The Open Definition</w:t>
      </w:r>
      <w:r>
        <w:t xml:space="preserve">. Retrieved from</w:t>
      </w:r>
      <w:r>
        <w:t xml:space="preserve"> </w:t>
      </w:r>
      <w:hyperlink r:id="rId156">
        <w:r>
          <w:rPr>
            <w:rStyle w:val="Hyperlink"/>
          </w:rPr>
          <w:t xml:space="preserve">https://opendefinition.org</w:t>
        </w:r>
      </w:hyperlink>
    </w:p>
    <w:bookmarkEnd w:id="157"/>
    <w:bookmarkStart w:id="159"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58">
        <w:r>
          <w:rPr>
            <w:rStyle w:val="Hyperlink"/>
          </w:rPr>
          <w:t xml:space="preserve">https://doi.org/10.1126/science.aac4716</w:t>
        </w:r>
      </w:hyperlink>
    </w:p>
    <w:bookmarkEnd w:id="159"/>
    <w:bookmarkStart w:id="161"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60">
        <w:r>
          <w:rPr>
            <w:rStyle w:val="Hyperlink"/>
          </w:rPr>
          <w:t xml:space="preserve">https://doi.org/10.1038/s41562-021-01269-4</w:t>
        </w:r>
      </w:hyperlink>
    </w:p>
    <w:bookmarkEnd w:id="161"/>
    <w:bookmarkStart w:id="163"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62">
        <w:r>
          <w:rPr>
            <w:rStyle w:val="Hyperlink"/>
          </w:rPr>
          <w:t xml:space="preserve">https://doi.org/10.31222/osf.io/ezfsk</w:t>
        </w:r>
      </w:hyperlink>
    </w:p>
    <w:bookmarkEnd w:id="163"/>
    <w:bookmarkStart w:id="165"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64">
        <w:r>
          <w:rPr>
            <w:rStyle w:val="Hyperlink"/>
          </w:rPr>
          <w:t xml:space="preserve">https://doi.org/10.7554/eLife.53275</w:t>
        </w:r>
      </w:hyperlink>
    </w:p>
    <w:bookmarkEnd w:id="165"/>
    <w:bookmarkStart w:id="167" w:name="ref-rieger2012sustainability"/>
    <w:p>
      <w:pPr>
        <w:pStyle w:val="Bibliography"/>
      </w:pPr>
      <w:r>
        <w:t xml:space="preserve">Rieger, O. Y. (2012). Sustainability: Scholarly repository as an enterprise.</w:t>
      </w:r>
      <w:r>
        <w:t xml:space="preserve"> </w:t>
      </w:r>
      <w:r>
        <w:rPr>
          <w:i/>
          <w:iCs/>
        </w:rPr>
        <w:t xml:space="preserve">Bulletin of the American Society for Information Science and Technology</w:t>
      </w:r>
      <w:r>
        <w:t xml:space="preserve">,</w:t>
      </w:r>
      <w:r>
        <w:t xml:space="preserve"> </w:t>
      </w:r>
      <w:r>
        <w:rPr>
          <w:i/>
          <w:iCs/>
        </w:rPr>
        <w:t xml:space="preserve">39</w:t>
      </w:r>
      <w:r>
        <w:t xml:space="preserve">(1), 27–31.</w:t>
      </w:r>
      <w:r>
        <w:t xml:space="preserve"> </w:t>
      </w:r>
      <w:hyperlink r:id="rId166">
        <w:r>
          <w:rPr>
            <w:rStyle w:val="Hyperlink"/>
          </w:rPr>
          <w:t xml:space="preserve">https://doi.org/10.1002/bult.2012.1720390110</w:t>
        </w:r>
      </w:hyperlink>
    </w:p>
    <w:bookmarkEnd w:id="167"/>
    <w:bookmarkStart w:id="169"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68">
        <w:r>
          <w:rPr>
            <w:rStyle w:val="Hyperlink"/>
          </w:rPr>
          <w:t xml:space="preserve">https://doi.org/10.1177/1745691620927</w:t>
        </w:r>
      </w:hyperlink>
    </w:p>
    <w:bookmarkEnd w:id="169"/>
    <w:bookmarkStart w:id="171"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70">
        <w:r>
          <w:rPr>
            <w:rStyle w:val="Hyperlink"/>
          </w:rPr>
          <w:t xml:space="preserve">https://doi.org/10.1515/ling-2019-0048</w:t>
        </w:r>
      </w:hyperlink>
    </w:p>
    <w:bookmarkEnd w:id="171"/>
    <w:bookmarkStart w:id="172"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72"/>
    <w:bookmarkStart w:id="173"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73"/>
    <w:bookmarkStart w:id="175"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74">
        <w:r>
          <w:rPr>
            <w:rStyle w:val="Hyperlink"/>
          </w:rPr>
          <w:t xml:space="preserve">https://doi.org/10.1177/17456916221144988</w:t>
        </w:r>
      </w:hyperlink>
    </w:p>
    <w:bookmarkEnd w:id="175"/>
    <w:bookmarkStart w:id="177"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76">
        <w:r>
          <w:rPr>
            <w:rStyle w:val="Hyperlink"/>
          </w:rPr>
          <w:t xml:space="preserve">https://doi.org/10.1177/0956797611417632</w:t>
        </w:r>
      </w:hyperlink>
    </w:p>
    <w:bookmarkEnd w:id="177"/>
    <w:bookmarkStart w:id="179"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78">
        <w:r>
          <w:rPr>
            <w:rStyle w:val="Hyperlink"/>
          </w:rPr>
          <w:t xml:space="preserve">https://www.psychologicalscience.org/observer/gs-equity-diversity-cultural-precision</w:t>
        </w:r>
      </w:hyperlink>
    </w:p>
    <w:bookmarkEnd w:id="179"/>
    <w:bookmarkStart w:id="181"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80">
        <w:r>
          <w:rPr>
            <w:rStyle w:val="Hyperlink"/>
          </w:rPr>
          <w:t xml:space="preserve">https://doi.org/10.31234/osf.io/ak6jr</w:t>
        </w:r>
      </w:hyperlink>
    </w:p>
    <w:bookmarkEnd w:id="181"/>
    <w:bookmarkStart w:id="183" w:name="ref-steltenpohl_video"/>
    <w:p>
      <w:pPr>
        <w:pStyle w:val="Bibliography"/>
      </w:pPr>
      <w:r>
        <w:t xml:space="preserve">Steltenpohl, C., Hudson, S., &amp; Klement, K. (2022). How to begin writing a positionality statement. Retrieved from</w:t>
      </w:r>
      <w:r>
        <w:t xml:space="preserve"> </w:t>
      </w:r>
      <w:hyperlink r:id="rId182">
        <w:r>
          <w:rPr>
            <w:rStyle w:val="Hyperlink"/>
          </w:rPr>
          <w:t xml:space="preserve">https://vimeo.com/675236573/741e24aab7</w:t>
        </w:r>
      </w:hyperlink>
    </w:p>
    <w:bookmarkEnd w:id="183"/>
    <w:bookmarkStart w:id="185"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84">
        <w:r>
          <w:rPr>
            <w:rStyle w:val="Hyperlink"/>
          </w:rPr>
          <w:t xml:space="preserve">https://doi.org/10.1371/journal.pone.0234172</w:t>
        </w:r>
      </w:hyperlink>
    </w:p>
    <w:bookmarkEnd w:id="185"/>
    <w:bookmarkStart w:id="187"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186">
        <w:r>
          <w:rPr>
            <w:rStyle w:val="Hyperlink"/>
          </w:rPr>
          <w:t xml:space="preserve">https://doi.org/10.1353/lan.2021.0072</w:t>
        </w:r>
      </w:hyperlink>
    </w:p>
    <w:bookmarkEnd w:id="187"/>
    <w:bookmarkStart w:id="189"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188">
        <w:r>
          <w:rPr>
            <w:rStyle w:val="Hyperlink"/>
          </w:rPr>
          <w:t xml:space="preserve">https://CRAN.R-project.org/package=renv</w:t>
        </w:r>
      </w:hyperlink>
    </w:p>
    <w:bookmarkEnd w:id="189"/>
    <w:bookmarkStart w:id="191"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190">
        <w:r>
          <w:rPr>
            <w:rStyle w:val="Hyperlink"/>
          </w:rPr>
          <w:t xml:space="preserve">https://www.speechperceptionproductionlab.com/positionalitystatments</w:t>
        </w:r>
      </w:hyperlink>
    </w:p>
    <w:bookmarkEnd w:id="191"/>
    <w:bookmarkStart w:id="193"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192">
        <w:r>
          <w:rPr>
            <w:rStyle w:val="Hyperlink"/>
          </w:rPr>
          <w:t xml:space="preserve">https://doi.org/10.1037/0003-066X.61.7.726</w:t>
        </w:r>
      </w:hyperlink>
    </w:p>
    <w:bookmarkEnd w:id="193"/>
    <w:bookmarkStart w:id="195"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194">
        <w:r>
          <w:rPr>
            <w:rStyle w:val="Hyperlink"/>
          </w:rPr>
          <w:t xml:space="preserve">https://doi.org/10.3389/fpsyg.2016.01832</w:t>
        </w:r>
      </w:hyperlink>
    </w:p>
    <w:bookmarkEnd w:id="195"/>
    <w:bookmarkStart w:id="196" w:name="ref-knitr2014"/>
    <w:p>
      <w:pPr>
        <w:pStyle w:val="Bibliography"/>
      </w:pPr>
      <w:r>
        <w:t xml:space="preserve">Xie, Y. (2014). Knitr: A comprehensive tool for reproducible research in</w:t>
      </w:r>
      <w:r>
        <w:t xml:space="preserve"> </w:t>
      </w:r>
      <w:r>
        <w:t xml:space="preserve">R</w:t>
      </w:r>
      <w:r>
        <w:t xml:space="preserve">. In V. Stodden, F. Leisch, &amp; R. D. Peng (Eds.),</w:t>
      </w:r>
      <w:r>
        <w:t xml:space="preserve"> </w:t>
      </w:r>
      <w:r>
        <w:rPr>
          <w:i/>
          <w:iCs/>
        </w:rPr>
        <w:t xml:space="preserve">Implementing reproducible computational research</w:t>
      </w:r>
      <w:r>
        <w:t xml:space="preserve">. Chapman; Hall/CRC.</w:t>
      </w:r>
    </w:p>
    <w:bookmarkEnd w:id="196"/>
    <w:bookmarkStart w:id="198"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197">
        <w:r>
          <w:rPr>
            <w:rStyle w:val="Hyperlink"/>
          </w:rPr>
          <w:t xml:space="preserve">https://yihui.org/knitr/</w:t>
        </w:r>
      </w:hyperlink>
    </w:p>
    <w:bookmarkEnd w:id="198"/>
    <w:bookmarkStart w:id="199"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197">
        <w:r>
          <w:rPr>
            <w:rStyle w:val="Hyperlink"/>
          </w:rPr>
          <w:t xml:space="preserve">https://yihui.org/knitr/</w:t>
        </w:r>
      </w:hyperlink>
    </w:p>
    <w:bookmarkEnd w:id="199"/>
    <w:bookmarkEnd w:id="200"/>
    <w:p>
      <w:r>
        <w:br w:type="page"/>
      </w:r>
    </w:p>
    <w:bookmarkEnd w:id="201"/>
    <w:bookmarkStart w:id="211" w:name="supplementary-materials"/>
    <w:p>
      <w:pPr>
        <w:pStyle w:val="Heading1"/>
      </w:pPr>
      <w:r>
        <w:t xml:space="preserve">Supplementary materials</w:t>
      </w:r>
    </w:p>
    <w:bookmarkStart w:id="206"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05" w:name="fig-credit"/>
          <w:p>
            <w:pPr>
              <w:pStyle w:val="Compact"/>
              <w:jc w:val="center"/>
            </w:pPr>
            <w:r>
              <w:drawing>
                <wp:inline>
                  <wp:extent cx="5943600" cy="2674620"/>
                  <wp:effectExtent b="0" l="0" r="0" t="0"/>
                  <wp:docPr descr="" title="" id="203" name="Picture"/>
                  <a:graphic>
                    <a:graphicData uri="http://schemas.openxmlformats.org/drawingml/2006/picture">
                      <pic:pic>
                        <pic:nvPicPr>
                          <pic:cNvPr descr="./figs/credit/fig-credit-1.png" id="204" name="Picture"/>
                          <pic:cNvPicPr>
                            <a:picLocks noChangeArrowheads="1" noChangeAspect="1"/>
                          </pic:cNvPicPr>
                        </pic:nvPicPr>
                        <pic:blipFill>
                          <a:blip r:embed="rId202"/>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05"/>
        </w:tc>
      </w:tr>
    </w:tbl>
    <w:p>
      <w:r>
        <w:br w:type="page"/>
      </w:r>
    </w:p>
    <w:bookmarkEnd w:id="206"/>
    <w:bookmarkStart w:id="210" w:name="reproducibility-information"/>
    <w:p>
      <w:pPr>
        <w:pStyle w:val="Heading2"/>
      </w:pPr>
      <w:r>
        <w:t xml:space="preserve">Reproducibility information</w:t>
      </w:r>
    </w:p>
    <w:bookmarkStart w:id="208" w:name="about-this-document"/>
    <w:p>
      <w:pPr>
        <w:pStyle w:val="Heading3"/>
      </w:pPr>
      <w:r>
        <w:t xml:space="preserve">About this document</w:t>
      </w:r>
    </w:p>
    <w:p>
      <w:pPr>
        <w:pStyle w:val="FirstParagraph"/>
      </w:pPr>
      <w:r>
        <w:t xml:space="preserve">This document was written in quarto (version 1.6):</w:t>
      </w:r>
      <w:r>
        <w:t xml:space="preserve"> </w:t>
      </w:r>
      <w:hyperlink r:id="rId207">
        <w:r>
          <w:rPr>
            <w:rStyle w:val="Hyperlink"/>
          </w:rPr>
          <w:t xml:space="preserve">https://quarto.org</w:t>
        </w:r>
      </w:hyperlink>
      <w:r>
        <w:t xml:space="preserve">.</w:t>
      </w:r>
    </w:p>
    <w:bookmarkEnd w:id="208"/>
    <w:bookmarkStart w:id="209"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2024-12-15</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0.3.0 2024-10-02</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09"/>
    <w:bookmarkEnd w:id="210"/>
    <w:bookmarkEnd w:id="211"/>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9">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0">
        <w:r>
          <w:rPr>
            <w:rStyle w:val="Hyperlink"/>
          </w:rPr>
          <w:t xml:space="preserve">https://escholarship.org/uc/item/6m62j7p6#main</w:t>
        </w:r>
      </w:hyperlink>
      <w:r>
        <w:t xml:space="preserve"> </w:t>
      </w:r>
      <w:r>
        <w:t xml:space="preserve">and</w:t>
      </w:r>
      <w:r>
        <w:t xml:space="preserve"> </w:t>
      </w:r>
      <w:hyperlink r:id="rId31">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4">
    <w:p>
      <w:pPr>
        <w:pStyle w:val="FootnoteText"/>
      </w:pPr>
      <w:r>
        <w:rPr>
          <w:rStyle w:val="FootnoteReference"/>
        </w:rPr>
        <w:footnoteRef/>
      </w:r>
      <w:r>
        <w:t xml:space="preserve"> </w:t>
      </w:r>
      <w:r>
        <w:t xml:space="preserve">Sociolinguistic interviews, for instance, represent a substantial and valuable contribution to linguistics and often necessarily contain sensitive information.</w:t>
      </w:r>
    </w:p>
  </w:footnote>
  <w:footnote w:id="36">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7">
        <w:r>
          <w:rPr>
            <w:rStyle w:val="Hyperlink"/>
          </w:rPr>
          <w:t xml:space="preserve">https://github.com/elifesciences-publications/synthpop-primer</w:t>
        </w:r>
      </w:hyperlink>
      <w:r>
        <w:t xml:space="preserve">), and an online RStudio instance can be accessed at</w:t>
      </w:r>
      <w:r>
        <w:t xml:space="preserve"> </w:t>
      </w:r>
      <w:hyperlink r:id="rId38">
        <w:r>
          <w:rPr>
            <w:rStyle w:val="Hyperlink"/>
          </w:rPr>
          <w:t xml:space="preserve">https://mybinder.org/v2/gh/dsquintana/synthpop-primer/master?urlpath=rstudio</w:t>
        </w:r>
      </w:hyperlink>
      <w:r>
        <w:t xml:space="preserve">. All relevant materials are available on the OSF:</w:t>
      </w:r>
      <w:r>
        <w:t xml:space="preserve"> </w:t>
      </w:r>
      <w:hyperlink r:id="rId39">
        <w:r>
          <w:rPr>
            <w:rStyle w:val="Hyperlink"/>
          </w:rPr>
          <w:t xml:space="preserve">https://osf.io/z524n/</w:t>
        </w:r>
      </w:hyperlink>
      <w:r>
        <w:t xml:space="preserve">.</w:t>
      </w:r>
    </w:p>
  </w:footnote>
  <w:footnote w:id="67">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02" Target="media/rId202.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hyperlink" Id="rId188"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6" Target="https://doi.org/10.1002/bult.2012.1720390110" TargetMode="External" /><Relationship Type="http://schemas.openxmlformats.org/officeDocument/2006/relationships/hyperlink" Id="rId152"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2"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0"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4"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58"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6"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68" Target="https://doi.org/10.1177/1745691620927" TargetMode="External" /><Relationship Type="http://schemas.openxmlformats.org/officeDocument/2006/relationships/hyperlink" Id="rId122" Target="https://doi.org/10.1177/1745691620979806" TargetMode="External" /><Relationship Type="http://schemas.openxmlformats.org/officeDocument/2006/relationships/hyperlink" Id="rId174"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09" Target="https://doi.org/10.1242/bio.059310"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6" Target="https://doi.org/10.1353/lan.2021.0072" TargetMode="External" /><Relationship Type="http://schemas.openxmlformats.org/officeDocument/2006/relationships/hyperlink" Id="rId120" Target="https://doi.org/10.1371/journal.pone.0201856" TargetMode="External" /><Relationship Type="http://schemas.openxmlformats.org/officeDocument/2006/relationships/hyperlink" Id="rId184"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0"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11" Target="https://doi.org/10.25607/OBP-774" TargetMode="External" /><Relationship Type="http://schemas.openxmlformats.org/officeDocument/2006/relationships/hyperlink" Id="rId162" Target="https://doi.org/10.31222/osf.io/ezfsk" TargetMode="External" /><Relationship Type="http://schemas.openxmlformats.org/officeDocument/2006/relationships/hyperlink" Id="rId180" Target="https://doi.org/10.31234/osf.io/ak6jr" TargetMode="External" /><Relationship Type="http://schemas.openxmlformats.org/officeDocument/2006/relationships/hyperlink" Id="rId150" Target="https://doi.org/10.31234/osf.io/m67tx" TargetMode="External" /><Relationship Type="http://schemas.openxmlformats.org/officeDocument/2006/relationships/hyperlink" Id="rId194"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8"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4"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5"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6" Target="https://opendefinition.org" TargetMode="External" /><Relationship Type="http://schemas.openxmlformats.org/officeDocument/2006/relationships/hyperlink" Id="rId45" Target="https://osf.io/3bmcp/" TargetMode="External" /><Relationship Type="http://schemas.openxmlformats.org/officeDocument/2006/relationships/hyperlink" Id="rId113" Target="https://osf.io/3pkj6" TargetMode="External" /><Relationship Type="http://schemas.openxmlformats.org/officeDocument/2006/relationships/hyperlink" Id="rId49" Target="https://osf.io/bsu2q/"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7" Target="https://quarto.org" TargetMode="External" /><Relationship Type="http://schemas.openxmlformats.org/officeDocument/2006/relationships/hyperlink" Id="rId182"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78" Target="https://www.psychologicalscience.org/observer/gs-equity-diversity-cultural-precision" TargetMode="External" /><Relationship Type="http://schemas.openxmlformats.org/officeDocument/2006/relationships/hyperlink" Id="rId190" Target="https://www.speechperceptionproductionlab.com/positionalitystatments" TargetMode="External" /><Relationship Type="http://schemas.openxmlformats.org/officeDocument/2006/relationships/hyperlink" Id="rId197" Target="https://yihui.org/knitr/" TargetMode="External" /><Relationship Type="http://schemas.openxmlformats.org/officeDocument/2006/relationships/hyperlink" Id="rId154"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188" Target="https://CRAN.R-project.org/package=renv" TargetMode="External" /><Relationship Type="http://schemas.openxmlformats.org/officeDocument/2006/relationships/hyperlink" Id="rId76" Target="https://FOSIL-project.github.io" TargetMode="External" /><Relationship Type="http://schemas.openxmlformats.org/officeDocument/2006/relationships/hyperlink" Id="rId100" Target="https://doi.org/10.1001/jamapsychiatry.2018.0382" TargetMode="External" /><Relationship Type="http://schemas.openxmlformats.org/officeDocument/2006/relationships/hyperlink" Id="rId166" Target="https://doi.org/10.1002/bult.2012.1720390110" TargetMode="External" /><Relationship Type="http://schemas.openxmlformats.org/officeDocument/2006/relationships/hyperlink" Id="rId152" Target="https://doi.org/10.1027/1864-9335/a000192" TargetMode="External" /><Relationship Type="http://schemas.openxmlformats.org/officeDocument/2006/relationships/hyperlink" Id="rId102" Target="https://doi.org/10.1027/2151-2604/a000387" TargetMode="External" /><Relationship Type="http://schemas.openxmlformats.org/officeDocument/2006/relationships/hyperlink" Id="rId192" Target="https://doi.org/10.1037/0003-066X.61.7.726" TargetMode="External" /><Relationship Type="http://schemas.openxmlformats.org/officeDocument/2006/relationships/hyperlink" Id="rId93" Target="https://doi.org/10.1038/s41562-018-0399-z" TargetMode="External" /><Relationship Type="http://schemas.openxmlformats.org/officeDocument/2006/relationships/hyperlink" Id="rId160" Target="https://doi.org/10.1038/s41562-021-01269-4" TargetMode="External" /><Relationship Type="http://schemas.openxmlformats.org/officeDocument/2006/relationships/hyperlink" Id="rId78" Target="https://doi.org/10.1038/s44159-022-00070-y" TargetMode="External" /><Relationship Type="http://schemas.openxmlformats.org/officeDocument/2006/relationships/hyperlink" Id="rId141" Target="https://doi.org/10.1080/19312458.2019.1685660" TargetMode="External" /><Relationship Type="http://schemas.openxmlformats.org/officeDocument/2006/relationships/hyperlink" Id="rId134" Target="https://doi.org/10.1093/comjnl/27.2.97" TargetMode="External" /><Relationship Type="http://schemas.openxmlformats.org/officeDocument/2006/relationships/hyperlink" Id="rId124" Target="https://doi.org/10.1098/rsos.190806" TargetMode="External" /><Relationship Type="http://schemas.openxmlformats.org/officeDocument/2006/relationships/hyperlink" Id="rId144" Target="https://doi.org/10.1111/jols.12372" TargetMode="External" /><Relationship Type="http://schemas.openxmlformats.org/officeDocument/2006/relationships/hyperlink" Id="rId89" Target="https://doi.org/10.1111/lnc3.12495" TargetMode="External" /><Relationship Type="http://schemas.openxmlformats.org/officeDocument/2006/relationships/hyperlink" Id="rId158" Target="https://doi.org/10.1126/science.aac4716" TargetMode="External" /><Relationship Type="http://schemas.openxmlformats.org/officeDocument/2006/relationships/hyperlink" Id="rId91" Target="https://doi.org/10.1126/science.aaf0918" TargetMode="External" /><Relationship Type="http://schemas.openxmlformats.org/officeDocument/2006/relationships/hyperlink" Id="rId132" Target="https://doi.org/10.1136/emermed-2017-207158" TargetMode="External" /><Relationship Type="http://schemas.openxmlformats.org/officeDocument/2006/relationships/hyperlink" Id="rId176" Target="https://doi.org/10.1177/0956797611417632" TargetMode="External" /><Relationship Type="http://schemas.openxmlformats.org/officeDocument/2006/relationships/hyperlink" Id="rId84" Target="https://doi.org/10.1177/14687941124684" TargetMode="External" /><Relationship Type="http://schemas.openxmlformats.org/officeDocument/2006/relationships/hyperlink" Id="rId168" Target="https://doi.org/10.1177/1745691620927" TargetMode="External" /><Relationship Type="http://schemas.openxmlformats.org/officeDocument/2006/relationships/hyperlink" Id="rId122" Target="https://doi.org/10.1177/1745691620979806" TargetMode="External" /><Relationship Type="http://schemas.openxmlformats.org/officeDocument/2006/relationships/hyperlink" Id="rId174" Target="https://doi.org/10.1177/17456916221144988" TargetMode="External" /><Relationship Type="http://schemas.openxmlformats.org/officeDocument/2006/relationships/hyperlink" Id="rId98" Target="https://doi.org/10.1177/25152459231162567" TargetMode="External" /><Relationship Type="http://schemas.openxmlformats.org/officeDocument/2006/relationships/hyperlink" Id="rId109" Target="https://doi.org/10.1242/bio.059310" TargetMode="External" /><Relationship Type="http://schemas.openxmlformats.org/officeDocument/2006/relationships/hyperlink" Id="rId146" Target="https://doi.org/10.1242/dmm.015123" TargetMode="External" /><Relationship Type="http://schemas.openxmlformats.org/officeDocument/2006/relationships/hyperlink" Id="rId130" Target="https://doi.org/10.1353/lan.2020.0074" TargetMode="External" /><Relationship Type="http://schemas.openxmlformats.org/officeDocument/2006/relationships/hyperlink" Id="rId186" Target="https://doi.org/10.1353/lan.2021.0072" TargetMode="External" /><Relationship Type="http://schemas.openxmlformats.org/officeDocument/2006/relationships/hyperlink" Id="rId120" Target="https://doi.org/10.1371/journal.pone.0201856" TargetMode="External" /><Relationship Type="http://schemas.openxmlformats.org/officeDocument/2006/relationships/hyperlink" Id="rId184" Target="https://doi.org/10.1371/journal.pone.0234172" TargetMode="External" /><Relationship Type="http://schemas.openxmlformats.org/officeDocument/2006/relationships/hyperlink" Id="rId80" Target="https://doi.org/10.1515/ling-2017-0032" TargetMode="External" /><Relationship Type="http://schemas.openxmlformats.org/officeDocument/2006/relationships/hyperlink" Id="rId170" Target="https://doi.org/10.1515/ling-2019-0048" TargetMode="External" /><Relationship Type="http://schemas.openxmlformats.org/officeDocument/2006/relationships/hyperlink" Id="rId105" Target="https://doi.org/10.17169/fqs-7.3.143" TargetMode="External" /><Relationship Type="http://schemas.openxmlformats.org/officeDocument/2006/relationships/hyperlink" Id="rId137" Target="https://doi.org/10.21105/joss.02959" TargetMode="External" /><Relationship Type="http://schemas.openxmlformats.org/officeDocument/2006/relationships/hyperlink" Id="rId111" Target="https://doi.org/10.25607/OBP-774" TargetMode="External" /><Relationship Type="http://schemas.openxmlformats.org/officeDocument/2006/relationships/hyperlink" Id="rId162" Target="https://doi.org/10.31222/osf.io/ezfsk" TargetMode="External" /><Relationship Type="http://schemas.openxmlformats.org/officeDocument/2006/relationships/hyperlink" Id="rId180" Target="https://doi.org/10.31234/osf.io/ak6jr" TargetMode="External" /><Relationship Type="http://schemas.openxmlformats.org/officeDocument/2006/relationships/hyperlink" Id="rId150" Target="https://doi.org/10.31234/osf.io/m67tx" TargetMode="External" /><Relationship Type="http://schemas.openxmlformats.org/officeDocument/2006/relationships/hyperlink" Id="rId194" Target="https://doi.org/10.3389/fpsyg.2016.01832" TargetMode="External" /><Relationship Type="http://schemas.openxmlformats.org/officeDocument/2006/relationships/hyperlink" Id="rId95" Target="https://doi.org/10.3390/languages6010009" TargetMode="External" /><Relationship Type="http://schemas.openxmlformats.org/officeDocument/2006/relationships/hyperlink" Id="rId126" Target="https://doi.org/10.34293/education.v8i4.3232" TargetMode="External" /><Relationship Type="http://schemas.openxmlformats.org/officeDocument/2006/relationships/hyperlink" Id="rId87" Target="https://doi.org/10.5070/G6011239" TargetMode="External" /><Relationship Type="http://schemas.openxmlformats.org/officeDocument/2006/relationships/hyperlink" Id="rId82" Target="https://doi.org/10.7551/mitpress/12200.001.0001" TargetMode="External" /><Relationship Type="http://schemas.openxmlformats.org/officeDocument/2006/relationships/hyperlink" Id="rId118" Target="https://doi.org/10.7551/mitpress/12200.003.0006" TargetMode="External" /><Relationship Type="http://schemas.openxmlformats.org/officeDocument/2006/relationships/hyperlink" Id="rId128" Target="https://doi.org/10.7551/mitpress/12200.003.0008" TargetMode="External" /><Relationship Type="http://schemas.openxmlformats.org/officeDocument/2006/relationships/hyperlink" Id="rId164" Target="https://doi.org/10.7554/eLife.53275" TargetMode="External" /><Relationship Type="http://schemas.openxmlformats.org/officeDocument/2006/relationships/hyperlink" Id="rId107" Target="https://doi.org/10.7554/eLife.71601" TargetMode="External" /><Relationship Type="http://schemas.openxmlformats.org/officeDocument/2006/relationships/hyperlink" Id="rId30" Target="https://escholarship.org/uc/item/6m62j7p6#main" TargetMode="External" /><Relationship Type="http://schemas.openxmlformats.org/officeDocument/2006/relationships/hyperlink" Id="rId115" Target="https://forrt.org/glossary/english/reproducibility_crisis/" TargetMode="External" /><Relationship Type="http://schemas.openxmlformats.org/officeDocument/2006/relationships/hyperlink" Id="rId46" Target="https://github.com/RAP-group/empathy_intonation_perc" TargetMode="External" /><Relationship Type="http://schemas.openxmlformats.org/officeDocument/2006/relationships/hyperlink" Id="rId37" Target="https://github.com/elifesciences-publications/synthpop-primer" TargetMode="External" /><Relationship Type="http://schemas.openxmlformats.org/officeDocument/2006/relationships/hyperlink" Id="rId38" Target="https://mybinder.org/v2/gh/dsquintana/synthpop-primer/master?urlpath=rstudio" TargetMode="External" /><Relationship Type="http://schemas.openxmlformats.org/officeDocument/2006/relationships/hyperlink" Id="rId156" Target="https://opendefinition.org" TargetMode="External" /><Relationship Type="http://schemas.openxmlformats.org/officeDocument/2006/relationships/hyperlink" Id="rId45" Target="https://osf.io/3bmcp/" TargetMode="External" /><Relationship Type="http://schemas.openxmlformats.org/officeDocument/2006/relationships/hyperlink" Id="rId113" Target="https://osf.io/3pkj6" TargetMode="External" /><Relationship Type="http://schemas.openxmlformats.org/officeDocument/2006/relationships/hyperlink" Id="rId49" Target="https://osf.io/bsu2q/" TargetMode="External" /><Relationship Type="http://schemas.openxmlformats.org/officeDocument/2006/relationships/hyperlink" Id="rId51" Target="https://osf.io/cp9bs/" TargetMode="External" /><Relationship Type="http://schemas.openxmlformats.org/officeDocument/2006/relationships/hyperlink" Id="rId41" Target="https://osf.io/d3pum" TargetMode="External" /><Relationship Type="http://schemas.openxmlformats.org/officeDocument/2006/relationships/hyperlink" Id="rId31" Target="https://osf.io/ehyx3" TargetMode="External" /><Relationship Type="http://schemas.openxmlformats.org/officeDocument/2006/relationships/hyperlink" Id="rId53" Target="https://osf.io/nprgz" TargetMode="External" /><Relationship Type="http://schemas.openxmlformats.org/officeDocument/2006/relationships/hyperlink" Id="rId40" Target="https://osf.io/q6g8d" TargetMode="External" /><Relationship Type="http://schemas.openxmlformats.org/officeDocument/2006/relationships/hyperlink" Id="rId54" Target="https://osf.io/qvjzy" TargetMode="External" /><Relationship Type="http://schemas.openxmlformats.org/officeDocument/2006/relationships/hyperlink" Id="rId58" Target="https://osf.io/search" TargetMode="External" /><Relationship Type="http://schemas.openxmlformats.org/officeDocument/2006/relationships/hyperlink" Id="rId42" Target="https://osf.io/tk4cb" TargetMode="External" /><Relationship Type="http://schemas.openxmlformats.org/officeDocument/2006/relationships/hyperlink" Id="rId50" Target="https://osf.io/un45x/" TargetMode="External" /><Relationship Type="http://schemas.openxmlformats.org/officeDocument/2006/relationships/hyperlink" Id="rId43" Target="https://osf.io/ynqcu" TargetMode="External" /><Relationship Type="http://schemas.openxmlformats.org/officeDocument/2006/relationships/hyperlink" Id="rId39" Target="https://osf.io/z524n/" TargetMode="External" /><Relationship Type="http://schemas.openxmlformats.org/officeDocument/2006/relationships/hyperlink" Id="rId44" Target="https://osf.io/zx9ky/" TargetMode="External" /><Relationship Type="http://schemas.openxmlformats.org/officeDocument/2006/relationships/hyperlink" Id="rId207" Target="https://quarto.org" TargetMode="External" /><Relationship Type="http://schemas.openxmlformats.org/officeDocument/2006/relationships/hyperlink" Id="rId182" Target="https://vimeo.com/675236573/741e24aab7" TargetMode="External" /><Relationship Type="http://schemas.openxmlformats.org/officeDocument/2006/relationships/hyperlink" Id="rId65" Target="https://www.cos.io/initiatives/registered-reports" TargetMode="External" /><Relationship Type="http://schemas.openxmlformats.org/officeDocument/2006/relationships/hyperlink" Id="rId33" Target="https://www.iris-database.org" TargetMode="External" /><Relationship Type="http://schemas.openxmlformats.org/officeDocument/2006/relationships/hyperlink" Id="rId35" Target="https://www.prolific.com" TargetMode="External" /><Relationship Type="http://schemas.openxmlformats.org/officeDocument/2006/relationships/hyperlink" Id="rId178" Target="https://www.psychologicalscience.org/observer/gs-equity-diversity-cultural-precision" TargetMode="External" /><Relationship Type="http://schemas.openxmlformats.org/officeDocument/2006/relationships/hyperlink" Id="rId190" Target="https://www.speechperceptionproductionlab.com/positionalitystatments" TargetMode="External" /><Relationship Type="http://schemas.openxmlformats.org/officeDocument/2006/relationships/hyperlink" Id="rId197" Target="https://yihui.org/knitr/" TargetMode="External" /><Relationship Type="http://schemas.openxmlformats.org/officeDocument/2006/relationships/hyperlink" Id="rId154"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dc:creator>
  <cp:category>article</cp:category>
  <dc:description>Open science practices</dc:description>
  <dc:subject>linguistics</dc:subject>
  <cp:keywords/>
  <dcterms:created xsi:type="dcterms:W3CDTF">2024-12-16T02:23:28Z</dcterms:created>
  <dcterms:modified xsi:type="dcterms:W3CDTF">2024-12-16T02:23:28Z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