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4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 open science to all: Demystifying reproducibility and transparency practices in linguistic research</w:t>
      </w:r>
    </w:p>
    <w:p>
      <w:pPr>
        <w:pStyle w:val="Author"/>
      </w:pPr>
      <w:r>
        <w:t xml:space="preserve">Joseph V. Casillas</w:t>
      </w:r>
    </w:p>
    <w:p>
      <w:pPr>
        <w:pStyle w:val="Author"/>
      </w:pPr>
      <w:r>
        <w:t xml:space="preserve">Gabriela Constantin-Dureci</w:t>
      </w:r>
    </w:p>
    <w:p>
      <w:pPr>
        <w:pStyle w:val="Author"/>
      </w:pPr>
      <w:r>
        <w:t xml:space="preserve">Iván Rascón Andreu</w:t>
      </w:r>
    </w:p>
    <w:p>
      <w:pPr>
        <w:pStyle w:val="Author"/>
      </w:pPr>
      <w:r>
        <w:t xml:space="preserve">Jiawei Shao</w:t>
      </w:r>
    </w:p>
    <w:p>
      <w:pPr>
        <w:pStyle w:val="Author"/>
      </w:pPr>
      <w:r>
        <w:t xml:space="preserve">Stephanie A. Rodríguez</w:t>
      </w:r>
    </w:p>
    <w:p>
      <w:pPr>
        <w:pStyle w:val="Author"/>
      </w:pPr>
      <w:r>
        <w:t xml:space="preserve">Adrija Gadamsetty</w:t>
      </w:r>
    </w:p>
    <w:p>
      <w:pPr>
        <w:pStyle w:val="Author"/>
      </w:pPr>
      <w:r>
        <w:t xml:space="preserve">Alexandria Minetti</w:t>
      </w:r>
    </w:p>
    <w:p>
      <w:pPr>
        <w:pStyle w:val="Author"/>
      </w:pPr>
      <w:r>
        <w:t xml:space="preserve">Krishita Laungani</w:t>
      </w:r>
    </w:p>
    <w:p>
      <w:pPr>
        <w:pStyle w:val="Author"/>
      </w:pPr>
      <w:r>
        <w:t xml:space="preserve">John Thatcher</w:t>
      </w:r>
    </w:p>
    <w:p>
      <w:pPr>
        <w:pStyle w:val="Author"/>
      </w:pPr>
      <w:r>
        <w:t xml:space="preserve">Rhode-Taina Gardere</w:t>
      </w:r>
    </w:p>
    <w:p>
      <w:pPr>
        <w:pStyle w:val="Author"/>
      </w:pPr>
      <w:r>
        <w:t xml:space="preserve">Katherine Taveras</w:t>
      </w:r>
    </w:p>
    <w:p>
      <w:pPr>
        <w:pStyle w:val="Author"/>
      </w:pPr>
      <w:r>
        <w:t xml:space="preserve">Isabelle Chang</w:t>
      </w:r>
    </w:p>
    <w:p>
      <w:pPr>
        <w:pStyle w:val="Author"/>
      </w:pPr>
      <w:r>
        <w:t xml:space="preserve">Nicole Rodríguez</w:t>
      </w:r>
    </w:p>
    <w:p>
      <w:pPr>
        <w:pStyle w:val="Author"/>
      </w:pPr>
      <w:r>
        <w:t xml:space="preserve">Kyle Parrish</w:t>
      </w:r>
    </w:p>
    <w:p>
      <w:r>
        <w:br w:type="page"/>
      </w:r>
    </w:p>
    <w:bookmarkStart w:id="20" w:name="author-note"/>
    <w:p>
      <w:pPr>
        <w:pStyle w:val="Heading1"/>
      </w:pPr>
      <w:r>
        <w:t xml:space="preserve">Author note</w:t>
      </w:r>
    </w:p>
    <w:p>
      <w:pPr>
        <w:pStyle w:val="FirstParagraph"/>
      </w:pPr>
      <w:r>
        <w:t xml:space="preserve">Correspondence concerning this article should be addressed to Joseph V. Casillas, Rutgers University - Department of Spanish and Portuguese, 15 Seminary Place, New Brunswick, NJ 08904, USA . E-mail: joseph.casillas@rutgers.edu.</w:t>
      </w:r>
    </w:p>
    <w:p>
      <w:r>
        <w:br w:type="page"/>
      </w:r>
    </w:p>
    <w:bookmarkEnd w:id="20"/>
    <w:bookmarkStart w:id="21" w:name="abstract"/>
    <w:p>
      <w:pPr>
        <w:pStyle w:val="Heading1"/>
      </w:pPr>
      <w:r>
        <w:t xml:space="preserve">Abstract</w:t>
      </w:r>
    </w:p>
    <w:p>
      <w:pPr>
        <w:pStyle w:val="FirstParagraph"/>
      </w:pPr>
      <w:r>
        <w:t xml:space="preserve">In recent years, numerous fields of research have seen a push for increased reproducibility and transparency practices.</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present work intends to help make open science practices understandable and accessible to researchers in linguistics from all backgrounds and at every stage, from students/ERCs to senior researchers and advisors.</w:t>
      </w:r>
      <w:r>
        <w:t xml:space="preserve"> </w:t>
      </w:r>
      <w:r>
        <w:t xml:space="preserve">We outline eight specific open science practices that linguists can adopt to make their research more open, transparent, inclusive, and accessible to a wider audience.</w:t>
      </w:r>
    </w:p>
    <w:p>
      <w:pPr>
        <w:pStyle w:val="BodyText"/>
      </w:pPr>
      <w:r>
        <w:rPr>
          <w:i/>
          <w:iCs/>
        </w:rPr>
        <w:t xml:space="preserve">Keywords:</w:t>
      </w:r>
      <w:r>
        <w:t xml:space="preserve"> </w:t>
      </w:r>
      <w:r>
        <w:t xml:space="preserve">Open science, Reproducibility, Replicability, Transparency, Positionality, Linguistics</w:t>
      </w:r>
    </w:p>
    <w:p>
      <w:pPr>
        <w:pStyle w:val="BodyText"/>
      </w:pPr>
      <w:r>
        <w:rPr>
          <w:i/>
          <w:iCs/>
        </w:rPr>
        <w:t xml:space="preserve">Word count:</w:t>
      </w:r>
      <w:r>
        <w:t xml:space="preserve"> </w:t>
      </w:r>
      <w:r>
        <w:t xml:space="preserve">7,455</w:t>
      </w:r>
    </w:p>
    <w:p>
      <w:r>
        <w:br w:type="page"/>
      </w:r>
    </w:p>
    <w:bookmarkEnd w:id="21"/>
    <w:bookmarkStart w:id="22" w:name="X6d3246297a64745c1d8bb834270007bffacc17a"/>
    <w:p>
      <w:pPr>
        <w:pStyle w:val="Heading1"/>
      </w:pPr>
      <w:r>
        <w:t xml:space="preserve">Opening open science to all: Demystifying reproducibility and transparency practices in linguistic research</w:t>
      </w:r>
    </w:p>
    <w:bookmarkEnd w:id="22"/>
    <w:bookmarkStart w:id="28"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In the early 2010’s, a team of researchers in Psychology embarked on a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3"/>
      </w:r>
      <w:r>
        <w:t xml:space="preserve"> </w:t>
      </w:r>
      <w:r>
        <w:t xml:space="preserve">This series of events represents what is now referred to as the replication (or reproducibility) crisis</w:t>
      </w:r>
      <w:r>
        <w:t xml:space="preserve"> </w:t>
      </w:r>
      <w:r>
        <w:t xml:space="preserve">(See also FORRT, 2021)</w:t>
      </w:r>
      <w:r>
        <w:t xml:space="preserve">.</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programs/careers.</w:t>
      </w:r>
    </w:p>
    <w:p>
      <w:pPr>
        <w:pStyle w:val="BodyText"/>
      </w:pPr>
      <w:r>
        <w:t xml:space="preserve">The present work intends to help make open science practices understandable and accessible to researchers in linguistics from all backgrounds and at every stage, from students/ERCs to senior researchers and advisors.</w:t>
      </w:r>
      <w:r>
        <w:t xml:space="preserve"> </w:t>
      </w:r>
      <w:r>
        <w:t xml:space="preserve">To this end, we identify three areas, stance, workflow, and dissemination, in which linguists can engage in open science.</w:t>
      </w:r>
      <w:r>
        <w:t xml:space="preserve"> </w:t>
      </w:r>
      <w:r>
        <w:t xml:space="preserve">The first area,</w:t>
      </w:r>
      <w:r>
        <w:t xml:space="preserve"> </w:t>
      </w:r>
      <w:r>
        <w:rPr>
          <w:i/>
          <w:iCs/>
        </w:rPr>
        <w:t xml:space="preserve">stance</w:t>
      </w:r>
      <w:r>
        <w:t xml:space="preserve">, refers to practices that focus on the researchers position or attitude towards openness and transparency.</w:t>
      </w:r>
      <w:r>
        <w:t xml:space="preserve"> </w:t>
      </w:r>
      <w:r>
        <w:t xml:space="preserve">The second area,</w:t>
      </w:r>
      <w:r>
        <w:t xml:space="preserve"> </w:t>
      </w:r>
      <w:r>
        <w:rPr>
          <w:i/>
          <w:iCs/>
        </w:rPr>
        <w:t xml:space="preserve">workflow</w:t>
      </w:r>
      <w:r>
        <w:t xml:space="preserve">, deals with methods and techniques researchers can implement to make their research projects more open and transparent.</w:t>
      </w:r>
      <w:r>
        <w:t xml:space="preserve"> </w:t>
      </w:r>
      <w:r>
        <w:t xml:space="preserve">Finally,</w:t>
      </w:r>
      <w:r>
        <w:t xml:space="preserve"> </w:t>
      </w:r>
      <w:r>
        <w:rPr>
          <w:i/>
          <w:iCs/>
        </w:rPr>
        <w:t xml:space="preserve">dissemination</w:t>
      </w:r>
      <w:r>
        <w:t xml:space="preserve"> </w:t>
      </w:r>
      <w:r>
        <w:t xml:space="preserve">refers to novel ways in which researchers can help ensure that their research products are accessible and free from QRPs.</w:t>
      </w:r>
      <w:r>
        <w:t xml:space="preserve"> </w:t>
      </w:r>
      <w:r>
        <w:t xml:space="preserve">In total, we describe eight open science practices, illustrated in</w:t>
      </w:r>
      <w:r>
        <w:t xml:space="preserve"> </w:t>
      </w:r>
      <w:hyperlink w:anchor="fig-os-flow">
        <w:r>
          <w:rPr>
            <w:rStyle w:val="Hyperlink"/>
          </w:rPr>
          <w:t xml:space="preserve">Figure 1</w:t>
        </w:r>
      </w:hyperlink>
      <w:r>
        <w:t xml:space="preserve">, within these areas: positionality statements and declarations of conflict of interest, open data, reproducible code/projects and literate programming, preregistration, registered reports, and pre-prints.</w:t>
      </w:r>
      <w:r>
        <w:t xml:space="preserve"> </w:t>
      </w:r>
      <w:r>
        <w:t xml:space="preserve">We provide practical examples and detailed descriptions of the aforementioned practices with the goal of helping the interested linguist commence their journey of engaging in open science practices in their own research.</w:t>
      </w:r>
    </w:p>
    <w:tbl>
      <w:tblPr>
        <w:tblStyle w:val="Table"/>
        <w:tblW w:type="pct" w:w="5000"/>
        <w:tblLayout w:type="fixed"/>
        <w:tblLook w:firstRow="0" w:lastRow="0" w:firstColumn="0" w:lastColumn="0" w:noHBand="0" w:noVBand="0" w:val="0000"/>
      </w:tblPr>
      <w:tblGrid>
        <w:gridCol w:w="7920"/>
      </w:tblGrid>
      <w:tr>
        <w:tc>
          <w:tcPr/>
          <w:bookmarkStart w:id="27" w:name="fig-os-flow"/>
          <w:p>
            <w:pPr>
              <w:jc w:val="center"/>
            </w:pPr>
            <w:r>
              <w:drawing>
                <wp:inline>
                  <wp:extent cx="5943600" cy="3241963"/>
                  <wp:effectExtent b="0" l="0" r="0" t="0"/>
                  <wp:docPr descr="" title="" id="25" name="Picture"/>
                  <a:graphic>
                    <a:graphicData uri="http://schemas.openxmlformats.org/drawingml/2006/picture">
                      <pic:pic>
                        <pic:nvPicPr>
                          <pic:cNvPr descr="main_files/figure-docx/mermaid-figure-1.png" id="26" name="Picture"/>
                          <pic:cNvPicPr>
                            <a:picLocks noChangeArrowheads="1" noChangeAspect="1"/>
                          </pic:cNvPicPr>
                        </pic:nvPicPr>
                        <pic:blipFill>
                          <a:blip r:embed="rId24"/>
                          <a:stretch>
                            <a:fillRect/>
                          </a:stretch>
                        </pic:blipFill>
                        <pic:spPr bwMode="auto">
                          <a:xfrm>
                            <a:off x="0" y="0"/>
                            <a:ext cx="5943600" cy="32419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Open science practices amenable to research in linguistics as they pertain to one’s stance, workflow, and the dissemination of research products.</w:t>
            </w:r>
          </w:p>
          <w:bookmarkEnd w:id="27"/>
        </w:tc>
      </w:tr>
    </w:tbl>
    <w:bookmarkEnd w:id="28"/>
    <w:bookmarkStart w:id="29" w:name="positionality-statements"/>
    <w:p>
      <w:pPr>
        <w:pStyle w:val="Heading1"/>
      </w:pPr>
      <w:r>
        <w:t xml:space="preserve">Positionality statements</w:t>
      </w:r>
    </w:p>
    <w:p>
      <w:pPr>
        <w:pStyle w:val="FirstParagraph"/>
      </w:pPr>
      <w:r>
        <w:t xml:space="preserve">A positionality statement is a reflective piece of writing that acknowledges a researcher’s stance/position, toward a research topic, framework, and even participants.</w:t>
      </w:r>
      <w:r>
        <w:t xml:space="preserve"> </w:t>
      </w:r>
      <w:r>
        <w:t xml:space="preserve">Similar to a statement of conflict of interest, a positionality statement can influence how results are interpreted</w:t>
      </w:r>
      <w:r>
        <w:t xml:space="preserve"> </w:t>
      </w:r>
      <w:r>
        <w:t xml:space="preserve">(Rowe, 2014)</w:t>
      </w:r>
      <w:r>
        <w:t xml:space="preserve">.</w:t>
      </w:r>
      <w:r>
        <w:t xml:space="preserve"> </w:t>
      </w:r>
      <w:r>
        <w:t xml:space="preserve">One’s positionality differs from a statement of conflict of interest in that it can also influence how research is undertaken and can encompass the researcher’s social, cultural, and personal identity, as well as their biases and assumptions</w:t>
      </w:r>
      <w:r>
        <w:t xml:space="preserve"> </w:t>
      </w:r>
      <w:r>
        <w:t xml:space="preserve">(Holmes, 2020)</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Positionality statements are increasingly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 they</w:t>
      </w:r>
      <w:r>
        <w:t xml:space="preserve"> </w:t>
      </w:r>
      <w:r>
        <w:t xml:space="preserve">“[define] the boundaries within which research was produced”</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 which relies on racially minoritized communities as sources of data yet lack adequate (if any) representation of those communities among faculty researchers”</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“positionality statements grant authors the freedom to decide which parts of their biography they choose to share and how they choose to frame it.”</w:t>
      </w:r>
      <w:r>
        <w:t xml:space="preserve"> </w:t>
      </w:r>
      <w:r>
        <w:t xml:space="preserve">(p. 1334).</w:t>
      </w:r>
      <w:r>
        <w:t xml:space="preserve"> </w:t>
      </w:r>
      <w:r>
        <w:t xml:space="preserve">Importantly, statements of conflict of interest are underused in linguistic research.</w:t>
      </w:r>
      <w:r>
        <w:t xml:space="preserve"> </w:t>
      </w:r>
      <w:r>
        <w:t xml:space="preserve">Bochynska et al. (2023)</w:t>
      </w:r>
      <w:r>
        <w:t xml:space="preserve"> </w:t>
      </w:r>
      <w:r>
        <w:t xml:space="preserve">surveyed open and transparent practices in linguistics and found that only 10% of the articles sampled included statements of conflict of interest, and, among those 10%, none declared any conflicts</w:t>
      </w:r>
      <w:r>
        <w:t xml:space="preserve"> </w:t>
      </w:r>
      <w:r>
        <w:t xml:space="preserve">(See also Cristea &amp; Ioannidis, 2018; Hardwicke et al., 2022, 2020)</w:t>
      </w:r>
      <w:r>
        <w:t xml:space="preserve">.</w:t>
      </w:r>
      <w:r>
        <w:t xml:space="preserve"> </w:t>
      </w:r>
      <w:r>
        <w:t xml:space="preserve">Positionality statements are likely even less common.</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“Gabriela is a white immigrant cis-gender woman from Romania whose research focuses on how non-native speakers are ideologically framed as linguistically deficient in comparison to native speakers who are characterized by their linguistic authority and expertise.”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9"/>
    <w:bookmarkStart w:id="33" w:name="open-data"/>
    <w:p>
      <w:pPr>
        <w:pStyle w:val="Heading1"/>
      </w:pPr>
      <w:r>
        <w:t xml:space="preserve">Open data</w:t>
      </w:r>
    </w:p>
    <w:p>
      <w:pPr>
        <w:pStyle w:val="FirstParagraph"/>
      </w:pPr>
      <w:r>
        <w:t xml:space="preserve">The term</w:t>
      </w:r>
      <w:r>
        <w:t xml:space="preserve"> </w:t>
      </w:r>
      <w:r>
        <w:rPr>
          <w:i/>
          <w:iCs/>
        </w:rPr>
        <w:t xml:space="preserve">open data</w:t>
      </w:r>
      <w:r>
        <w:t xml:space="preserve"> </w:t>
      </w:r>
      <w:r>
        <w:t xml:space="preserve">refers to data collected for research that is freely and easily available to anybody interested in accessing it for any purpose</w:t>
      </w:r>
      <w:r>
        <w:t xml:space="preserve"> </w:t>
      </w:r>
      <w:r>
        <w:t xml:space="preserve">(Open Knowledge, 2023)</w:t>
      </w:r>
      <w:r>
        <w:t xml:space="preserve">.</w:t>
      </w:r>
      <w:r>
        <w:t xml:space="preserve"> </w:t>
      </w:r>
      <w:r>
        <w:t xml:space="preserve">In academic research, statements such as</w:t>
      </w:r>
      <w:r>
        <w:t xml:space="preserve"> </w:t>
      </w:r>
      <w:r>
        <w:t xml:space="preserve">“data available upon request”</w:t>
      </w:r>
      <w:r>
        <w:t xml:space="preserve"> </w:t>
      </w:r>
      <w:r>
        <w:t xml:space="preserve">are commonplace.</w:t>
      </w:r>
      <w:r>
        <w:t xml:space="preserve"> </w:t>
      </w:r>
      <w:r>
        <w:t xml:space="preserve">In spite of such assurances, we now know they do not typically result in adequate sharing of research materials</w:t>
      </w:r>
      <w:r>
        <w:t xml:space="preserve"> </w:t>
      </w:r>
      <w:r>
        <w:t xml:space="preserve">(Spellman, Gilbert, &amp; Corker, 2017; Wicherts, Borsboom, Kats, &amp; Molenaar, 2006)</w:t>
      </w:r>
      <w:r>
        <w:t xml:space="preserve">.</w:t>
      </w:r>
      <w:r>
        <w:t xml:space="preserve"> </w:t>
      </w:r>
      <w:r>
        <w:t xml:space="preserve">Recent efforts have attempted to encourage researchers to make linguistic data open and accessible via servers (e.g., the IRIS database).</w:t>
      </w:r>
      <w:r>
        <w:t xml:space="preserve"> </w:t>
      </w:r>
      <w:r>
        <w:t xml:space="preserve">Some journals offer open science badges (e.g.,</w:t>
      </w:r>
      <w:r>
        <w:t xml:space="preserve"> </w:t>
      </w:r>
      <w:r>
        <w:rPr>
          <w:i/>
          <w:iCs/>
        </w:rPr>
        <w:t xml:space="preserve">Language Learning</w:t>
      </w:r>
      <w:r>
        <w:t xml:space="preserve">,</w:t>
      </w:r>
      <w:r>
        <w:t xml:space="preserve"> </w:t>
      </w:r>
      <w:r>
        <w:rPr>
          <w:i/>
          <w:iCs/>
        </w:rPr>
        <w:t xml:space="preserve">Language and Speech</w:t>
      </w:r>
      <w:r>
        <w:t xml:space="preserve">), and, in some cases, have made data sharing a requirement for publication (e.g.,</w:t>
      </w:r>
      <w:r>
        <w:t xml:space="preserve"> </w:t>
      </w:r>
      <w:r>
        <w:rPr>
          <w:i/>
          <w:iCs/>
        </w:rPr>
        <w:t xml:space="preserve">Applied Psycholinguistics</w:t>
      </w:r>
      <w:r>
        <w:t xml:space="preserve">).</w:t>
      </w:r>
      <w:r>
        <w:t xml:space="preserve"> </w:t>
      </w:r>
      <w:r>
        <w:t xml:space="preserve">Nonetheless, open data is still the exception rather than the norm in linguistics</w:t>
      </w:r>
      <w:r>
        <w:t xml:space="preserve"> </w:t>
      </w:r>
      <w:r>
        <w:t xml:space="preserve">(Bochynska et al., 2023)</w:t>
      </w:r>
      <w:r>
        <w:t xml:space="preserve">.</w:t>
      </w:r>
      <w:r>
        <w:t xml:space="preserve"> </w:t>
      </w:r>
      <w:r>
        <w:t xml:space="preserve">In this section, we provide more detail regarding the benefits of open data and consider the specific challenges researchers face in the field of linguistics.</w:t>
      </w:r>
    </w:p>
    <w:p>
      <w:pPr>
        <w:pStyle w:val="BodyText"/>
      </w:pPr>
      <w:r>
        <w:t xml:space="preserve">The underlying motivation for open data is relatively straightforward, particularly in the wake of the reproducibility crisis.</w:t>
      </w:r>
      <w:r>
        <w:t xml:space="preserve"> </w:t>
      </w:r>
      <w:r>
        <w:t xml:space="preserve">Though researchers may understandably hesitate to share their data, we believe understanding the benefits of open data can help alleviate any concerns.</w:t>
      </w:r>
      <w:r>
        <w:t xml:space="preserve"> </w:t>
      </w:r>
      <w:r>
        <w:t xml:space="preserve">Making linguistic data freely available improves credibility in our findings, to other researchers and the general public.</w:t>
      </w:r>
      <w:r>
        <w:t xml:space="preserve"> </w:t>
      </w:r>
      <w:r>
        <w:t xml:space="preserve">Prohibiting or impeding access to data collected for publicly funded research is unethical and a detriment to inclusivity.</w:t>
      </w:r>
      <w:r>
        <w:t xml:space="preserve"> </w:t>
      </w:r>
      <w:r>
        <w:t xml:space="preserve">Open data is fundamental for cumulative science in numerous ways.</w:t>
      </w:r>
      <w:r>
        <w:t xml:space="preserve"> </w:t>
      </w:r>
      <w:r>
        <w:t xml:space="preserve">It affords third parties the opportunity to scrutinize original findings, which promotes reproducibility and reduces errors, such as those related to statistical analyses and reporting of outcomes</w:t>
      </w:r>
      <w:r>
        <w:t xml:space="preserve"> </w:t>
      </w:r>
      <w:r>
        <w:t xml:space="preserve">(e.g., Roettger, 2021b)</w:t>
      </w:r>
      <w:r>
        <w:t xml:space="preserve">.</w:t>
      </w:r>
      <w:r>
        <w:t xml:space="preserve"> </w:t>
      </w:r>
      <w:r>
        <w:t xml:space="preserve">Furthermore, it allows for published data to be reanalyzed in novel ways and utilized in meta-analyses.</w:t>
      </w:r>
      <w:r>
        <w:t xml:space="preserve"> </w:t>
      </w:r>
      <w:r>
        <w:t xml:space="preserve">Revisiting old data sets using innovative techniques can support or contradict past narrative conclusions</w:t>
      </w:r>
      <w:r>
        <w:t xml:space="preserve"> </w:t>
      </w:r>
      <w:r>
        <w:t xml:space="preserve">(e.g., Casillas, 2021)</w:t>
      </w:r>
      <w:r>
        <w:t xml:space="preserve">.</w:t>
      </w:r>
      <w:r>
        <w:t xml:space="preserve"> </w:t>
      </w:r>
      <w:r>
        <w:t xml:space="preserve">In short, open data is a cornerstone of scientific research in the 21st century that enables wider access to research information, which, in turn, facilitates validation, motivates replication, promotes reproducibility, and makes possible future scientific progress.</w:t>
      </w:r>
    </w:p>
    <w:p>
      <w:pPr>
        <w:pStyle w:val="BodyText"/>
      </w:pPr>
      <w:r>
        <w:t xml:space="preserve">Open data are particularly important for the field of linguistics, for all of the aforementioned reasons, and also because linguistics is Western, Educated, Industrialized, Rich, and Democratic</w:t>
      </w:r>
      <w:r>
        <w:t xml:space="preserve"> </w:t>
      </w:r>
      <w:r>
        <w:t xml:space="preserve">(WEIRD, Bochynska et al., 2023)</w:t>
      </w:r>
      <w:r>
        <w:t xml:space="preserve">.</w:t>
      </w:r>
      <w:r>
        <w:t xml:space="preserve"> </w:t>
      </w:r>
      <w:r>
        <w:t xml:space="preserve">That is to say, the majority of linguistic research is concentrated on specific language, mainly Indo-Germanic, in overrepresented communities, by privileged scholars. Making linguistic data accessible to all researchers promotes participation</w:t>
      </w:r>
      <w:r>
        <w:t xml:space="preserve"> </w:t>
      </w:r>
      <w:r>
        <w:rPr>
          <w:i/>
          <w:iCs/>
        </w:rPr>
        <w:t xml:space="preserve">in</w:t>
      </w:r>
      <w:r>
        <w:t xml:space="preserve"> </w:t>
      </w:r>
      <w:r>
        <w:t xml:space="preserve">and</w:t>
      </w:r>
      <w:r>
        <w:t xml:space="preserve"> </w:t>
      </w:r>
      <w:r>
        <w:rPr>
          <w:i/>
          <w:iCs/>
        </w:rPr>
        <w:t xml:space="preserve">with</w:t>
      </w:r>
      <w:r>
        <w:t xml:space="preserve"> </w:t>
      </w:r>
      <w:r>
        <w:t xml:space="preserve">underrepresented communities.</w:t>
      </w:r>
      <w:r>
        <w:t xml:space="preserve"> </w:t>
      </w:r>
      <w:r>
        <w:t xml:space="preserve">Furthermore, it can increase the study of diverse and underreported languages, which fosters a more inclusive and comprehensive understanding of the global linguistic landscape.</w:t>
      </w:r>
    </w:p>
    <w:p>
      <w:pPr>
        <w:pStyle w:val="BodyText"/>
      </w:pPr>
      <w:r>
        <w:t xml:space="preserve">Having stated all the above, it is necessary to recognize that the field of linguistics faces unique challenges with regard to open data.</w:t>
      </w:r>
      <w:r>
        <w:t xml:space="preserve"> </w:t>
      </w:r>
      <w:r>
        <w:t xml:space="preserve">At the heart of these challenges are ethical concerns that must be considered with care.</w:t>
      </w:r>
      <w:r>
        <w:t xml:space="preserve"> </w:t>
      </w:r>
      <w:r>
        <w:t xml:space="preserve">The privacy and consent of participants must be safeguarded.</w:t>
      </w:r>
      <w:r>
        <w:t xml:space="preserve"> </w:t>
      </w:r>
      <w:r>
        <w:t xml:space="preserve">Linguistic data often include personal information, which can be especially difficult to anonymize.</w:t>
      </w:r>
      <w:r>
        <w:t xml:space="preserve"> </w:t>
      </w:r>
      <w:r>
        <w:t xml:space="preserve">Though written and behavioral data do not typically pose many issues, audio and video recordings constitute a large portion of linguistic research materials.</w:t>
      </w:r>
      <w:r>
        <w:t xml:space="preserve"> </w:t>
      </w:r>
      <w:r>
        <w:t xml:space="preserve">In such cases, anonymizing participant information can be troublesome, particularly when working with minority languages or smaller communities.</w:t>
      </w:r>
      <w:r>
        <w:t xml:space="preserve"> </w:t>
      </w:r>
      <w:r>
        <w:t xml:space="preserve">Sociolinguistic interviews, for instance, represent a substantial and valuable contribution to linguistics and often contain sensitive information.</w:t>
      </w:r>
      <w:r>
        <w:t xml:space="preserve"> </w:t>
      </w:r>
      <w:r>
        <w:t xml:space="preserve">Moreover, the advent of generative artificial intelligence technologies, such as Large Language Models, may pose unknown challenges in the near future that necessitate additional steps to secure the protection of sensitive data against misuse.</w:t>
      </w:r>
      <w:r>
        <w:t xml:space="preserve"> </w:t>
      </w:r>
      <w:r>
        <w:t xml:space="preserve">While these challenges are substantial, we believe acceptable solutions exist in many, if not all, cases.</w:t>
      </w:r>
      <w:r>
        <w:t xml:space="preserve"> </w:t>
      </w:r>
      <w:r>
        <w:t xml:space="preserve">When primary data, such as audio or video files, cannot be shared, derived data in the form of tabular files can take its place.</w:t>
      </w:r>
      <w:r>
        <w:t xml:space="preserve"> </w:t>
      </w:r>
      <w:r>
        <w:t xml:space="preserve">For instance, if institutional policies prohibit the sharing of audio files, a comma-separated or tab-separated file (csv, tsv) containing the variables of interest (e.g., formant values, response times, etc.) can be made public instead.</w:t>
      </w:r>
      <w:r>
        <w:t xml:space="preserve"> </w:t>
      </w:r>
      <w:r>
        <w:t xml:space="preserve">Tabular data files can be anonymized easily using arbitrary identification codes.</w:t>
      </w:r>
      <w:r>
        <w:t xml:space="preserve"> </w:t>
      </w:r>
      <w:r>
        <w:t xml:space="preserve">Online data collection platforms, such as Prolific, typically remove identifying information by default and provide participant-specific identification numbers.</w:t>
      </w:r>
      <w:r>
        <w:t xml:space="preserve"> </w:t>
      </w:r>
      <w:r>
        <w:t xml:space="preserve">In more uncommon cases in which institutional policies do not permit the sharing of derived data sets, synthetic data containing the same statistical properties can be generated and shared freely</w:t>
      </w:r>
      <w:r>
        <w:t xml:space="preserve"> </w:t>
      </w:r>
      <w:r>
        <w:t xml:space="preserve">(See Quintana, 2020)</w:t>
      </w:r>
      <w:r>
        <w:t xml:space="preserve">.</w:t>
      </w:r>
    </w:p>
    <w:p>
      <w:pPr>
        <w:pStyle w:val="BodyText"/>
      </w:pPr>
      <w:r>
        <w:t xml:space="preserve">A substantial hurdle that cannot be overlooked revolves around the fact that researchers must learn to use new technologies to participate in open, transparent research.</w:t>
      </w:r>
      <w:r>
        <w:t xml:space="preserve"> </w:t>
      </w:r>
      <w:r>
        <w:t xml:space="preserve">Making data open</w:t>
      </w:r>
      <w:r>
        <w:t xml:space="preserve"> </w:t>
      </w:r>
      <w:r>
        <w:rPr>
          <w:i/>
          <w:iCs/>
        </w:rPr>
        <w:t xml:space="preserve">and</w:t>
      </w:r>
      <w:r>
        <w:t xml:space="preserve"> </w:t>
      </w:r>
      <w:r>
        <w:t xml:space="preserve">accessible is not as simple as merely uploading a data file.</w:t>
      </w:r>
      <w:r>
        <w:t xml:space="preserve"> </w:t>
      </w:r>
      <w:r>
        <w:t xml:space="preserve">Researchers should include a codebook or README file explaining the metadata of the file(s), as well as an explanation of the variables it contains and the context in which it was obtained.</w:t>
      </w:r>
      <w:r>
        <w:t xml:space="preserve"> </w:t>
      </w:r>
      <w:r>
        <w:t xml:space="preserve">Once the data has been prepared for sharing, the researcher must decide where to share it.</w:t>
      </w:r>
      <w:r>
        <w:t xml:space="preserve"> </w:t>
      </w:r>
      <w:r>
        <w:t xml:space="preserve">Platforms such as google drive, dropbox, etc. are not recommended because they are linked to personal accounts that may change or become unavailable over time.</w:t>
      </w:r>
      <w:r>
        <w:t xml:space="preserve"> </w:t>
      </w:r>
      <w:r>
        <w:t xml:space="preserve">Free repositories designed for the purpose of sharing research materials, such as the Open Science Framework</w:t>
      </w:r>
      <w:r>
        <w:t xml:space="preserve"> </w:t>
      </w:r>
      <w:r>
        <w:t xml:space="preserve">(Foster &amp; Deardorff, 2017)</w:t>
      </w:r>
      <w:r>
        <w:t xml:space="preserve">, github, etc., are preferable and can be accessed simply by sharing a link.</w:t>
      </w:r>
      <w:r>
        <w:t xml:space="preserve"> </w:t>
      </w:r>
      <w:r>
        <w:t xml:space="preserve">These repositories represent stable, long-term solutions with ample storage capacity.</w:t>
      </w:r>
      <w:r>
        <w:t xml:space="preserve"> </w:t>
      </w:r>
      <w:r>
        <w:t xml:space="preserve">The data sets (and other materials) can be downloaded directly, free of any kind of payment or exchange of personal information (such as an email address) by the user.</w:t>
      </w:r>
      <w:r>
        <w:t xml:space="preserve"> </w:t>
      </w:r>
      <w:r>
        <w:t xml:space="preserve">For relevant examples, we direct the interested reader to</w:t>
      </w:r>
      <w:r>
        <w:t xml:space="preserve"> </w:t>
      </w:r>
      <w:hyperlink r:id="rId30">
        <w:r>
          <w:rPr>
            <w:rStyle w:val="Hyperlink"/>
          </w:rPr>
          <w:t xml:space="preserve">https://osf.io/zx9ky/</w:t>
        </w:r>
      </w:hyperlink>
      <w:r>
        <w:t xml:space="preserve">,</w:t>
      </w:r>
      <w:r>
        <w:t xml:space="preserve"> </w:t>
      </w:r>
      <w:hyperlink r:id="rId31">
        <w:r>
          <w:rPr>
            <w:rStyle w:val="Hyperlink"/>
          </w:rPr>
          <w:t xml:space="preserve">https://osf.io/3bmcp/</w:t>
        </w:r>
      </w:hyperlink>
      <w:r>
        <w:t xml:space="preserve">, or</w:t>
      </w:r>
      <w:r>
        <w:t xml:space="preserve"> </w:t>
      </w:r>
      <w:hyperlink r:id="rId32">
        <w:r>
          <w:rPr>
            <w:rStyle w:val="Hyperlink"/>
          </w:rPr>
          <w:t xml:space="preserve">https://github.com/RAP-group/empathy_intonation_perc</w:t>
        </w:r>
      </w:hyperlink>
      <w:r>
        <w:t xml:space="preserve">.</w:t>
      </w:r>
    </w:p>
    <w:p>
      <w:pPr>
        <w:pStyle w:val="BodyText"/>
      </w:pPr>
      <w:r>
        <w:t xml:space="preserve">To summarize, open data is important because it facilitates transparency, rigor, reproducibility, replication, accumulation of knowledge, and, importantly, it makes participating in the scientific endeavor more inclusive.</w:t>
      </w:r>
      <w:r>
        <w:t xml:space="preserve"> </w:t>
      </w:r>
      <w:r>
        <w:t xml:space="preserve">Linguistics, in general, does not engage in open science practices</w:t>
      </w:r>
      <w:r>
        <w:t xml:space="preserve"> </w:t>
      </w:r>
      <w:r>
        <w:t xml:space="preserve">(Bochynska et al., 2023)</w:t>
      </w:r>
      <w:r>
        <w:t xml:space="preserve">, including sharing data.</w:t>
      </w:r>
      <w:r>
        <w:t xml:space="preserve"> </w:t>
      </w:r>
      <w:r>
        <w:t xml:space="preserve">While linguistics does face legitimate, field-specific challenges, ultimately the benefits of open data outnumber these challenges, and researchers should take the stance to share what is ethically reasonable.</w:t>
      </w:r>
    </w:p>
    <w:bookmarkEnd w:id="33"/>
    <w:bookmarkStart w:id="37" w:name="X86d878d9595b9fb6a0b84acee7de2c2c447eb35"/>
    <w:p>
      <w:pPr>
        <w:pStyle w:val="Heading1"/>
      </w:pPr>
      <w:r>
        <w:t xml:space="preserve">Reproducible code/projects and literate programming</w:t>
      </w:r>
    </w:p>
    <w:p>
      <w:pPr>
        <w:pStyle w:val="FirstParagraph"/>
      </w:pPr>
      <w:r>
        <w:t xml:space="preserve">As we have seen, reproducibility is now a crucial aspect of any scientific study.</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 of linguistics, and how researchers can make their code and projects more reproducible.</w:t>
      </w:r>
    </w:p>
    <w:p>
      <w:pPr>
        <w:pStyle w:val="BodyText"/>
      </w:pPr>
      <w:r>
        <w:t xml:space="preserve">In general, reproducibility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r>
        <w:t xml:space="preserve"> </w:t>
      </w: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p>
    <w:p>
      <w:pPr>
        <w:pStyle w:val="BodyText"/>
      </w:pPr>
      <w:r>
        <w:t xml:space="preserve">In linguistics there is increasing awareness of the importance of reproducibility, and many researchers are beginning to take steps to improve the reproducibility of their research.</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by including descriptions of the data, the methods used to analyze the data, and the results.</w:t>
      </w:r>
      <w:r>
        <w:br/>
      </w:r>
      <w:r>
        <w:t xml:space="preserve">This documentation can then be made publicly available and used by third parties to retrace the steps to reproduce the research findings.</w:t>
      </w:r>
      <w:r>
        <w:t xml:space="preserve"> </w:t>
      </w:r>
      <w:r>
        <w:t xml:space="preserve">While better than nothing at all, a more complete approach includes the analysis code in the same document in which the very manuscript is written.</w:t>
      </w:r>
      <w:r>
        <w:t xml:space="preserve"> </w:t>
      </w:r>
      <w:r>
        <w:t xml:space="preserve">This integration of analysis code and prose into a single, dynamic document is known as literate programming</w:t>
      </w:r>
      <w:r>
        <w:t xml:space="preserve"> </w:t>
      </w:r>
      <w:r>
        <w:t xml:space="preserve">(Knuth, 1984, 1992)</w:t>
      </w:r>
      <w:r>
        <w:t xml:space="preserve">.</w:t>
      </w:r>
      <w:r>
        <w:t xml:space="preserve"> </w:t>
      </w:r>
      <w:r>
        <w:t xml:space="preserve">Under the hood, a series of macros and functions are used to tangle the code and prose of the document into a separate file, usually a word document or a pdf, which can then be submitted for publication.</w:t>
      </w:r>
      <w:r>
        <w:t xml:space="preserve"> </w:t>
      </w:r>
      <w:r>
        <w:t xml:space="preserve">Literate programming reduces the likelihood of copy and paste errors that often occur when passing the results of a statistical analysis from the analysis software to the word processing program.</w:t>
      </w:r>
      <w:r>
        <w:t xml:space="preserve"> </w:t>
      </w:r>
      <w:r>
        <w:t xml:space="preserve">If the analysis changes in any way, e.g., more data is included, a different analytic strategy is applied, etc., the document is retangled to update the output file.</w:t>
      </w:r>
      <w:r>
        <w:t xml:space="preserve"> </w:t>
      </w:r>
      <w:r>
        <w:t xml:space="preserve">Currently there are several implementations of literate programming for research purposes, the most common of which are R markdown files (Rmd) and Quarto markdown files (qmd).</w:t>
      </w:r>
      <w:r>
        <w:t xml:space="preserve"> </w:t>
      </w:r>
      <w:r>
        <w:t xml:space="preserve">These formats use the R package</w:t>
      </w:r>
      <w:r>
        <w:t xml:space="preserve"> </w:t>
      </w:r>
      <w:r>
        <w:rPr>
          <w:rStyle w:val="VerbatimChar"/>
        </w:rPr>
        <w:t xml:space="preserve">knitr</w:t>
      </w:r>
      <w:r>
        <w:t xml:space="preserve"> </w:t>
      </w:r>
      <w:r>
        <w:t xml:space="preserve">(Xie, 2014, 2015, 2023)</w:t>
      </w:r>
      <w:r>
        <w:t xml:space="preserve"> </w:t>
      </w:r>
      <w:r>
        <w:t xml:space="preserve">to tangle (also</w:t>
      </w:r>
      <w:r>
        <w:t xml:space="preserve"> </w:t>
      </w:r>
      <w:r>
        <w:t xml:space="preserve">“knit”</w:t>
      </w:r>
      <w:r>
        <w:t xml:space="preserve"> </w:t>
      </w:r>
      <w:r>
        <w:t xml:space="preserve">or</w:t>
      </w:r>
      <w:r>
        <w:t xml:space="preserve"> </w:t>
      </w:r>
      <w:r>
        <w:t xml:space="preserve">“render”</w:t>
      </w:r>
      <w:r>
        <w:t xml:space="preserve">) the output file.</w:t>
      </w:r>
      <w:r>
        <w:t xml:space="preserve"> </w:t>
      </w:r>
      <w:r>
        <w:t xml:space="preserve">In fact, the present manuscript was generated using literate programming and is available for download here:</w:t>
      </w:r>
      <w:r>
        <w:t xml:space="preserve"> </w:t>
      </w:r>
      <w:hyperlink r:id="rId34">
        <w:r>
          <w:rPr>
            <w:rStyle w:val="Hyperlink"/>
          </w:rPr>
          <w:t xml:space="preserve">https://osf.io/bsu2q/</w:t>
        </w:r>
      </w:hyperlink>
      <w:r>
        <w:t xml:space="preserve">.</w:t>
      </w:r>
    </w:p>
    <w:p>
      <w:pPr>
        <w:pStyle w:val="BodyText"/>
      </w:pPr>
      <w:r>
        <w:t xml:space="preserve">While the implementation of literate programming into a research workflow is ideal, the gold standard is to use literate, dynamic documents in conjunction with reproducible projects.</w:t>
      </w:r>
      <w:r>
        <w:t xml:space="preserve"> </w:t>
      </w:r>
      <w:r>
        <w:t xml:space="preserve">These projects include all of the data, code, and documentation necessary to reproduce the research findings, not only in a single report, but rather in many reports and/or presentations, simultaneously.</w:t>
      </w:r>
      <w:r>
        <w:t xml:space="preserve"> </w:t>
      </w:r>
      <w:r>
        <w:t xml:space="preserve">This approach makes it easier for others to reproduce research findings and build on previous work because it obviates the complications involved with user-specific file paths and differing operating systems.</w:t>
      </w:r>
      <w:r>
        <w:t xml:space="preserve"> </w:t>
      </w:r>
      <w:r>
        <w:t xml:space="preserve">Ideally, if the project works on one user’s computer, it should work on any computer running the same software.</w:t>
      </w:r>
      <w:r>
        <w:t xml:space="preserve"> </w:t>
      </w:r>
      <w:r>
        <w:t xml:space="preserve">This allows a researcher to download an entire project and reproduce the analyses and reports at the click of a button.</w:t>
      </w:r>
      <w:r>
        <w:t xml:space="preserve"> </w:t>
      </w:r>
      <w:r>
        <w:t xml:space="preserve">A popular choice for reproducible projects is the open source software Posit (formerly RStudio), which utilizes</w:t>
      </w:r>
      <w:r>
        <w:t xml:space="preserve"> </w:t>
      </w:r>
      <w:r>
        <w:rPr>
          <w:rStyle w:val="VerbatimChar"/>
        </w:rPr>
        <w:t xml:space="preserve">.Rproj</w:t>
      </w:r>
      <w:r>
        <w:t xml:space="preserve"> </w:t>
      </w:r>
      <w:r>
        <w:t xml:space="preserve">files called RStudio projects.</w:t>
      </w:r>
      <w:r>
        <w:t xml:space="preserve"> </w:t>
      </w:r>
      <w:r>
        <w:t xml:space="preserve">Examples of completed reproducible projects are available to the interested reader here:</w:t>
      </w:r>
      <w:r>
        <w:t xml:space="preserve"> </w:t>
      </w:r>
      <w:hyperlink r:id="rId35">
        <w:r>
          <w:rPr>
            <w:rStyle w:val="Hyperlink"/>
          </w:rPr>
          <w:t xml:space="preserve">https://osf.io/un45x/</w:t>
        </w:r>
      </w:hyperlink>
      <w:r>
        <w:t xml:space="preserve"> </w:t>
      </w:r>
      <w:r>
        <w:t xml:space="preserve">and</w:t>
      </w:r>
      <w:r>
        <w:t xml:space="preserve"> </w:t>
      </w:r>
      <w:hyperlink r:id="rId36">
        <w:r>
          <w:rPr>
            <w:rStyle w:val="Hyperlink"/>
          </w:rPr>
          <w:t xml:space="preserve">https://osf.io/cp9bs/</w:t>
        </w:r>
      </w:hyperlink>
      <w:r>
        <w:t xml:space="preserve">.</w:t>
      </w:r>
    </w:p>
    <w:p>
      <w:pPr>
        <w:pStyle w:val="BodyText"/>
      </w:pPr>
      <w:r>
        <w:t xml:space="preserve">Exciting, new technology that facilitates open science is coming out at a rapid pace.</w:t>
      </w:r>
      <w:r>
        <w:t xml:space="preserve"> </w:t>
      </w:r>
      <w:r>
        <w:t xml:space="preserve">This is excellent news for anybody interested in learning the new tools, but also creates other issues, particularly with regard to outdated software.</w:t>
      </w:r>
      <w:r>
        <w:t xml:space="preserve"> </w:t>
      </w:r>
      <w:r>
        <w:t xml:space="preserve">Dependency management tools like</w:t>
      </w:r>
      <w:r>
        <w:t xml:space="preserve"> </w:t>
      </w:r>
      <w:r>
        <w:rPr>
          <w:rStyle w:val="VerbatimChar"/>
        </w:rPr>
        <w:t xml:space="preserve">renv</w:t>
      </w:r>
      <w:r>
        <w:t xml:space="preserve"> </w:t>
      </w:r>
      <w:r>
        <w:t xml:space="preserve">(Ushey &amp; Wickham, 2023)</w:t>
      </w:r>
      <w:r>
        <w:t xml:space="preserve"> </w:t>
      </w:r>
      <w:r>
        <w:t xml:space="preserve">and</w:t>
      </w:r>
      <w:r>
        <w:t xml:space="preserve"> </w:t>
      </w:r>
      <w:r>
        <w:rPr>
          <w:rStyle w:val="VerbatimChar"/>
        </w:rPr>
        <w:t xml:space="preserve">targets</w:t>
      </w:r>
      <w:r>
        <w:t xml:space="preserve"> </w:t>
      </w:r>
      <w:r>
        <w:t xml:space="preserve">(Landau, 2021)</w:t>
      </w:r>
      <w:r>
        <w:t xml:space="preserve"> </w:t>
      </w:r>
      <w:r>
        <w:t xml:space="preserve">can be helpful in future-proofing projects and ensuring reproducibility.</w:t>
      </w:r>
      <w:r>
        <w:t xml:space="preserve"> </w:t>
      </w:r>
      <w:r>
        <w:t xml:space="preserve">These tools help to manage the dependencies that are necessary to run code by providing specific versions of the software used originally by the researchers.</w:t>
      </w:r>
      <w:r>
        <w:t xml:space="preserve"> </w:t>
      </w:r>
      <w:r>
        <w:t xml:space="preserve">Computational reproducibility platforms like Binder and Code Ocean can also be used to create virtual environments in which projects can be reproduced online.</w:t>
      </w:r>
      <w:r>
        <w:t xml:space="preserve"> </w:t>
      </w:r>
      <w:r>
        <w:t xml:space="preserve">Thus, these platforms allow researchers to share their code and data in ways that can be easily replicated by anybody with an internet connection.</w:t>
      </w:r>
    </w:p>
    <w:p>
      <w:pPr>
        <w:pStyle w:val="BodyText"/>
      </w:pPr>
      <w:r>
        <w:t xml:space="preserve">At this juncture it is important to note that there is no way to completely future-proof code or projects.</w:t>
      </w:r>
      <w:r>
        <w:t xml:space="preserve"> </w:t>
      </w:r>
      <w:r>
        <w:t xml:space="preserve">Researchers must continually strive to maintain the reproducibility of their work.</w:t>
      </w:r>
      <w:r>
        <w:t xml:space="preserve"> </w:t>
      </w:r>
      <w:r>
        <w:t xml:space="preserve">This includes updating code and documentation as needed and testing projects on different operating systems to ensure that it can be run in different environments.</w:t>
      </w:r>
    </w:p>
    <w:p>
      <w:pPr>
        <w:pStyle w:val="BodyText"/>
      </w:pPr>
      <w:r>
        <w:t xml:space="preserve">Summarizing,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linguistics there is increasing awareness of the importance of reproducibility, and many researchers are taking steps to improve the transparency of their research.</w:t>
      </w:r>
      <w:r>
        <w:t xml:space="preserve"> </w:t>
      </w:r>
      <w:r>
        <w:t xml:space="preserve">By creating dynamic reports using literate programming and integrating them into reproducible projects in conjunction with dependency management tools, linguists can make their projects more reproducible and accessible.</w:t>
      </w:r>
    </w:p>
    <w:bookmarkEnd w:id="37"/>
    <w:bookmarkStart w:id="46"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40"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
          <w:iCs/>
        </w:rPr>
        <w:t xml:space="preserve">who</w:t>
      </w:r>
      <w:r>
        <w:t xml:space="preserve"> </w:t>
      </w:r>
      <w:r>
        <w:t xml:space="preserve">might want to consider preregistrations,</w:t>
      </w:r>
      <w:r>
        <w:t xml:space="preserve"> </w:t>
      </w:r>
      <w:r>
        <w:rPr>
          <w:i/>
          <w:iCs/>
        </w:rPr>
        <w:t xml:space="preserve">why</w:t>
      </w:r>
      <w:r>
        <w:t xml:space="preserve"> </w:t>
      </w:r>
      <w:r>
        <w:t xml:space="preserve">they might want to do so,</w:t>
      </w:r>
      <w:r>
        <w:t xml:space="preserve"> </w:t>
      </w:r>
      <w:r>
        <w:rPr>
          <w:i/>
          <w:iCs/>
        </w:rPr>
        <w:t xml:space="preserve">what</w:t>
      </w:r>
      <w:r>
        <w:t xml:space="preserve"> </w:t>
      </w:r>
      <w:r>
        <w:t xml:space="preserve">content they can include, and</w:t>
      </w:r>
      <w:r>
        <w:t xml:space="preserve"> </w:t>
      </w:r>
      <w:r>
        <w:rPr>
          <w:i/>
          <w:iCs/>
        </w:rPr>
        <w:t xml:space="preserve">how</w:t>
      </w:r>
      <w:r>
        <w:t xml:space="preserve"> </w:t>
      </w:r>
      <w:r>
        <w:t xml:space="preserve">they can complete a preregistration for a linguistics research project.</w:t>
      </w:r>
    </w:p>
    <w:p>
      <w:pPr>
        <w:pStyle w:val="BodyText"/>
      </w:pPr>
      <w:r>
        <w:t xml:space="preserve">Linguistic research is multifaceted and spans diverse areas such as corpus analysis, conversation/discourse analysis, experimental research, and more.</w:t>
      </w:r>
      <w:r>
        <w:t xml:space="preserve"> </w:t>
      </w:r>
      <w:r>
        <w:t xml:space="preserve">However, as highlighted by</w:t>
      </w:r>
      <w:r>
        <w:t xml:space="preserve"> </w:t>
      </w:r>
      <w:r>
        <w:t xml:space="preserve">Roettger (2021a)</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emerged as a powerful instrument empowering linguists to bolster the trustworthiness and credibility of their inquiries by establishing a systematic and predefined methodology.</w:t>
      </w:r>
      <w:r>
        <w:t xml:space="preserve"> </w:t>
      </w:r>
      <w:r>
        <w:t xml:space="preserve">We believe the practice of preregistration extends its benefits to researchers at all levels, including students and ECRs, senior academics, and professionals alike.</w:t>
      </w:r>
    </w:p>
    <w:p>
      <w:pPr>
        <w:pStyle w:val="BodyText"/>
      </w:pPr>
      <w:r>
        <w:t xml:space="preserve">Researchers face vital decisions while engaging in research, with inherent flexibility involved in the process of designing and conducting experiments, as well as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“researcher degrees of freedom”</w:t>
      </w:r>
      <w:r>
        <w:t xml:space="preserve">, can have serious down-stream consequences in quantitative research, particularly in linguistics</w:t>
      </w:r>
      <w:r>
        <w:t xml:space="preserve"> </w:t>
      </w:r>
      <w:r>
        <w:t xml:space="preserve">(e.g., Coretta et al., 2023)</w:t>
      </w:r>
      <w:r>
        <w:t xml:space="preserve">.</w:t>
      </w:r>
      <w:r>
        <w:t xml:space="preserve"> </w:t>
      </w:r>
      <w:r>
        <w:t xml:space="preserve">For instance, a researcher studying lexical stress could concentrate on distinct acoustic cues typically associated with stress, i.e., pitch, duration, and intensity.</w:t>
      </w:r>
      <w:r>
        <w:t xml:space="preserve"> </w:t>
      </w:r>
      <w:r>
        <w:t xml:space="preserve">Beyond selecting acoustic cues to measure, she must also select a domain for these measurements, such as the mid-point of stressed/unstressed syllables or an average value over the entirety of the syllable.</w:t>
      </w:r>
      <w:r>
        <w:t xml:space="preserve"> </w:t>
      </w:r>
      <w:r>
        <w:t xml:space="preserve">These choices wield significant influence on subsequent outcomes.</w:t>
      </w:r>
      <w:r>
        <w:t xml:space="preserve"> </w:t>
      </w:r>
      <w:r>
        <w:t xml:space="preserve">Preregistration serves the purpose of meticulously documenting these choices</w:t>
      </w:r>
      <w:r>
        <w:t xml:space="preserve"> </w:t>
      </w:r>
      <w:r>
        <w:rPr>
          <w:i/>
          <w:iCs/>
        </w:rPr>
        <w:t xml:space="preserve">a priori</w:t>
      </w:r>
      <w:r>
        <w:t xml:space="preserve">, thus acting as a deterrent against QRPs, like HARKing or p-hacking.</w:t>
      </w:r>
      <w:r>
        <w:t xml:space="preserve"> </w:t>
      </w:r>
      <w:r>
        <w:t xml:space="preserve">This is because the researcher establishes what decisions will be made, such as measurement choices and analytic strategies, before data collection commences.</w:t>
      </w:r>
      <w:r>
        <w:t xml:space="preserve"> </w:t>
      </w:r>
      <w:r>
        <w:t xml:space="preserve">A benefit of including a high level of specificity in the preregistration is that is forces researchers to consider facets of their study that might usually be deferred to a later stage, e.g., specific statistical tests.</w:t>
      </w:r>
      <w:r>
        <w:br/>
      </w:r>
      <w:r>
        <w:t xml:space="preserve">This proactive approach demands more initial time investment from the researcher, but also increases the likelihood of uncovering crucial flaws in the study design.</w:t>
      </w:r>
    </w:p>
    <w:p>
      <w:pPr>
        <w:pStyle w:val="BodyText"/>
      </w:pPr>
      <w:r>
        <w:t xml:space="preserve">The scope of preregistration extends to any facet of research deemed worthy of temporal documentation preceding the initiation of the study.</w:t>
      </w:r>
      <w:r>
        <w:t xml:space="preserve"> </w:t>
      </w:r>
      <w:r>
        <w:t xml:space="preserve">The essential components often include research questions/hypotheses, methodological framework, and analytic approaches.</w:t>
      </w:r>
      <w:r>
        <w:t xml:space="preserve"> </w:t>
      </w:r>
      <w:r>
        <w:t xml:space="preserve">The specific elements that will comprise a preregistration can be considerably diverse, as they will depend on the specific domain within linguistics and the nuanced nature of the study in question.</w:t>
      </w:r>
      <w:r>
        <w:t xml:space="preserve"> </w:t>
      </w:r>
      <w:r>
        <w:t xml:space="preserve">Consider, for instance, a psycholinguist conducting a self-paced reading study.</w:t>
      </w:r>
      <w:r>
        <w:t xml:space="preserve"> </w:t>
      </w:r>
      <w:r>
        <w:t xml:space="preserve">In this context, the focus of the preregistration might include the formulation of hypotheses, as well as a complete description of the experimental paradigm.</w:t>
      </w:r>
      <w:r>
        <w:t xml:space="preserve"> </w:t>
      </w:r>
      <w:r>
        <w:t xml:space="preserve">Additionally, the researcher may include a characterization of participant demographics, recruitment strategies, sample size considerations, independent variable manipulations, data transformations, and analytic strategies to test hypotheses.</w:t>
      </w:r>
      <w:r>
        <w:t xml:space="preserve"> </w:t>
      </w:r>
      <w:r>
        <w:t xml:space="preserve">Importantly, not all of the aforementioned components are equally prioritized in all preregistrations.</w:t>
      </w:r>
    </w:p>
    <w:p>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w:t>
      </w:r>
      <w:r>
        <w:t xml:space="preserve"> </w:t>
      </w:r>
      <w:r>
        <w:t xml:space="preserve">In such instances, researchers are encouraged to commence with elements they perceive as most valuable to their study.</w:t>
      </w:r>
      <w:r>
        <w:t xml:space="preserve"> </w:t>
      </w:r>
      <w:r>
        <w:t xml:space="preserve">Many concerns about preregistration revolve around the potential burden of</w:t>
      </w:r>
      <w:r>
        <w:t xml:space="preserve"> </w:t>
      </w:r>
      <w:r>
        <w:t xml:space="preserve">‘extra work’</w:t>
      </w:r>
      <w:r>
        <w:t xml:space="preserve">.</w:t>
      </w:r>
      <w:r>
        <w:t xml:space="preserve"> </w:t>
      </w:r>
      <w:r>
        <w:t xml:space="preserve">Conversely, preregistration is intended to streamline the workflow, fostering efficiency both in the short term and the long run, as it provides the researcher with complete control over the level of detail she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r>
        <w:t xml:space="preserve"> </w:t>
      </w:r>
      <w:r>
        <w:t xml:space="preserve"> </w:t>
      </w:r>
      <w:r>
        <w:t xml:space="preserve">We provide examples of preregistrations at the following links:</w:t>
      </w:r>
      <w:r>
        <w:t xml:space="preserve"> </w:t>
      </w:r>
      <w:hyperlink r:id="rId38">
        <w:r>
          <w:rPr>
            <w:rStyle w:val="Hyperlink"/>
          </w:rPr>
          <w:t xml:space="preserve">https://osf.io/nprgz</w:t>
        </w:r>
      </w:hyperlink>
      <w:r>
        <w:t xml:space="preserve"> </w:t>
      </w:r>
      <w:r>
        <w:t xml:space="preserve">and</w:t>
      </w:r>
      <w:r>
        <w:t xml:space="preserve"> </w:t>
      </w:r>
      <w:hyperlink r:id="rId39">
        <w:r>
          <w:rPr>
            <w:rStyle w:val="Hyperlink"/>
          </w:rPr>
          <w:t xml:space="preserve">https://osf.io/qvjzy</w:t>
        </w:r>
      </w:hyperlink>
      <w:r>
        <w:t xml:space="preserve">.</w:t>
      </w:r>
    </w:p>
    <w:bookmarkEnd w:id="40"/>
    <w:bookmarkStart w:id="45"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r>
        <w:t xml:space="preserve"> </w:t>
      </w:r>
      <w:r>
        <w:t xml:space="preserve">Registered reports (RRs) represent a new publication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r>
        <w:t xml:space="preserve"> </w:t>
      </w:r>
      <w:hyperlink w:anchor="fig-dissemination-cycle">
        <w:r>
          <w:rPr>
            <w:rStyle w:val="Hyperlink"/>
          </w:rPr>
          <w:t xml:space="preserve">Figure 2</w:t>
        </w:r>
      </w:hyperlink>
      <w:r>
        <w:t xml:space="preserve"> </w:t>
      </w:r>
      <w:r>
        <w:t xml:space="preserve">provides a side-by-side comparison of the standard publishing model and RRs.</w:t>
      </w:r>
    </w:p>
    <w:tbl>
      <w:tblPr>
        <w:tblStyle w:val="Table"/>
        <w:tblW w:type="pct" w:w="5000"/>
        <w:tblLayout w:type="fixed"/>
        <w:tblLook w:firstRow="0" w:lastRow="0" w:firstColumn="0" w:lastColumn="0" w:noHBand="0" w:noVBand="0" w:val="0000"/>
      </w:tblPr>
      <w:tblGrid>
        <w:gridCol w:w="7920"/>
      </w:tblGrid>
      <w:tr>
        <w:tc>
          <w:tcPr/>
          <w:bookmarkStart w:id="44" w:name="fig-dissemination-cycle"/>
          <w:p>
            <w:pPr>
              <w:pStyle w:val="Compact"/>
              <w:jc w:val="center"/>
            </w:pPr>
            <w:r>
              <w:drawing>
                <wp:inline>
                  <wp:extent cx="5943600" cy="3050925"/>
                  <wp:effectExtent b="0" l="0" r="0" t="0"/>
                  <wp:docPr descr="" title="" id="42" name="Picture"/>
                  <a:graphic>
                    <a:graphicData uri="http://schemas.openxmlformats.org/drawingml/2006/picture">
                      <pic:pic>
                        <pic:nvPicPr>
                          <pic:cNvPr descr="figs/dissemination-cycle/fig-dissemination-cycle.png" id="43" name="Picture"/>
                          <pic:cNvPicPr>
                            <a:picLocks noChangeArrowheads="1" noChangeAspect="1"/>
                          </pic:cNvPicPr>
                        </pic:nvPicPr>
                        <pic:blipFill>
                          <a:blip r:embed="rId41"/>
                          <a:stretch>
                            <a:fillRect/>
                          </a:stretch>
                        </pic:blipFill>
                        <pic:spPr bwMode="auto">
                          <a:xfrm>
                            <a:off x="0" y="0"/>
                            <a:ext cx="5943600" cy="305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Flow chart of the standard publication model and registered reports.</w:t>
            </w:r>
          </w:p>
          <w:bookmarkEnd w:id="44"/>
        </w:tc>
      </w:tr>
    </w:tbl>
    <w:p>
      <w:pPr>
        <w:pStyle w:val="BodyText"/>
      </w:pPr>
    </w:p>
    <w:p>
      <w:pPr>
        <w:pStyle w:val="BodyText"/>
      </w:pPr>
    </w:p>
    <w:p>
      <w:pPr>
        <w:pStyle w:val="BodyText"/>
      </w:pPr>
      <w:r>
        <w:t xml:space="preserve">RRs were first introduced in 2013 by the Center for Open Science (COS), and have since been adopted by many journals across various fields, including psychology, neuroscience, and medicine.</w:t>
      </w:r>
      <w:r>
        <w:t xml:space="preserve"> </w:t>
      </w:r>
      <w:r>
        <w:t xml:space="preserve">Preregistration is often confused with RR, but they differ in that preregistration is a separate step that occurs before the traditional publishing pipeline, whereas RR is integrated into the publishing process.</w:t>
      </w:r>
    </w:p>
    <w:p>
      <w:pPr>
        <w:pStyle w:val="BodyText"/>
      </w:pPr>
      <w:r>
        <w:t xml:space="preserve">RRs cannot solve all the problems with the current model, but they can help reduce QRPs and increase transparency in scientific research.</w:t>
      </w:r>
      <w:r>
        <w:t xml:space="preserve"> </w:t>
      </w: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45"/>
    <w:bookmarkEnd w:id="46"/>
    <w:bookmarkStart w:id="47" w:name="pre-prints"/>
    <w:p>
      <w:pPr>
        <w:pStyle w:val="Heading1"/>
      </w:pPr>
      <w:r>
        <w:t xml:space="preserve">Pre-prints</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p>
      <w:pPr>
        <w:pStyle w:val="BodyText"/>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“early view”</w:t>
      </w:r>
      <w:r>
        <w:t xml:space="preserve"> </w:t>
      </w:r>
      <w:r>
        <w:t xml:space="preserve">and</w:t>
      </w:r>
      <w:r>
        <w:t xml:space="preserve"> </w:t>
      </w:r>
      <w:r>
        <w:t xml:space="preserve">“open access”</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p>
      <w:pPr>
        <w:pStyle w:val="BodyText"/>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Additional concerns about pre-prints include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‘public good’</w:t>
      </w:r>
      <w:r>
        <w:t xml:space="preserve"> </w:t>
      </w:r>
      <w:r>
        <w:t xml:space="preserve">and pre-print platforms provide a free service to both authors and readers; at the same time, many of the existing pre-print services lack a scalable and transparent business model.</w:t>
      </w:r>
      <w:r>
        <w:t xml:space="preserve"> </w:t>
      </w:r>
      <w:r>
        <w:t xml:space="preserve">Moreover, data show that more senior researchers had more experience sharing through the format of pre-print than PhD students and ECRs in the 0-4 years group</w:t>
      </w:r>
      <w:r>
        <w:t xml:space="preserve"> </w:t>
      </w:r>
      <w:r>
        <w:t xml:space="preserve">(Liu &amp; De Cat, 2021)</w:t>
      </w:r>
      <w:r>
        <w:t xml:space="preserve">.</w:t>
      </w:r>
      <w:r>
        <w:t xml:space="preserve"> </w:t>
      </w:r>
      <w:r>
        <w:t xml:space="preserve">Nonetheless, the data collected from these surveys showed positive attitudes and willingness to contribute to open science through the submission of pre-prints.</w:t>
      </w:r>
      <w:r>
        <w:t xml:space="preserve"> </w:t>
      </w:r>
      <w:r>
        <w:t xml:space="preserve">These findings encourage ECRs to submit their research for pre-prints to receive valuable feedback from established scholars in their field of study and to increase visibility of their research, particularly in rapidly evolving fields.</w:t>
      </w:r>
    </w:p>
    <w:p>
      <w:pPr>
        <w:pStyle w:val="BodyText"/>
      </w:pPr>
      <w:r>
        <w:t xml:space="preserve">Researchers interested in making a pre-print publicly available can follow these simple steps.</w:t>
      </w:r>
      <w:r>
        <w:t xml:space="preserve"> </w:t>
      </w:r>
      <w:r>
        <w:t xml:space="preserve">First, select a pre-print server that aligns with the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the pre-print passes the screening process, the content is made available online in open access format, encouraging others to comment and share.</w:t>
      </w:r>
    </w:p>
    <w:p>
      <w:pPr>
        <w:pStyle w:val="BodyText"/>
      </w:pPr>
      <w:r>
        <w:t xml:space="preserve">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linguists can accelerate the dissemination of knowledge, improve the quality of research, and ensure that their findings are available to the widest possible audience.</w:t>
      </w:r>
    </w:p>
    <w:bookmarkEnd w:id="47"/>
    <w:bookmarkStart w:id="49" w:name="concluding-remarks"/>
    <w:p>
      <w:pPr>
        <w:pStyle w:val="Heading1"/>
      </w:pPr>
      <w:r>
        <w:t xml:space="preserve">Concluding remarks</w:t>
      </w:r>
    </w:p>
    <w:p>
      <w:pPr>
        <w:pStyle w:val="FirstParagraph"/>
      </w:pP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In the present work we have outlined eight specific open science practices, classified into three areas, that researchers in linguistics can adopt to make their research more open, transparent, inclusive, and accessible to a wider audience.</w:t>
      </w:r>
    </w:p>
    <w:p>
      <w:pPr>
        <w:pStyle w:val="BodyText"/>
      </w:pP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What does it mean for the field?</w:t>
      </w:r>
      <w:r>
        <w:t xml:space="preserve"> </w:t>
      </w:r>
      <w:r>
        <w:t xml:space="preserve">We believe that researchers—linguists specifically—have to adapt and learn the new methods of open science.</w:t>
      </w:r>
      <w:r>
        <w:t xml:space="preserve"> </w:t>
      </w:r>
      <w:r>
        <w:t xml:space="preserve">Additionally, we must, as a field, concentrate our efforts to train current students/ECRs in open, transparent research practices.</w:t>
      </w:r>
      <w:r>
        <w:t xml:space="preserve"> </w:t>
      </w:r>
      <w:r>
        <w:t xml:space="preserve">This necessarily implies providing a framework for senior researchers to learn open science, if we intend for them to train the next generation of linguists.</w:t>
      </w:r>
      <w:r>
        <w:t xml:space="preserve"> </w:t>
      </w:r>
      <w:r>
        <w:t xml:space="preserve">Furthermore, linguistic journals must to adapt to new models of publishing.</w:t>
      </w:r>
    </w:p>
    <w:p>
      <w:pPr>
        <w:pStyle w:val="BodyText"/>
      </w:pPr>
      <w:r>
        <w:t xml:space="preserve">While open science provides novel techniques and integrates state-of-the-art innovations, it also comes with challenges, particularly with regard to the steep learning curve researchers face when learning these new methods.</w:t>
      </w:r>
      <w:r>
        <w:t xml:space="preserve"> </w:t>
      </w:r>
      <w:r>
        <w:t xml:space="preserve">We advocate for the</w:t>
      </w:r>
      <w:r>
        <w:t xml:space="preserve"> </w:t>
      </w:r>
      <w:r>
        <w:t xml:space="preserve">“buffet”</w:t>
      </w:r>
      <w:r>
        <w:t xml:space="preserve"> </w:t>
      </w:r>
      <w:r>
        <w:t xml:space="preserve">approach, in which select open science practices are integrated into the researcher’s workflow slowly over time</w:t>
      </w:r>
      <w:r>
        <w:t xml:space="preserve"> </w:t>
      </w:r>
      <w:r>
        <w:t xml:space="preserve">(e.g., Bergmann, 2018)</w:t>
      </w:r>
      <w:r>
        <w:t xml:space="preserve">.</w:t>
      </w:r>
      <w:r>
        <w:t xml:space="preserve"> </w:t>
      </w:r>
      <w:r>
        <w:t xml:space="preserve">We have provided descriptions and relevant examples of these practices to accompany the many guides already available for learning open science</w:t>
      </w:r>
      <w:r>
        <w:t xml:space="preserve"> </w:t>
      </w:r>
      <w:r>
        <w:t xml:space="preserve">(e.g., Crüwell et al., 2018; Lewis, 2020)</w:t>
      </w:r>
      <w:r>
        <w:t xml:space="preserve">.</w:t>
      </w:r>
      <w:r>
        <w:t xml:space="preserve"> </w:t>
      </w:r>
      <w:r>
        <w:t xml:space="preserve">Crucially, the purpose of this article is to help foster open science in linguistics (FOSIL).</w:t>
      </w:r>
      <w:r>
        <w:t xml:space="preserve"> </w:t>
      </w:r>
      <w:r>
        <w:t xml:space="preserve">We leave the interested reader with a series of tutorials designed for linguists:</w:t>
      </w:r>
      <w:r>
        <w:t xml:space="preserve"> </w:t>
      </w:r>
      <w:hyperlink r:id="rId48">
        <w:r>
          <w:rPr>
            <w:rStyle w:val="Hyperlink"/>
          </w:rPr>
          <w:t xml:space="preserve">https://FOSIL-project.github.io</w:t>
        </w:r>
      </w:hyperlink>
      <w:r>
        <w:t xml:space="preserve">.</w:t>
      </w:r>
      <w:r>
        <w:t xml:space="preserve"> </w:t>
      </w:r>
      <w:r>
        <w:t xml:space="preserve">The FOSIL project details many of the open, transparent practices described here with crowd sourced translations into various languages other than English with the goal of making open science practices clear and accessible to all individuals conducting research in the field of linguistics.</w:t>
      </w:r>
    </w:p>
    <w:p>
      <w:r>
        <w:br w:type="page"/>
      </w:r>
    </w:p>
    <w:bookmarkEnd w:id="49"/>
    <w:bookmarkStart w:id="132" w:name="references"/>
    <w:p>
      <w:pPr>
        <w:pStyle w:val="Heading1"/>
      </w:pPr>
      <w:r>
        <w:t xml:space="preserve">References</w:t>
      </w:r>
    </w:p>
    <w:bookmarkStart w:id="131" w:name="refs"/>
    <w:bookmarkStart w:id="51"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
          <w:iCs/>
        </w:rPr>
        <w:t xml:space="preserve">Qualitative Research</w:t>
      </w:r>
      <w:r>
        <w:t xml:space="preserve">,</w:t>
      </w:r>
      <w:r>
        <w:t xml:space="preserve"> </w:t>
      </w:r>
      <w:r>
        <w:rPr>
          <w:i/>
          <w:iCs/>
        </w:rPr>
        <w:t xml:space="preserve">15</w:t>
      </w:r>
      <w:r>
        <w:t xml:space="preserve">(2), 219–234.</w:t>
      </w:r>
      <w:r>
        <w:t xml:space="preserve"> </w:t>
      </w:r>
      <w:hyperlink r:id="rId50">
        <w:r>
          <w:rPr>
            <w:rStyle w:val="Hyperlink"/>
          </w:rPr>
          <w:t xml:space="preserve">https://doi.org/10.1177/1468794112468</w:t>
        </w:r>
      </w:hyperlink>
    </w:p>
    <w:bookmarkEnd w:id="51"/>
    <w:bookmarkStart w:id="52" w:name="ref-bergmann2018integrate"/>
    <w:p>
      <w:pPr>
        <w:pStyle w:val="Bibliography"/>
      </w:pPr>
      <w:r>
        <w:t xml:space="preserve">Bergmann, C. (2018). How to integrate open science into language acquisition research?</w:t>
      </w:r>
      <w:r>
        <w:t xml:space="preserve"> </w:t>
      </w:r>
      <w:r>
        <w:rPr>
          <w:i/>
          <w:iCs/>
        </w:rPr>
        <w:t xml:space="preserve">The 43rd Annual Boston University Conference on Language Development (BUCLD 43), Boston, USA</w:t>
      </w:r>
      <w:r>
        <w:t xml:space="preserve">.</w:t>
      </w:r>
    </w:p>
    <w:bookmarkEnd w:id="52"/>
    <w:bookmarkStart w:id="54"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 18), 1–36.</w:t>
      </w:r>
      <w:r>
        <w:t xml:space="preserve"> </w:t>
      </w:r>
      <w:hyperlink r:id="rId53">
        <w:r>
          <w:rPr>
            <w:rStyle w:val="Hyperlink"/>
          </w:rPr>
          <w:t xml:space="preserve">https://doi.org/10.5070/G6011239</w:t>
        </w:r>
      </w:hyperlink>
    </w:p>
    <w:bookmarkEnd w:id="54"/>
    <w:bookmarkStart w:id="56"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
          <w:iCs/>
        </w:rPr>
        <w:t xml:space="preserve">Language and Linguistics Compass</w:t>
      </w:r>
      <w:r>
        <w:t xml:space="preserve">,</w:t>
      </w:r>
      <w:r>
        <w:t xml:space="preserve"> </w:t>
      </w:r>
      <w:r>
        <w:rPr>
          <w:i/>
          <w:iCs/>
        </w:rPr>
        <w:t xml:space="preserve">17</w:t>
      </w:r>
      <w:r>
        <w:t xml:space="preserve">(4), 1–15.</w:t>
      </w:r>
      <w:r>
        <w:t xml:space="preserve"> </w:t>
      </w:r>
      <w:hyperlink r:id="rId55">
        <w:r>
          <w:rPr>
            <w:rStyle w:val="Hyperlink"/>
          </w:rPr>
          <w:t xml:space="preserve">https://doi.org/10.1111/lnc3.12495</w:t>
        </w:r>
      </w:hyperlink>
    </w:p>
    <w:bookmarkEnd w:id="56"/>
    <w:bookmarkStart w:id="58" w:name="ref-camerer2016evaluating"/>
    <w:p>
      <w:pPr>
        <w:pStyle w:val="Bibliography"/>
      </w:pPr>
      <w:r>
        <w:t xml:space="preserve">Camerer, C. F., Dreber, A., Forsell, E., Ho, T.-H., Huber, J., Johannesson, M., et al.others. (2016). Evaluating replicability of laboratory experiments in economics.</w:t>
      </w:r>
      <w:r>
        <w:t xml:space="preserve"> </w:t>
      </w:r>
      <w:r>
        <w:rPr>
          <w:i/>
          <w:iCs/>
        </w:rPr>
        <w:t xml:space="preserve">Science</w:t>
      </w:r>
      <w:r>
        <w:t xml:space="preserve">,</w:t>
      </w:r>
      <w:r>
        <w:t xml:space="preserve"> </w:t>
      </w:r>
      <w:r>
        <w:rPr>
          <w:i/>
          <w:iCs/>
        </w:rPr>
        <w:t xml:space="preserve">351</w:t>
      </w:r>
      <w:r>
        <w:t xml:space="preserve">(6280), 1433–1436.</w:t>
      </w:r>
      <w:r>
        <w:t xml:space="preserve"> </w:t>
      </w:r>
      <w:hyperlink r:id="rId57">
        <w:r>
          <w:rPr>
            <w:rStyle w:val="Hyperlink"/>
          </w:rPr>
          <w:t xml:space="preserve">https://doi.org/10.1126/science.aaf091</w:t>
        </w:r>
      </w:hyperlink>
    </w:p>
    <w:bookmarkEnd w:id="58"/>
    <w:bookmarkStart w:id="60"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59">
        <w:r>
          <w:rPr>
            <w:rStyle w:val="Hyperlink"/>
          </w:rPr>
          <w:t xml:space="preserve">https://doi.org/10.1038/s41562-018-0399-z</w:t>
        </w:r>
      </w:hyperlink>
    </w:p>
    <w:bookmarkEnd w:id="60"/>
    <w:bookmarkStart w:id="62" w:name="ref-casillas2021interlingual"/>
    <w:p>
      <w:pPr>
        <w:pStyle w:val="Bibliography"/>
      </w:pPr>
      <w:r>
        <w:t xml:space="preserve">Casillas, J. V. (2021). Interlingual interactions elicit performance mismatches not "compromise" categories in early bilinguals: Evidence from meta-analysis and coronal stops.</w:t>
      </w:r>
      <w:r>
        <w:t xml:space="preserve"> </w:t>
      </w:r>
      <w:r>
        <w:rPr>
          <w:i/>
          <w:iCs/>
        </w:rPr>
        <w:t xml:space="preserve">Languages</w:t>
      </w:r>
      <w:r>
        <w:t xml:space="preserve">,</w:t>
      </w:r>
      <w:r>
        <w:t xml:space="preserve"> </w:t>
      </w:r>
      <w:r>
        <w:rPr>
          <w:i/>
          <w:iCs/>
        </w:rPr>
        <w:t xml:space="preserve">6</w:t>
      </w:r>
      <w:r>
        <w:t xml:space="preserve">(1), 9.</w:t>
      </w:r>
      <w:r>
        <w:t xml:space="preserve"> </w:t>
      </w:r>
      <w:hyperlink r:id="rId61">
        <w:r>
          <w:rPr>
            <w:rStyle w:val="Hyperlink"/>
          </w:rPr>
          <w:t xml:space="preserve">https://doi.org/10.3390/languages6010009</w:t>
        </w:r>
      </w:hyperlink>
    </w:p>
    <w:bookmarkEnd w:id="62"/>
    <w:bookmarkStart w:id="64" w:name="ref-msa"/>
    <w:p>
      <w:pPr>
        <w:pStyle w:val="Bibliography"/>
      </w:pPr>
      <w:r>
        <w:t xml:space="preserve">Coretta, S., Casillas, J. V., Roessig, S., Franke, M., Ahn, B., Al-Hoorie, A. H., … Roettger, T. B. (2023). Multidimensional signals and analytic flexibility: Estimating degrees of freedom in human-speech analyses.</w:t>
      </w:r>
      <w:r>
        <w:t xml:space="preserve"> </w:t>
      </w:r>
      <w:r>
        <w:rPr>
          <w:i/>
          <w:iCs/>
        </w:rPr>
        <w:t xml:space="preserve">Advances in Methods and Practices in Psychological Science</w:t>
      </w:r>
      <w:r>
        <w:t xml:space="preserve">,</w:t>
      </w:r>
      <w:r>
        <w:t xml:space="preserve"> </w:t>
      </w:r>
      <w:r>
        <w:rPr>
          <w:i/>
          <w:iCs/>
        </w:rPr>
        <w:t xml:space="preserve">6</w:t>
      </w:r>
      <w:r>
        <w:t xml:space="preserve">(3), 1–29.</w:t>
      </w:r>
      <w:r>
        <w:t xml:space="preserve"> </w:t>
      </w:r>
      <w:hyperlink r:id="rId63">
        <w:r>
          <w:rPr>
            <w:rStyle w:val="Hyperlink"/>
          </w:rPr>
          <w:t xml:space="preserve">https://doi.org/10.1177/25152459231162567</w:t>
        </w:r>
      </w:hyperlink>
    </w:p>
    <w:bookmarkEnd w:id="64"/>
    <w:bookmarkStart w:id="66" w:name="ref-cristea2018"/>
    <w:p>
      <w:pPr>
        <w:pStyle w:val="Bibliography"/>
      </w:pPr>
      <w:r>
        <w:t xml:space="preserve">Cristea, I.-A., &amp; Ioannidis, J. P. A. (2018). Improving disclosure of financial conflicts of interest for research on psychosocial interventions.</w:t>
      </w:r>
      <w:r>
        <w:t xml:space="preserve"> </w:t>
      </w:r>
      <w:r>
        <w:rPr>
          <w:i/>
          <w:iCs/>
        </w:rPr>
        <w:t xml:space="preserve">JAMA Psychiatry</w:t>
      </w:r>
      <w:r>
        <w:t xml:space="preserve">,</w:t>
      </w:r>
      <w:r>
        <w:t xml:space="preserve"> </w:t>
      </w:r>
      <w:r>
        <w:rPr>
          <w:i/>
          <w:iCs/>
        </w:rPr>
        <w:t xml:space="preserve">75</w:t>
      </w:r>
      <w:r>
        <w:t xml:space="preserve">(6), 541–542.</w:t>
      </w:r>
      <w:r>
        <w:t xml:space="preserve"> </w:t>
      </w:r>
      <w:hyperlink r:id="rId65">
        <w:r>
          <w:rPr>
            <w:rStyle w:val="Hyperlink"/>
          </w:rPr>
          <w:t xml:space="preserve">https://doi.org/10.1001/jamapsychiatry.2018.0382</w:t>
        </w:r>
      </w:hyperlink>
    </w:p>
    <w:bookmarkEnd w:id="66"/>
    <w:bookmarkStart w:id="68" w:name="ref-cruwell20187"/>
    <w:p>
      <w:pPr>
        <w:pStyle w:val="Bibliography"/>
      </w:pPr>
      <w:r>
        <w:t xml:space="preserve">Crüwell, S., Doorn, J. van, Etz, A., Makel, M. C., Moshontz, H., Niebaum, J., … Schulte-Mecklenbeck, M. (2018).</w:t>
      </w:r>
      <w:r>
        <w:t xml:space="preserve"> </w:t>
      </w:r>
      <w:r>
        <w:rPr>
          <w:i/>
          <w:iCs/>
        </w:rPr>
        <w:t xml:space="preserve">7 easy steps to open science: An annotated reading list</w:t>
      </w:r>
      <w:r>
        <w:t xml:space="preserve">.</w:t>
      </w:r>
      <w:r>
        <w:t xml:space="preserve"> </w:t>
      </w:r>
      <w:hyperlink r:id="rId67">
        <w:r>
          <w:rPr>
            <w:rStyle w:val="Hyperlink"/>
          </w:rPr>
          <w:t xml:space="preserve">https://doi.org/10.1027/2151-2604/a000387</w:t>
        </w:r>
      </w:hyperlink>
    </w:p>
    <w:bookmarkEnd w:id="68"/>
    <w:bookmarkStart w:id="69"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
          <w:iCs/>
        </w:rPr>
        <w:t xml:space="preserve">Digital libraries: Sustainable development in education</w:t>
      </w:r>
      <w:r>
        <w:t xml:space="preserve"> </w:t>
      </w:r>
      <w:r>
        <w:t xml:space="preserve">(pp. 525–545). National Digital Library of India, IIT Kharagpur.</w:t>
      </w:r>
    </w:p>
    <w:bookmarkEnd w:id="69"/>
    <w:bookmarkStart w:id="71" w:name="ref-de2006but"/>
    <w:p>
      <w:pPr>
        <w:pStyle w:val="Bibliography"/>
      </w:pPr>
      <w:r>
        <w:t xml:space="preserve">De Tona, C. et al. (2006). But what is interesting is the story of why and how migration happened.</w:t>
      </w:r>
      <w:r>
        <w:t xml:space="preserve"> </w:t>
      </w:r>
      <w:r>
        <w:rPr>
          <w:i/>
          <w:iCs/>
        </w:rPr>
        <w:t xml:space="preserve">Forum: Qualitative Social Research</w:t>
      </w:r>
      <w:r>
        <w:t xml:space="preserve">,</w:t>
      </w:r>
      <w:r>
        <w:t xml:space="preserve"> </w:t>
      </w:r>
      <w:r>
        <w:rPr>
          <w:i/>
          <w:iCs/>
        </w:rPr>
        <w:t xml:space="preserve">7</w:t>
      </w:r>
      <w:r>
        <w:t xml:space="preserve">(3), 1–12.</w:t>
      </w:r>
      <w:r>
        <w:t xml:space="preserve"> </w:t>
      </w:r>
      <w:hyperlink r:id="rId70">
        <w:r>
          <w:rPr>
            <w:rStyle w:val="Hyperlink"/>
          </w:rPr>
          <w:t xml:space="preserve">https://doi.org/10.17169/fqs-7.3.143</w:t>
        </w:r>
      </w:hyperlink>
    </w:p>
    <w:bookmarkEnd w:id="71"/>
    <w:bookmarkStart w:id="73"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
          <w:iCs/>
        </w:rPr>
        <w:t xml:space="preserve">Elife</w:t>
      </w:r>
      <w:r>
        <w:t xml:space="preserve">,</w:t>
      </w:r>
      <w:r>
        <w:t xml:space="preserve"> </w:t>
      </w:r>
      <w:r>
        <w:rPr>
          <w:i/>
          <w:iCs/>
        </w:rPr>
        <w:t xml:space="preserve">10</w:t>
      </w:r>
      <w:r>
        <w:t xml:space="preserve">, e71601.</w:t>
      </w:r>
      <w:r>
        <w:t xml:space="preserve"> </w:t>
      </w:r>
      <w:hyperlink r:id="rId72">
        <w:r>
          <w:rPr>
            <w:rStyle w:val="Hyperlink"/>
          </w:rPr>
          <w:t xml:space="preserve">https://doi.org/10.7554/eLife.71601</w:t>
        </w:r>
      </w:hyperlink>
    </w:p>
    <w:bookmarkEnd w:id="73"/>
    <w:bookmarkStart w:id="75" w:name="ref-ettinger_2022"/>
    <w:p>
      <w:pPr>
        <w:pStyle w:val="Bibliography"/>
      </w:pPr>
      <w:r>
        <w:t xml:space="preserve">Ettinger, C. L., Sadanandappa, M. K., Görgülü, K., Coghlan, K. L., Hallenbeck, K. K., &amp; Puebla, I. (2022). A guide to preprinting for early-career researchers.</w:t>
      </w:r>
      <w:r>
        <w:t xml:space="preserve"> </w:t>
      </w:r>
      <w:r>
        <w:rPr>
          <w:i/>
          <w:iCs/>
        </w:rPr>
        <w:t xml:space="preserve">Biology Open</w:t>
      </w:r>
      <w:r>
        <w:t xml:space="preserve">,</w:t>
      </w:r>
      <w:r>
        <w:t xml:space="preserve"> </w:t>
      </w:r>
      <w:r>
        <w:rPr>
          <w:i/>
          <w:iCs/>
        </w:rPr>
        <w:t xml:space="preserve">11</w:t>
      </w:r>
      <w:r>
        <w:t xml:space="preserve">(7), 1–8.</w:t>
      </w:r>
      <w:r>
        <w:t xml:space="preserve"> </w:t>
      </w:r>
      <w:hyperlink r:id="rId74">
        <w:r>
          <w:rPr>
            <w:rStyle w:val="Hyperlink"/>
          </w:rPr>
          <w:t xml:space="preserve">https://doi.org/10.1242/bio.059310</w:t>
        </w:r>
      </w:hyperlink>
    </w:p>
    <w:bookmarkEnd w:id="75"/>
    <w:bookmarkStart w:id="77" w:name="ref-forrt2021"/>
    <w:p>
      <w:pPr>
        <w:pStyle w:val="Bibliography"/>
      </w:pPr>
      <w:r>
        <w:t xml:space="preserve">FORRT. (2021). Reproducibility crisis (a.k.a. Replicability or replication crisis). Retrieved from</w:t>
      </w:r>
      <w:r>
        <w:t xml:space="preserve"> </w:t>
      </w:r>
      <w:hyperlink r:id="rId76">
        <w:r>
          <w:rPr>
            <w:rStyle w:val="Hyperlink"/>
          </w:rPr>
          <w:t xml:space="preserve">https://forrt.org/glossary/reproducibility-crisis-aka-replicab/</w:t>
        </w:r>
      </w:hyperlink>
    </w:p>
    <w:bookmarkEnd w:id="77"/>
    <w:bookmarkStart w:id="78" w:name="ref-foster2017open"/>
    <w:p>
      <w:pPr>
        <w:pStyle w:val="Bibliography"/>
      </w:pPr>
      <w:r>
        <w:t xml:space="preserve">Foster, E. D., &amp; Deardorff, A. (2017).</w:t>
      </w:r>
      <w:r>
        <w:t xml:space="preserve"> </w:t>
      </w:r>
      <w:r>
        <w:t xml:space="preserve">Open Science Framework (OSF)</w:t>
      </w:r>
      <w:r>
        <w:t xml:space="preserve">.</w:t>
      </w:r>
      <w:r>
        <w:t xml:space="preserve"> </w:t>
      </w:r>
      <w:r>
        <w:rPr>
          <w:i/>
          <w:iCs/>
        </w:rPr>
        <w:t xml:space="preserve">Journal of the Medical Library Association: JMLA</w:t>
      </w:r>
      <w:r>
        <w:t xml:space="preserve">,</w:t>
      </w:r>
      <w:r>
        <w:t xml:space="preserve"> </w:t>
      </w:r>
      <w:r>
        <w:rPr>
          <w:i/>
          <w:iCs/>
        </w:rPr>
        <w:t xml:space="preserve">105</w:t>
      </w:r>
      <w:r>
        <w:t xml:space="preserve">(2), 203.</w:t>
      </w:r>
    </w:p>
    <w:bookmarkEnd w:id="78"/>
    <w:bookmarkStart w:id="80" w:name="ref-hardwicke2022"/>
    <w:p>
      <w:pPr>
        <w:pStyle w:val="Bibliography"/>
      </w:pPr>
      <w:r>
        <w:t xml:space="preserve">Hardwicke, T. E., Thibault, R. T., Kosie, J. E., Wallach, J. D., Kidwell, M. C., &amp; Ioannidis, J. P. A. (2022). Estimating the prevalence of transparency and reproducibility-related research practices in psychology (2014–2017).</w:t>
      </w:r>
      <w:r>
        <w:t xml:space="preserve"> </w:t>
      </w:r>
      <w:r>
        <w:rPr>
          <w:i/>
          <w:iCs/>
        </w:rPr>
        <w:t xml:space="preserve">Perspectives on Psychological Science</w:t>
      </w:r>
      <w:r>
        <w:t xml:space="preserve">,</w:t>
      </w:r>
      <w:r>
        <w:t xml:space="preserve"> </w:t>
      </w:r>
      <w:r>
        <w:rPr>
          <w:i/>
          <w:iCs/>
        </w:rPr>
        <w:t xml:space="preserve">17</w:t>
      </w:r>
      <w:r>
        <w:t xml:space="preserve">(1), 239–251.</w:t>
      </w:r>
      <w:r>
        <w:t xml:space="preserve"> </w:t>
      </w:r>
      <w:hyperlink r:id="rId79">
        <w:r>
          <w:rPr>
            <w:rStyle w:val="Hyperlink"/>
          </w:rPr>
          <w:t xml:space="preserve">https://doi.org/10.1177/1745691620979806</w:t>
        </w:r>
      </w:hyperlink>
    </w:p>
    <w:bookmarkEnd w:id="80"/>
    <w:bookmarkStart w:id="82" w:name="ref-hardwicke2020empirical"/>
    <w:p>
      <w:pPr>
        <w:pStyle w:val="Bibliography"/>
      </w:pPr>
      <w:r>
        <w:t xml:space="preserve">Hardwicke, T. E., Wallach, J. D., Kidwell, M. C., Bendixen, T., Crüwell, S., &amp; Ioannidis, J. P. A. (2020). An empirical assessment of transparency and reproducibility-related research practices in the social sciences (2014–2017).</w:t>
      </w:r>
      <w:r>
        <w:t xml:space="preserve"> </w:t>
      </w:r>
      <w:r>
        <w:rPr>
          <w:i/>
          <w:iCs/>
        </w:rPr>
        <w:t xml:space="preserve">Royal Society Open Science</w:t>
      </w:r>
      <w:r>
        <w:t xml:space="preserve">,</w:t>
      </w:r>
      <w:r>
        <w:t xml:space="preserve"> </w:t>
      </w:r>
      <w:r>
        <w:rPr>
          <w:i/>
          <w:iCs/>
        </w:rPr>
        <w:t xml:space="preserve">7</w:t>
      </w:r>
      <w:r>
        <w:t xml:space="preserve">(2), 1–10.</w:t>
      </w:r>
      <w:r>
        <w:t xml:space="preserve"> </w:t>
      </w:r>
      <w:hyperlink r:id="rId81">
        <w:r>
          <w:rPr>
            <w:rStyle w:val="Hyperlink"/>
          </w:rPr>
          <w:t xml:space="preserve">https://doi.org/10.1098/rsos.190806</w:t>
        </w:r>
      </w:hyperlink>
    </w:p>
    <w:bookmarkEnd w:id="82"/>
    <w:bookmarkStart w:id="84" w:name="ref-holmes2020researcher"/>
    <w:p>
      <w:pPr>
        <w:pStyle w:val="Bibliography"/>
      </w:pPr>
      <w:r>
        <w:t xml:space="preserve">Holmes, A. G. D. (2020). Researcher positionality–a consideration of its influence and place in qualitative research–a new researcher guide.</w:t>
      </w:r>
      <w:r>
        <w:t xml:space="preserve"> </w:t>
      </w:r>
      <w:r>
        <w:rPr>
          <w:i/>
          <w:iCs/>
        </w:rPr>
        <w:t xml:space="preserve">Shanlax International Journal of Education</w:t>
      </w:r>
      <w:r>
        <w:t xml:space="preserve">,</w:t>
      </w:r>
      <w:r>
        <w:t xml:space="preserve"> </w:t>
      </w:r>
      <w:r>
        <w:rPr>
          <w:i/>
          <w:iCs/>
        </w:rPr>
        <w:t xml:space="preserve">8</w:t>
      </w:r>
      <w:r>
        <w:t xml:space="preserve">(4), 1–10.</w:t>
      </w:r>
      <w:r>
        <w:t xml:space="preserve"> </w:t>
      </w:r>
      <w:hyperlink r:id="rId83">
        <w:r>
          <w:rPr>
            <w:rStyle w:val="Hyperlink"/>
          </w:rPr>
          <w:t xml:space="preserve">https://doi.org/10.34293/education.v8i4.3232</w:t>
        </w:r>
      </w:hyperlink>
    </w:p>
    <w:bookmarkEnd w:id="84"/>
    <w:bookmarkStart w:id="86" w:name="ref-jafar2018positionality"/>
    <w:p>
      <w:pPr>
        <w:pStyle w:val="Bibliography"/>
      </w:pPr>
      <w:r>
        <w:t xml:space="preserve">Jafar, A. J. N. (2018). What is positionality and should it be expressed in quantitative studies?</w:t>
      </w:r>
      <w:r>
        <w:t xml:space="preserve"> </w:t>
      </w:r>
      <w:r>
        <w:rPr>
          <w:i/>
          <w:iCs/>
        </w:rPr>
        <w:t xml:space="preserve">Emergency Medicine Journal</w:t>
      </w:r>
      <w:r>
        <w:t xml:space="preserve">,</w:t>
      </w:r>
      <w:r>
        <w:t xml:space="preserve"> </w:t>
      </w:r>
      <w:r>
        <w:rPr>
          <w:i/>
          <w:iCs/>
        </w:rPr>
        <w:t xml:space="preserve">35</w:t>
      </w:r>
      <w:r>
        <w:t xml:space="preserve">(5), 323–324.</w:t>
      </w:r>
      <w:r>
        <w:t xml:space="preserve"> </w:t>
      </w:r>
      <w:hyperlink r:id="rId85">
        <w:r>
          <w:rPr>
            <w:rStyle w:val="Hyperlink"/>
          </w:rPr>
          <w:t xml:space="preserve">https://doi.org/10.1136/emermed-2017-207158</w:t>
        </w:r>
      </w:hyperlink>
    </w:p>
    <w:bookmarkEnd w:id="86"/>
    <w:bookmarkStart w:id="88"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r>
        <w:t xml:space="preserve"> </w:t>
      </w:r>
      <w:hyperlink r:id="rId87">
        <w:r>
          <w:rPr>
            <w:rStyle w:val="Hyperlink"/>
          </w:rPr>
          <w:t xml:space="preserve">https://doi.org/10.1093/comjnl/27.2.97</w:t>
        </w:r>
      </w:hyperlink>
    </w:p>
    <w:bookmarkEnd w:id="88"/>
    <w:bookmarkStart w:id="89" w:name="ref-knuth1992"/>
    <w:p>
      <w:pPr>
        <w:pStyle w:val="Bibliography"/>
      </w:pPr>
      <w:r>
        <w:t xml:space="preserve">Knuth, D. E. (1992).</w:t>
      </w:r>
      <w:r>
        <w:t xml:space="preserve"> </w:t>
      </w:r>
      <w:r>
        <w:rPr>
          <w:i/>
          <w:iCs/>
        </w:rPr>
        <w:t xml:space="preserve">Literate programming</w:t>
      </w:r>
      <w:r>
        <w:t xml:space="preserve">. Center for the Study of Language; Information, Stanford University, CA: Distributed by Univiversity of Chicago Press.</w:t>
      </w:r>
    </w:p>
    <w:bookmarkEnd w:id="89"/>
    <w:bookmarkStart w:id="91" w:name="ref-targets2021"/>
    <w:p>
      <w:pPr>
        <w:pStyle w:val="Bibliography"/>
      </w:pPr>
      <w:r>
        <w:t xml:space="preserve">Landau, W. M. (2021). The targets</w:t>
      </w:r>
      <w:r>
        <w:t xml:space="preserve"> </w:t>
      </w:r>
      <w:r>
        <w:t xml:space="preserve">R</w:t>
      </w:r>
      <w:r>
        <w:t xml:space="preserve"> </w:t>
      </w:r>
      <w:r>
        <w:t xml:space="preserve">package: A dynamic make-like function-oriented pipeline toolkit for reproducibility and high-performance computing.</w:t>
      </w:r>
      <w:r>
        <w:t xml:space="preserve"> </w:t>
      </w:r>
      <w:r>
        <w:rPr>
          <w:i/>
          <w:iCs/>
        </w:rPr>
        <w:t xml:space="preserve">Journal of Open Source Software</w:t>
      </w:r>
      <w:r>
        <w:t xml:space="preserve">,</w:t>
      </w:r>
      <w:r>
        <w:t xml:space="preserve"> </w:t>
      </w:r>
      <w:r>
        <w:rPr>
          <w:i/>
          <w:iCs/>
        </w:rPr>
        <w:t xml:space="preserve">6</w:t>
      </w:r>
      <w:r>
        <w:t xml:space="preserve">(57), 2959. Retrieved from</w:t>
      </w:r>
      <w:r>
        <w:t xml:space="preserve"> </w:t>
      </w:r>
      <w:hyperlink r:id="rId90">
        <w:r>
          <w:rPr>
            <w:rStyle w:val="Hyperlink"/>
          </w:rPr>
          <w:t xml:space="preserve">https://doi.org/10.21105/joss.02959</w:t>
        </w:r>
      </w:hyperlink>
    </w:p>
    <w:bookmarkEnd w:id="91"/>
    <w:bookmarkStart w:id="93" w:name="ref-lewis2020open"/>
    <w:p>
      <w:pPr>
        <w:pStyle w:val="Bibliography"/>
      </w:pPr>
      <w:r>
        <w:t xml:space="preserve">Lewis, N. A. (2020). Open communication science: A primer on why and some recommendations for how.</w:t>
      </w:r>
      <w:r>
        <w:t xml:space="preserve"> </w:t>
      </w:r>
      <w:r>
        <w:rPr>
          <w:i/>
          <w:iCs/>
        </w:rPr>
        <w:t xml:space="preserve">Communication Methods and Measures</w:t>
      </w:r>
      <w:r>
        <w:t xml:space="preserve">,</w:t>
      </w:r>
      <w:r>
        <w:t xml:space="preserve"> </w:t>
      </w:r>
      <w:r>
        <w:rPr>
          <w:i/>
          <w:iCs/>
        </w:rPr>
        <w:t xml:space="preserve">14</w:t>
      </w:r>
      <w:r>
        <w:t xml:space="preserve">(2), 71–82.</w:t>
      </w:r>
      <w:r>
        <w:t xml:space="preserve"> </w:t>
      </w:r>
      <w:hyperlink r:id="rId92">
        <w:r>
          <w:rPr>
            <w:rStyle w:val="Hyperlink"/>
          </w:rPr>
          <w:t xml:space="preserve">https://doi.org/10.1080/19312458.2019.1685660</w:t>
        </w:r>
      </w:hyperlink>
    </w:p>
    <w:bookmarkEnd w:id="93"/>
    <w:bookmarkStart w:id="94" w:name="ref-liu2021open"/>
    <w:p>
      <w:pPr>
        <w:pStyle w:val="Bibliography"/>
      </w:pPr>
      <w:r>
        <w:t xml:space="preserve">Liu, M., &amp; De Cat, C. (2021). Open science in applied linguistics: A preliminary survey. In L. Plonsky (Ed.),</w:t>
      </w:r>
      <w:r>
        <w:t xml:space="preserve"> </w:t>
      </w:r>
      <w:r>
        <w:rPr>
          <w:i/>
          <w:iCs/>
        </w:rPr>
        <w:t xml:space="preserve">Open science in applied linguistics</w:t>
      </w:r>
      <w:r>
        <w:t xml:space="preserve"> </w:t>
      </w:r>
      <w:r>
        <w:t xml:space="preserve">(pp. 1–28). John Benjamins.</w:t>
      </w:r>
    </w:p>
    <w:bookmarkEnd w:id="94"/>
    <w:bookmarkStart w:id="96"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95">
        <w:r>
          <w:rPr>
            <w:rStyle w:val="Hyperlink"/>
          </w:rPr>
          <w:t xml:space="preserve">https://youtu.be/0Rnq1NpHdmw?si=6tIMWkEbOY47rhaE</w:t>
        </w:r>
      </w:hyperlink>
    </w:p>
    <w:bookmarkEnd w:id="96"/>
    <w:bookmarkStart w:id="98" w:name="ref-open2023"/>
    <w:p>
      <w:pPr>
        <w:pStyle w:val="Bibliography"/>
      </w:pPr>
      <w:r>
        <w:t xml:space="preserve">Open Knowledge. (2023).</w:t>
      </w:r>
      <w:r>
        <w:t xml:space="preserve"> </w:t>
      </w:r>
      <w:r>
        <w:t xml:space="preserve">The Open Definition</w:t>
      </w:r>
      <w:r>
        <w:t xml:space="preserve">. Retrieved from</w:t>
      </w:r>
      <w:r>
        <w:t xml:space="preserve"> </w:t>
      </w:r>
      <w:hyperlink r:id="rId97">
        <w:r>
          <w:rPr>
            <w:rStyle w:val="Hyperlink"/>
          </w:rPr>
          <w:t xml:space="preserve">https://opendefinition.org</w:t>
        </w:r>
      </w:hyperlink>
    </w:p>
    <w:bookmarkEnd w:id="98"/>
    <w:bookmarkStart w:id="100" w:name="ref-open2015estimating"/>
    <w:p>
      <w:pPr>
        <w:pStyle w:val="Bibliography"/>
      </w:pPr>
      <w:r>
        <w:t xml:space="preserve">Open Science Collaboration. (2015). Estimating the reproducibility of psychological science.</w:t>
      </w:r>
      <w:r>
        <w:t xml:space="preserve"> </w:t>
      </w:r>
      <w:r>
        <w:rPr>
          <w:i/>
          <w:iCs/>
        </w:rPr>
        <w:t xml:space="preserve">Science</w:t>
      </w:r>
      <w:r>
        <w:t xml:space="preserve">,</w:t>
      </w:r>
      <w:r>
        <w:t xml:space="preserve"> </w:t>
      </w:r>
      <w:r>
        <w:rPr>
          <w:i/>
          <w:iCs/>
        </w:rPr>
        <w:t xml:space="preserve">349</w:t>
      </w:r>
      <w:r>
        <w:t xml:space="preserve">(6251), aac4716.</w:t>
      </w:r>
      <w:r>
        <w:t xml:space="preserve"> </w:t>
      </w:r>
      <w:hyperlink r:id="rId99">
        <w:r>
          <w:rPr>
            <w:rStyle w:val="Hyperlink"/>
          </w:rPr>
          <w:t xml:space="preserve">https://doi.org/10.1126/science.aac4716</w:t>
        </w:r>
      </w:hyperlink>
    </w:p>
    <w:bookmarkEnd w:id="100"/>
    <w:bookmarkStart w:id="102" w:name="ref-parsons2022community"/>
    <w:p>
      <w:pPr>
        <w:pStyle w:val="Bibliography"/>
      </w:pPr>
      <w:r>
        <w:t xml:space="preserve">Parsons, S., Azevedo, F., Elsherif, M. M., Guay, S., Shahim, O. N., Govaart, G. H., et al.others. (2022). A community-sourced glossary of open scholarship terms.</w:t>
      </w:r>
      <w:r>
        <w:t xml:space="preserve"> </w:t>
      </w:r>
      <w:r>
        <w:rPr>
          <w:i/>
          <w:iCs/>
        </w:rPr>
        <w:t xml:space="preserve">Nature Human Behaviour</w:t>
      </w:r>
      <w:r>
        <w:t xml:space="preserve">,</w:t>
      </w:r>
      <w:r>
        <w:t xml:space="preserve"> </w:t>
      </w:r>
      <w:r>
        <w:rPr>
          <w:i/>
          <w:iCs/>
        </w:rPr>
        <w:t xml:space="preserve">6</w:t>
      </w:r>
      <w:r>
        <w:t xml:space="preserve">(3), 312–318.</w:t>
      </w:r>
      <w:r>
        <w:t xml:space="preserve"> </w:t>
      </w:r>
      <w:hyperlink r:id="rId101">
        <w:r>
          <w:rPr>
            <w:rStyle w:val="Hyperlink"/>
          </w:rPr>
          <w:t xml:space="preserve">https://doi.org/10.1038/s41562-021-01269-4</w:t>
        </w:r>
      </w:hyperlink>
    </w:p>
    <w:bookmarkEnd w:id="102"/>
    <w:bookmarkStart w:id="104" w:name="ref-puebla_polka_rieger_2021"/>
    <w:p>
      <w:pPr>
        <w:pStyle w:val="Bibliography"/>
      </w:pPr>
      <w:r>
        <w:t xml:space="preserve">Puebla, I., Polka, J., &amp; Rieger, O. Y. (2021).</w:t>
      </w:r>
      <w:r>
        <w:t xml:space="preserve"> </w:t>
      </w:r>
      <w:r>
        <w:rPr>
          <w:i/>
          <w:iCs/>
        </w:rPr>
        <w:t xml:space="preserve">Preprints: Their evolving role in science communication</w:t>
      </w:r>
      <w:r>
        <w:t xml:space="preserve">. MetaArXiv.</w:t>
      </w:r>
      <w:r>
        <w:t xml:space="preserve"> </w:t>
      </w:r>
      <w:hyperlink r:id="rId103">
        <w:r>
          <w:rPr>
            <w:rStyle w:val="Hyperlink"/>
          </w:rPr>
          <w:t xml:space="preserve">https://doi.org/10.31222/osf.io/ezfsk</w:t>
        </w:r>
      </w:hyperlink>
    </w:p>
    <w:bookmarkEnd w:id="104"/>
    <w:bookmarkStart w:id="106" w:name="ref-quintana2020"/>
    <w:p>
      <w:pPr>
        <w:pStyle w:val="Bibliography"/>
      </w:pPr>
      <w:r>
        <w:t xml:space="preserve">Quintana, D. S. (2020). A synthetic dataset primer for the biobehavioural sciences to promote reproducibility and hypothesis generation.</w:t>
      </w:r>
      <w:r>
        <w:t xml:space="preserve"> </w:t>
      </w:r>
      <w:r>
        <w:rPr>
          <w:i/>
          <w:iCs/>
        </w:rPr>
        <w:t xml:space="preserve">eLife</w:t>
      </w:r>
      <w:r>
        <w:t xml:space="preserve">,</w:t>
      </w:r>
      <w:r>
        <w:t xml:space="preserve"> </w:t>
      </w:r>
      <w:r>
        <w:rPr>
          <w:i/>
          <w:iCs/>
        </w:rPr>
        <w:t xml:space="preserve">9</w:t>
      </w:r>
      <w:r>
        <w:t xml:space="preserve">, 1–12.</w:t>
      </w:r>
      <w:r>
        <w:t xml:space="preserve"> </w:t>
      </w:r>
      <w:hyperlink r:id="rId105">
        <w:r>
          <w:rPr>
            <w:rStyle w:val="Hyperlink"/>
          </w:rPr>
          <w:t xml:space="preserve">https://doi.org/10.7554/eLife.53275</w:t>
        </w:r>
      </w:hyperlink>
    </w:p>
    <w:bookmarkEnd w:id="106"/>
    <w:bookmarkStart w:id="108" w:name="ref-rieger2012sustainability"/>
    <w:p>
      <w:pPr>
        <w:pStyle w:val="Bibliography"/>
      </w:pPr>
      <w:r>
        <w:t xml:space="preserve">Rieger, O. Y. (2012). Sustainability: Scholarly repository as an enterprise.</w:t>
      </w:r>
      <w:r>
        <w:t xml:space="preserve"> </w:t>
      </w:r>
      <w:r>
        <w:rPr>
          <w:i/>
          <w:iCs/>
        </w:rPr>
        <w:t xml:space="preserve">Bulletin of the American Society for Information Science and Technology</w:t>
      </w:r>
      <w:r>
        <w:t xml:space="preserve">,</w:t>
      </w:r>
      <w:r>
        <w:t xml:space="preserve"> </w:t>
      </w:r>
      <w:r>
        <w:rPr>
          <w:i/>
          <w:iCs/>
        </w:rPr>
        <w:t xml:space="preserve">39</w:t>
      </w:r>
      <w:r>
        <w:t xml:space="preserve">(1), 27–31.</w:t>
      </w:r>
      <w:r>
        <w:t xml:space="preserve"> </w:t>
      </w:r>
      <w:hyperlink r:id="rId107">
        <w:r>
          <w:rPr>
            <w:rStyle w:val="Hyperlink"/>
          </w:rPr>
          <w:t xml:space="preserve">https://doi.org/10.1002/bult.2012.1720390110</w:t>
        </w:r>
      </w:hyperlink>
    </w:p>
    <w:bookmarkEnd w:id="108"/>
    <w:bookmarkStart w:id="110" w:name="ref-roettger2021preregistration"/>
    <w:p>
      <w:pPr>
        <w:pStyle w:val="Bibliography"/>
      </w:pPr>
      <w:r>
        <w:t xml:space="preserve">Roettger, T. B. (2021a). Preregistration in experimental linguistics: Applications, challenges, and limitations.</w:t>
      </w:r>
      <w:r>
        <w:t xml:space="preserve"> </w:t>
      </w:r>
      <w:r>
        <w:rPr>
          <w:i/>
          <w:iCs/>
        </w:rPr>
        <w:t xml:space="preserve">Linguistics</w:t>
      </w:r>
      <w:r>
        <w:t xml:space="preserve">,</w:t>
      </w:r>
      <w:r>
        <w:t xml:space="preserve"> </w:t>
      </w:r>
      <w:r>
        <w:rPr>
          <w:i/>
          <w:iCs/>
        </w:rPr>
        <w:t xml:space="preserve">59</w:t>
      </w:r>
      <w:r>
        <w:t xml:space="preserve">(5), 1227–1249.</w:t>
      </w:r>
      <w:r>
        <w:t xml:space="preserve"> </w:t>
      </w:r>
      <w:hyperlink r:id="rId109">
        <w:r>
          <w:rPr>
            <w:rStyle w:val="Hyperlink"/>
          </w:rPr>
          <w:t xml:space="preserve">https://doi.org/10.1515/ling-2019-0048</w:t>
        </w:r>
      </w:hyperlink>
    </w:p>
    <w:bookmarkEnd w:id="110"/>
    <w:bookmarkStart w:id="111" w:name="ref-roettger2021"/>
    <w:p>
      <w:pPr>
        <w:pStyle w:val="Bibliography"/>
      </w:pPr>
      <w:r>
        <w:t xml:space="preserve">Roettger, T. B. (2021b). Toward transparent and reproducible speech sciences.</w:t>
      </w:r>
      <w:r>
        <w:t xml:space="preserve"> </w:t>
      </w:r>
      <w:r>
        <w:rPr>
          <w:i/>
          <w:iCs/>
        </w:rPr>
        <w:t xml:space="preserve">Séminaires de Recherches En Phonétique Et Phonologie, CNRS, Paris</w:t>
      </w:r>
      <w:r>
        <w:t xml:space="preserve">.</w:t>
      </w:r>
    </w:p>
    <w:bookmarkEnd w:id="111"/>
    <w:bookmarkStart w:id="112" w:name="ref-rowe2014"/>
    <w:p>
      <w:pPr>
        <w:pStyle w:val="Bibliography"/>
      </w:pPr>
      <w:r>
        <w:t xml:space="preserve">Rowe, W. E. (2014). Positionality. In D. Coghlan &amp; M. Brydon-Miller (Eds.),</w:t>
      </w:r>
      <w:r>
        <w:t xml:space="preserve"> </w:t>
      </w:r>
      <w:r>
        <w:rPr>
          <w:i/>
          <w:iCs/>
        </w:rPr>
        <w:t xml:space="preserve">The</w:t>
      </w:r>
      <w:r>
        <w:rPr>
          <w:i/>
          <w:iCs/>
        </w:rPr>
        <w:t xml:space="preserve"> </w:t>
      </w:r>
      <w:r>
        <w:rPr>
          <w:i/>
          <w:iCs/>
        </w:rPr>
        <w:t xml:space="preserve">SAGE</w:t>
      </w:r>
      <w:r>
        <w:rPr>
          <w:i/>
          <w:iCs/>
        </w:rPr>
        <w:t xml:space="preserve"> </w:t>
      </w:r>
      <w:r>
        <w:rPr>
          <w:i/>
          <w:iCs/>
        </w:rPr>
        <w:t xml:space="preserve">encyclopedia of action research</w:t>
      </w:r>
      <w:r>
        <w:t xml:space="preserve"> </w:t>
      </w:r>
      <w:r>
        <w:t xml:space="preserve">(pp. 627–628). Sage.</w:t>
      </w:r>
    </w:p>
    <w:bookmarkEnd w:id="112"/>
    <w:bookmarkStart w:id="114"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
          <w:iCs/>
        </w:rPr>
        <w:t xml:space="preserve">Perspectives on Psychological Science</w:t>
      </w:r>
      <w:r>
        <w:t xml:space="preserve">,</w:t>
      </w:r>
      <w:r>
        <w:t xml:space="preserve"> </w:t>
      </w:r>
      <w:r>
        <w:rPr>
          <w:i/>
          <w:iCs/>
        </w:rPr>
        <w:t xml:space="preserve">18</w:t>
      </w:r>
      <w:r>
        <w:t xml:space="preserve">, 1331–1338.</w:t>
      </w:r>
      <w:r>
        <w:t xml:space="preserve"> </w:t>
      </w:r>
      <w:hyperlink r:id="rId113">
        <w:r>
          <w:rPr>
            <w:rStyle w:val="Hyperlink"/>
          </w:rPr>
          <w:t xml:space="preserve">https://doi.org/10.1177/17456916221144988</w:t>
        </w:r>
      </w:hyperlink>
    </w:p>
    <w:bookmarkEnd w:id="114"/>
    <w:bookmarkStart w:id="116"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r>
        <w:t xml:space="preserve"> </w:t>
      </w:r>
      <w:hyperlink r:id="rId115">
        <w:r>
          <w:rPr>
            <w:rStyle w:val="Hyperlink"/>
          </w:rPr>
          <w:t xml:space="preserve">https://doi.org/10.1177/0956797611417632</w:t>
        </w:r>
      </w:hyperlink>
    </w:p>
    <w:bookmarkEnd w:id="116"/>
    <w:bookmarkStart w:id="118" w:name="ref-spellman2017open"/>
    <w:p>
      <w:pPr>
        <w:pStyle w:val="Bibliography"/>
      </w:pPr>
      <w:r>
        <w:t xml:space="preserve">Spellman, B., Gilbert, E., &amp; Corker, K. S. (2017).</w:t>
      </w:r>
      <w:r>
        <w:t xml:space="preserve"> </w:t>
      </w:r>
      <w:r>
        <w:rPr>
          <w:i/>
          <w:iCs/>
        </w:rPr>
        <w:t xml:space="preserve">Open science: What, why, and how</w:t>
      </w:r>
      <w:r>
        <w:t xml:space="preserve">.</w:t>
      </w:r>
      <w:r>
        <w:t xml:space="preserve"> </w:t>
      </w:r>
      <w:hyperlink r:id="rId117">
        <w:r>
          <w:rPr>
            <w:rStyle w:val="Hyperlink"/>
          </w:rPr>
          <w:t xml:space="preserve">https://doi.org/10.31234/osf.io/ak6jr</w:t>
        </w:r>
      </w:hyperlink>
    </w:p>
    <w:bookmarkEnd w:id="118"/>
    <w:bookmarkStart w:id="120" w:name="ref-steltenpohl_video"/>
    <w:p>
      <w:pPr>
        <w:pStyle w:val="Bibliography"/>
      </w:pPr>
      <w:r>
        <w:t xml:space="preserve">Steltenpohl, C., Hudson, S., &amp; Klement, K. (2022). How to begin writing a positionality statement. Retrieved from</w:t>
      </w:r>
      <w:r>
        <w:t xml:space="preserve"> </w:t>
      </w:r>
      <w:hyperlink r:id="rId119">
        <w:r>
          <w:rPr>
            <w:rStyle w:val="Hyperlink"/>
          </w:rPr>
          <w:t xml:space="preserve">https://vimeo.com/675236573/741e24aab7</w:t>
        </w:r>
      </w:hyperlink>
    </w:p>
    <w:bookmarkEnd w:id="120"/>
    <w:bookmarkStart w:id="122" w:name="ref-renv2023"/>
    <w:p>
      <w:pPr>
        <w:pStyle w:val="Bibliography"/>
      </w:pPr>
      <w:r>
        <w:t xml:space="preserve">Ushey, K., &amp; Wickham, H. (2023).</w:t>
      </w:r>
      <w:r>
        <w:t xml:space="preserve"> </w:t>
      </w:r>
      <w:r>
        <w:rPr>
          <w:i/>
          <w:iCs/>
        </w:rPr>
        <w:t xml:space="preserve">Renv:</w:t>
      </w:r>
      <w:r>
        <w:rPr>
          <w:i/>
          <w:iCs/>
        </w:rPr>
        <w:t xml:space="preserve"> </w:t>
      </w:r>
      <w:r>
        <w:rPr>
          <w:i/>
          <w:iCs/>
        </w:rPr>
        <w:t xml:space="preserve">P</w:t>
      </w:r>
      <w:r>
        <w:rPr>
          <w:i/>
          <w:iCs/>
        </w:rPr>
        <w:t xml:space="preserve">roject</w:t>
      </w:r>
      <w:r>
        <w:rPr>
          <w:i/>
          <w:iCs/>
        </w:rPr>
        <w:t xml:space="preserve"> </w:t>
      </w:r>
      <w:r>
        <w:rPr>
          <w:i/>
          <w:iCs/>
        </w:rPr>
        <w:t xml:space="preserve">E</w:t>
      </w:r>
      <w:r>
        <w:rPr>
          <w:i/>
          <w:iCs/>
        </w:rPr>
        <w:t xml:space="preserve">nvironments</w:t>
      </w:r>
      <w:r>
        <w:t xml:space="preserve">. Retrieved from</w:t>
      </w:r>
      <w:r>
        <w:t xml:space="preserve"> </w:t>
      </w:r>
      <w:hyperlink r:id="rId121">
        <w:r>
          <w:rPr>
            <w:rStyle w:val="Hyperlink"/>
          </w:rPr>
          <w:t xml:space="preserve">https://CRAN.R-project.org/package=renv</w:t>
        </w:r>
      </w:hyperlink>
    </w:p>
    <w:bookmarkEnd w:id="122"/>
    <w:bookmarkStart w:id="124"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123">
        <w:r>
          <w:rPr>
            <w:rStyle w:val="Hyperlink"/>
          </w:rPr>
          <w:t xml:space="preserve">https://www.speechperceptionproductionlab.com/positionalitystatments</w:t>
        </w:r>
      </w:hyperlink>
    </w:p>
    <w:bookmarkEnd w:id="124"/>
    <w:bookmarkStart w:id="126" w:name="ref-wicherts2006poor"/>
    <w:p>
      <w:pPr>
        <w:pStyle w:val="Bibliography"/>
      </w:pPr>
      <w:r>
        <w:t xml:space="preserve">Wicherts, J. M., Borsboom, D., Kats, J., &amp; Molenaar, D. (2006). The poor availability of psychological research data for reanalysis.</w:t>
      </w:r>
      <w:r>
        <w:t xml:space="preserve"> </w:t>
      </w:r>
      <w:r>
        <w:rPr>
          <w:i/>
          <w:iCs/>
        </w:rPr>
        <w:t xml:space="preserve">American Psychologist</w:t>
      </w:r>
      <w:r>
        <w:t xml:space="preserve">,</w:t>
      </w:r>
      <w:r>
        <w:t xml:space="preserve"> </w:t>
      </w:r>
      <w:r>
        <w:rPr>
          <w:i/>
          <w:iCs/>
        </w:rPr>
        <w:t xml:space="preserve">61</w:t>
      </w:r>
      <w:r>
        <w:t xml:space="preserve">(7), 726.</w:t>
      </w:r>
      <w:r>
        <w:t xml:space="preserve"> </w:t>
      </w:r>
      <w:hyperlink r:id="rId125">
        <w:r>
          <w:rPr>
            <w:rStyle w:val="Hyperlink"/>
          </w:rPr>
          <w:t xml:space="preserve">https://doi.org/10.1037/0003-066X.61.7.726</w:t>
        </w:r>
      </w:hyperlink>
    </w:p>
    <w:bookmarkEnd w:id="126"/>
    <w:bookmarkStart w:id="127" w:name="ref-knitr2014"/>
    <w:p>
      <w:pPr>
        <w:pStyle w:val="Bibliography"/>
      </w:pPr>
      <w:r>
        <w:t xml:space="preserve">Xie, Y. (2014). Knitr: A 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 Chapman; Hall/CRC.</w:t>
      </w:r>
    </w:p>
    <w:bookmarkEnd w:id="127"/>
    <w:bookmarkStart w:id="129" w:name="ref-knitr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Boca Raton, Florida: Chapman; Hall/CRC. Retrieved from</w:t>
      </w:r>
      <w:r>
        <w:t xml:space="preserve"> </w:t>
      </w:r>
      <w:hyperlink r:id="rId128">
        <w:r>
          <w:rPr>
            <w:rStyle w:val="Hyperlink"/>
          </w:rPr>
          <w:t xml:space="preserve">https://yihui.org/knitr/</w:t>
        </w:r>
      </w:hyperlink>
    </w:p>
    <w:bookmarkEnd w:id="129"/>
    <w:bookmarkStart w:id="130" w:name="ref-knitr2023"/>
    <w:p>
      <w:pPr>
        <w:pStyle w:val="Bibliography"/>
      </w:pPr>
      <w:r>
        <w:t xml:space="preserve">Xie, Y. (2023).</w:t>
      </w:r>
      <w:r>
        <w:t xml:space="preserve"> </w:t>
      </w:r>
      <w:r>
        <w:rPr>
          <w:i/>
          <w:iCs/>
        </w:rPr>
        <w:t xml:space="preserve">Knitr: A general-purpose package for dynamic report generation in r</w:t>
      </w:r>
      <w:r>
        <w:t xml:space="preserve">. Retrieved from</w:t>
      </w:r>
      <w:r>
        <w:t xml:space="preserve"> </w:t>
      </w:r>
      <w:hyperlink r:id="rId128">
        <w:r>
          <w:rPr>
            <w:rStyle w:val="Hyperlink"/>
          </w:rPr>
          <w:t xml:space="preserve">https://yihui.org/knitr/</w:t>
        </w:r>
      </w:hyperlink>
    </w:p>
    <w:bookmarkEnd w:id="130"/>
    <w:bookmarkEnd w:id="131"/>
    <w:bookmarkEnd w:id="132"/>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1916"/>
    <w:rsid w:val="00011C3A"/>
    <w:rsid w:val="00023D74"/>
    <w:rsid w:val="00097FD6"/>
    <w:rsid w:val="000A1916"/>
    <w:rsid w:val="001174EB"/>
    <w:rsid w:val="001631B2"/>
    <w:rsid w:val="001C4873"/>
    <w:rsid w:val="001C626F"/>
    <w:rsid w:val="00290DEA"/>
    <w:rsid w:val="002B1C5D"/>
    <w:rsid w:val="002C311A"/>
    <w:rsid w:val="002E0C29"/>
    <w:rsid w:val="002F6096"/>
    <w:rsid w:val="00341B61"/>
    <w:rsid w:val="003542B5"/>
    <w:rsid w:val="0035639C"/>
    <w:rsid w:val="00381288"/>
    <w:rsid w:val="00392534"/>
    <w:rsid w:val="00393162"/>
    <w:rsid w:val="004042C7"/>
    <w:rsid w:val="004C1A18"/>
    <w:rsid w:val="004C4444"/>
    <w:rsid w:val="00503EF3"/>
    <w:rsid w:val="0051746C"/>
    <w:rsid w:val="00532419"/>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D5766C"/>
    <w:rsid w:val="00D83753"/>
    <w:rsid w:val="00DB32D8"/>
    <w:rsid w:val="00DE26B3"/>
    <w:rsid w:val="00EE4E0C"/>
    <w:rsid w:val="00EE77C7"/>
    <w:rsid w:val="00F12108"/>
    <w:rsid w:val="00F61084"/>
    <w:rsid w:val="00FC45A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hyperlink" Id="rId121" Target="https://CRAN.R-project.org/package=renv" TargetMode="External" /><Relationship Type="http://schemas.openxmlformats.org/officeDocument/2006/relationships/hyperlink" Id="rId48" Target="https://FOSIL-project.github.io" TargetMode="External" /><Relationship Type="http://schemas.openxmlformats.org/officeDocument/2006/relationships/hyperlink" Id="rId65" Target="https://doi.org/10.1001/jamapsychiatry.2018.0382" TargetMode="External" /><Relationship Type="http://schemas.openxmlformats.org/officeDocument/2006/relationships/hyperlink" Id="rId107" Target="https://doi.org/10.1002/bult.2012.1720390110" TargetMode="External" /><Relationship Type="http://schemas.openxmlformats.org/officeDocument/2006/relationships/hyperlink" Id="rId67" Target="https://doi.org/10.1027/2151-2604/a000387" TargetMode="External" /><Relationship Type="http://schemas.openxmlformats.org/officeDocument/2006/relationships/hyperlink" Id="rId125" Target="https://doi.org/10.1037/0003-066X.61.7.726" TargetMode="External" /><Relationship Type="http://schemas.openxmlformats.org/officeDocument/2006/relationships/hyperlink" Id="rId59" Target="https://doi.org/10.1038/s41562-018-0399-z" TargetMode="External" /><Relationship Type="http://schemas.openxmlformats.org/officeDocument/2006/relationships/hyperlink" Id="rId101" Target="https://doi.org/10.1038/s41562-021-01269-4" TargetMode="External" /><Relationship Type="http://schemas.openxmlformats.org/officeDocument/2006/relationships/hyperlink" Id="rId92" Target="https://doi.org/10.1080/19312458.2019.1685660" TargetMode="External" /><Relationship Type="http://schemas.openxmlformats.org/officeDocument/2006/relationships/hyperlink" Id="rId87" Target="https://doi.org/10.1093/comjnl/27.2.97" TargetMode="External" /><Relationship Type="http://schemas.openxmlformats.org/officeDocument/2006/relationships/hyperlink" Id="rId81" Target="https://doi.org/10.1098/rsos.190806" TargetMode="External" /><Relationship Type="http://schemas.openxmlformats.org/officeDocument/2006/relationships/hyperlink" Id="rId55" Target="https://doi.org/10.1111/lnc3.12495" TargetMode="External" /><Relationship Type="http://schemas.openxmlformats.org/officeDocument/2006/relationships/hyperlink" Id="rId99" Target="https://doi.org/10.1126/science.aac4716" TargetMode="External" /><Relationship Type="http://schemas.openxmlformats.org/officeDocument/2006/relationships/hyperlink" Id="rId57" Target="https://doi.org/10.1126/science.aaf091" TargetMode="External" /><Relationship Type="http://schemas.openxmlformats.org/officeDocument/2006/relationships/hyperlink" Id="rId85" Target="https://doi.org/10.1136/emermed-2017-207158" TargetMode="External" /><Relationship Type="http://schemas.openxmlformats.org/officeDocument/2006/relationships/hyperlink" Id="rId115" Target="https://doi.org/10.1177/0956797611417632" TargetMode="External" /><Relationship Type="http://schemas.openxmlformats.org/officeDocument/2006/relationships/hyperlink" Id="rId50" Target="https://doi.org/10.1177/1468794112468" TargetMode="External" /><Relationship Type="http://schemas.openxmlformats.org/officeDocument/2006/relationships/hyperlink" Id="rId79" Target="https://doi.org/10.1177/1745691620979806" TargetMode="External" /><Relationship Type="http://schemas.openxmlformats.org/officeDocument/2006/relationships/hyperlink" Id="rId113" Target="https://doi.org/10.1177/17456916221144988" TargetMode="External" /><Relationship Type="http://schemas.openxmlformats.org/officeDocument/2006/relationships/hyperlink" Id="rId63" Target="https://doi.org/10.1177/25152459231162567" TargetMode="External" /><Relationship Type="http://schemas.openxmlformats.org/officeDocument/2006/relationships/hyperlink" Id="rId74" Target="https://doi.org/10.1242/bio.059310" TargetMode="External" /><Relationship Type="http://schemas.openxmlformats.org/officeDocument/2006/relationships/hyperlink" Id="rId109" Target="https://doi.org/10.1515/ling-2019-0048" TargetMode="External" /><Relationship Type="http://schemas.openxmlformats.org/officeDocument/2006/relationships/hyperlink" Id="rId70" Target="https://doi.org/10.17169/fqs-7.3.143" TargetMode="External" /><Relationship Type="http://schemas.openxmlformats.org/officeDocument/2006/relationships/hyperlink" Id="rId90" Target="https://doi.org/10.21105/joss.02959" TargetMode="External" /><Relationship Type="http://schemas.openxmlformats.org/officeDocument/2006/relationships/hyperlink" Id="rId103" Target="https://doi.org/10.31222/osf.io/ezfsk" TargetMode="External" /><Relationship Type="http://schemas.openxmlformats.org/officeDocument/2006/relationships/hyperlink" Id="rId117" Target="https://doi.org/10.31234/osf.io/ak6jr" TargetMode="External" /><Relationship Type="http://schemas.openxmlformats.org/officeDocument/2006/relationships/hyperlink" Id="rId61" Target="https://doi.org/10.3390/languages6010009" TargetMode="External" /><Relationship Type="http://schemas.openxmlformats.org/officeDocument/2006/relationships/hyperlink" Id="rId83" Target="https://doi.org/10.34293/education.v8i4.3232" TargetMode="External" /><Relationship Type="http://schemas.openxmlformats.org/officeDocument/2006/relationships/hyperlink" Id="rId53" Target="https://doi.org/10.5070/G6011239" TargetMode="External" /><Relationship Type="http://schemas.openxmlformats.org/officeDocument/2006/relationships/hyperlink" Id="rId105" Target="https://doi.org/10.7554/eLife.53275" TargetMode="External" /><Relationship Type="http://schemas.openxmlformats.org/officeDocument/2006/relationships/hyperlink" Id="rId72" Target="https://doi.org/10.7554/eLife.71601" TargetMode="External" /><Relationship Type="http://schemas.openxmlformats.org/officeDocument/2006/relationships/hyperlink" Id="rId76" Target="https://forrt.org/glossary/reproducibility-crisis-aka-replicab/" TargetMode="External" /><Relationship Type="http://schemas.openxmlformats.org/officeDocument/2006/relationships/hyperlink" Id="rId32" Target="https://github.com/RAP-group/empathy_intonation_perc" TargetMode="External" /><Relationship Type="http://schemas.openxmlformats.org/officeDocument/2006/relationships/hyperlink" Id="rId97" Target="https://opendefinition.org" TargetMode="External" /><Relationship Type="http://schemas.openxmlformats.org/officeDocument/2006/relationships/hyperlink" Id="rId31" Target="https://osf.io/3bmcp/" TargetMode="External" /><Relationship Type="http://schemas.openxmlformats.org/officeDocument/2006/relationships/hyperlink" Id="rId34" Target="https://osf.io/bsu2q/" TargetMode="External" /><Relationship Type="http://schemas.openxmlformats.org/officeDocument/2006/relationships/hyperlink" Id="rId36" Target="https://osf.io/cp9bs/" TargetMode="External" /><Relationship Type="http://schemas.openxmlformats.org/officeDocument/2006/relationships/hyperlink" Id="rId38" Target="https://osf.io/nprgz" TargetMode="External" /><Relationship Type="http://schemas.openxmlformats.org/officeDocument/2006/relationships/hyperlink" Id="rId39" Target="https://osf.io/qvjzy" TargetMode="External" /><Relationship Type="http://schemas.openxmlformats.org/officeDocument/2006/relationships/hyperlink" Id="rId35" Target="https://osf.io/un45x/" TargetMode="External" /><Relationship Type="http://schemas.openxmlformats.org/officeDocument/2006/relationships/hyperlink" Id="rId30" Target="https://osf.io/zx9ky/" TargetMode="External" /><Relationship Type="http://schemas.openxmlformats.org/officeDocument/2006/relationships/hyperlink" Id="rId119" Target="https://vimeo.com/675236573/741e24aab7" TargetMode="External" /><Relationship Type="http://schemas.openxmlformats.org/officeDocument/2006/relationships/hyperlink" Id="rId123" Target="https://www.speechperceptionproductionlab.com/positionalitystatments" TargetMode="External" /><Relationship Type="http://schemas.openxmlformats.org/officeDocument/2006/relationships/hyperlink" Id="rId128" Target="https://yihui.org/knitr/" TargetMode="External" /><Relationship Type="http://schemas.openxmlformats.org/officeDocument/2006/relationships/hyperlink" Id="rId95"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renv" TargetMode="External" /><Relationship Type="http://schemas.openxmlformats.org/officeDocument/2006/relationships/hyperlink" Id="rId48" Target="https://FOSIL-project.github.io" TargetMode="External" /><Relationship Type="http://schemas.openxmlformats.org/officeDocument/2006/relationships/hyperlink" Id="rId65" Target="https://doi.org/10.1001/jamapsychiatry.2018.0382" TargetMode="External" /><Relationship Type="http://schemas.openxmlformats.org/officeDocument/2006/relationships/hyperlink" Id="rId107" Target="https://doi.org/10.1002/bult.2012.1720390110" TargetMode="External" /><Relationship Type="http://schemas.openxmlformats.org/officeDocument/2006/relationships/hyperlink" Id="rId67" Target="https://doi.org/10.1027/2151-2604/a000387" TargetMode="External" /><Relationship Type="http://schemas.openxmlformats.org/officeDocument/2006/relationships/hyperlink" Id="rId125" Target="https://doi.org/10.1037/0003-066X.61.7.726" TargetMode="External" /><Relationship Type="http://schemas.openxmlformats.org/officeDocument/2006/relationships/hyperlink" Id="rId59" Target="https://doi.org/10.1038/s41562-018-0399-z" TargetMode="External" /><Relationship Type="http://schemas.openxmlformats.org/officeDocument/2006/relationships/hyperlink" Id="rId101" Target="https://doi.org/10.1038/s41562-021-01269-4" TargetMode="External" /><Relationship Type="http://schemas.openxmlformats.org/officeDocument/2006/relationships/hyperlink" Id="rId92" Target="https://doi.org/10.1080/19312458.2019.1685660" TargetMode="External" /><Relationship Type="http://schemas.openxmlformats.org/officeDocument/2006/relationships/hyperlink" Id="rId87" Target="https://doi.org/10.1093/comjnl/27.2.97" TargetMode="External" /><Relationship Type="http://schemas.openxmlformats.org/officeDocument/2006/relationships/hyperlink" Id="rId81" Target="https://doi.org/10.1098/rsos.190806" TargetMode="External" /><Relationship Type="http://schemas.openxmlformats.org/officeDocument/2006/relationships/hyperlink" Id="rId55" Target="https://doi.org/10.1111/lnc3.12495" TargetMode="External" /><Relationship Type="http://schemas.openxmlformats.org/officeDocument/2006/relationships/hyperlink" Id="rId99" Target="https://doi.org/10.1126/science.aac4716" TargetMode="External" /><Relationship Type="http://schemas.openxmlformats.org/officeDocument/2006/relationships/hyperlink" Id="rId57" Target="https://doi.org/10.1126/science.aaf091" TargetMode="External" /><Relationship Type="http://schemas.openxmlformats.org/officeDocument/2006/relationships/hyperlink" Id="rId85" Target="https://doi.org/10.1136/emermed-2017-207158" TargetMode="External" /><Relationship Type="http://schemas.openxmlformats.org/officeDocument/2006/relationships/hyperlink" Id="rId115" Target="https://doi.org/10.1177/0956797611417632" TargetMode="External" /><Relationship Type="http://schemas.openxmlformats.org/officeDocument/2006/relationships/hyperlink" Id="rId50" Target="https://doi.org/10.1177/1468794112468" TargetMode="External" /><Relationship Type="http://schemas.openxmlformats.org/officeDocument/2006/relationships/hyperlink" Id="rId79" Target="https://doi.org/10.1177/1745691620979806" TargetMode="External" /><Relationship Type="http://schemas.openxmlformats.org/officeDocument/2006/relationships/hyperlink" Id="rId113" Target="https://doi.org/10.1177/17456916221144988" TargetMode="External" /><Relationship Type="http://schemas.openxmlformats.org/officeDocument/2006/relationships/hyperlink" Id="rId63" Target="https://doi.org/10.1177/25152459231162567" TargetMode="External" /><Relationship Type="http://schemas.openxmlformats.org/officeDocument/2006/relationships/hyperlink" Id="rId74" Target="https://doi.org/10.1242/bio.059310" TargetMode="External" /><Relationship Type="http://schemas.openxmlformats.org/officeDocument/2006/relationships/hyperlink" Id="rId109" Target="https://doi.org/10.1515/ling-2019-0048" TargetMode="External" /><Relationship Type="http://schemas.openxmlformats.org/officeDocument/2006/relationships/hyperlink" Id="rId70" Target="https://doi.org/10.17169/fqs-7.3.143" TargetMode="External" /><Relationship Type="http://schemas.openxmlformats.org/officeDocument/2006/relationships/hyperlink" Id="rId90" Target="https://doi.org/10.21105/joss.02959" TargetMode="External" /><Relationship Type="http://schemas.openxmlformats.org/officeDocument/2006/relationships/hyperlink" Id="rId103" Target="https://doi.org/10.31222/osf.io/ezfsk" TargetMode="External" /><Relationship Type="http://schemas.openxmlformats.org/officeDocument/2006/relationships/hyperlink" Id="rId117" Target="https://doi.org/10.31234/osf.io/ak6jr" TargetMode="External" /><Relationship Type="http://schemas.openxmlformats.org/officeDocument/2006/relationships/hyperlink" Id="rId61" Target="https://doi.org/10.3390/languages6010009" TargetMode="External" /><Relationship Type="http://schemas.openxmlformats.org/officeDocument/2006/relationships/hyperlink" Id="rId83" Target="https://doi.org/10.34293/education.v8i4.3232" TargetMode="External" /><Relationship Type="http://schemas.openxmlformats.org/officeDocument/2006/relationships/hyperlink" Id="rId53" Target="https://doi.org/10.5070/G6011239" TargetMode="External" /><Relationship Type="http://schemas.openxmlformats.org/officeDocument/2006/relationships/hyperlink" Id="rId105" Target="https://doi.org/10.7554/eLife.53275" TargetMode="External" /><Relationship Type="http://schemas.openxmlformats.org/officeDocument/2006/relationships/hyperlink" Id="rId72" Target="https://doi.org/10.7554/eLife.71601" TargetMode="External" /><Relationship Type="http://schemas.openxmlformats.org/officeDocument/2006/relationships/hyperlink" Id="rId76" Target="https://forrt.org/glossary/reproducibility-crisis-aka-replicab/" TargetMode="External" /><Relationship Type="http://schemas.openxmlformats.org/officeDocument/2006/relationships/hyperlink" Id="rId32" Target="https://github.com/RAP-group/empathy_intonation_perc" TargetMode="External" /><Relationship Type="http://schemas.openxmlformats.org/officeDocument/2006/relationships/hyperlink" Id="rId97" Target="https://opendefinition.org" TargetMode="External" /><Relationship Type="http://schemas.openxmlformats.org/officeDocument/2006/relationships/hyperlink" Id="rId31" Target="https://osf.io/3bmcp/" TargetMode="External" /><Relationship Type="http://schemas.openxmlformats.org/officeDocument/2006/relationships/hyperlink" Id="rId34" Target="https://osf.io/bsu2q/" TargetMode="External" /><Relationship Type="http://schemas.openxmlformats.org/officeDocument/2006/relationships/hyperlink" Id="rId36" Target="https://osf.io/cp9bs/" TargetMode="External" /><Relationship Type="http://schemas.openxmlformats.org/officeDocument/2006/relationships/hyperlink" Id="rId38" Target="https://osf.io/nprgz" TargetMode="External" /><Relationship Type="http://schemas.openxmlformats.org/officeDocument/2006/relationships/hyperlink" Id="rId39" Target="https://osf.io/qvjzy" TargetMode="External" /><Relationship Type="http://schemas.openxmlformats.org/officeDocument/2006/relationships/hyperlink" Id="rId35" Target="https://osf.io/un45x/" TargetMode="External" /><Relationship Type="http://schemas.openxmlformats.org/officeDocument/2006/relationships/hyperlink" Id="rId30" Target="https://osf.io/zx9ky/" TargetMode="External" /><Relationship Type="http://schemas.openxmlformats.org/officeDocument/2006/relationships/hyperlink" Id="rId119" Target="https://vimeo.com/675236573/741e24aab7" TargetMode="External" /><Relationship Type="http://schemas.openxmlformats.org/officeDocument/2006/relationships/hyperlink" Id="rId123" Target="https://www.speechperceptionproductionlab.com/positionalitystatments" TargetMode="External" /><Relationship Type="http://schemas.openxmlformats.org/officeDocument/2006/relationships/hyperlink" Id="rId128" Target="https://yihui.org/knitr/" TargetMode="External" /><Relationship Type="http://schemas.openxmlformats.org/officeDocument/2006/relationships/hyperlink" Id="rId95"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2024-11-15T06:27:14Z</dcterms:created>
  <dcterms:modified xsi:type="dcterms:W3CDTF">2024-11-15T06:27:14Z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