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3"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 at the same time that they are expected to be implementing these novel tools to be successful in their programs/careers.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p>
    <w:bookmarkEnd w:id="23"/>
    <w:bookmarkStart w:id="24"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direction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4"/>
    <w:bookmarkStart w:id="25" w:name="open-data"/>
    <w:p>
      <w:pPr>
        <w:pStyle w:val="Heading1"/>
      </w:pPr>
      <w:r>
        <w:t xml:space="preserve">Open data</w:t>
      </w:r>
    </w:p>
    <w:p>
      <w:pPr>
        <w:pStyle w:val="FirstParagraph"/>
      </w:pPr>
      <w:r>
        <w:t xml:space="preserve">The term</w:t>
      </w:r>
      <w:r>
        <w:t xml:space="preserve"> </w:t>
      </w:r>
      <w:r>
        <w:rPr>
          <w:iCs/>
          <w:i/>
        </w:rPr>
        <w:t xml:space="preserve">open data</w:t>
      </w:r>
      <w:r>
        <w:t xml:space="preserve"> </w:t>
      </w:r>
      <w:r>
        <w:t xml:space="preserve">refers to data used in research that is freely available to anybody interested in accessing it for any purpose</w:t>
      </w:r>
      <w:r>
        <w:t xml:space="preserve"> </w:t>
      </w:r>
      <w:r>
        <w:t xml:space="preserve">(Knowledge, 2023)</w:t>
      </w:r>
      <w:r>
        <w:t xml:space="preserve">.</w:t>
      </w:r>
      <w:r>
        <w:t xml:space="preserve"> </w:t>
      </w:r>
      <w:r>
        <w:t xml:space="preserve">In the wake of the reproducibility crisis, the importance of open data in scientific research has grown significantly, particularly in fields like biology, psychology, and linguistics.</w:t>
      </w:r>
      <w:r>
        <w:t xml:space="preserve"> </w:t>
      </w:r>
      <w:r>
        <w:t xml:space="preserve">The underlying motivation for open data is to make knowledge more accessible.</w:t>
      </w:r>
      <w:r>
        <w:t xml:space="preserve"> </w:t>
      </w:r>
      <w:r>
        <w:t xml:space="preserve">It facilitates transparency, rigor, reproducibility, replication, accumulation of knowledge, and makes participating in the scientific endeavor more inclusive.</w:t>
      </w:r>
    </w:p>
    <w:p>
      <w:pPr>
        <w:pStyle w:val="BodyText"/>
      </w:pPr>
      <w:r>
        <w:t xml:space="preserve">The case in favor of making data open and accessible is straightforward.</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Thus, open data becomes a cornerstone for researchers striving to make meaningful contributions to their fields and the broader scientific discourse.</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p>
    <w:p>
      <w:pPr>
        <w:pStyle w:val="BodyText"/>
      </w:pPr>
      <w:r>
        <w:t xml:space="preserve">Open data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adequate sharing of research materials</w:t>
      </w:r>
      <w:r>
        <w:t xml:space="preserve"> </w:t>
      </w:r>
      <w:r>
        <w:t xml:space="preserve">(Spellman, Gilbert, &amp; Corker, 2017; Wicherts et al., 2006)</w:t>
      </w:r>
      <w:r>
        <w:t xml:space="preserve">, as many journals have begun to strongly encourage that researchers make publicly available some version of their data (e.g.,</w:t>
      </w:r>
      <w:r>
        <w:t xml:space="preserve"> </w:t>
      </w:r>
      <w:r>
        <w:rPr>
          <w:iCs/>
          <w:i/>
        </w:rPr>
        <w:t xml:space="preserve">Language Learning</w:t>
      </w:r>
      <w:r>
        <w:t xml:space="preserve">).</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5"/>
    <w:bookmarkStart w:id="26"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26"/>
    <w:bookmarkStart w:id="33"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1"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deta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detail"/>
          <w:p>
            <w:pPr>
              <w:jc w:val="center"/>
            </w:pPr>
            <w:r>
              <w:drawing>
                <wp:inline>
                  <wp:extent cx="5943600" cy="4769954"/>
                  <wp:effectExtent b="0" l="0" r="0" t="0"/>
                  <wp:docPr descr="" title="" id="28" name="Picture"/>
                  <a:graphic>
                    <a:graphicData uri="http://schemas.openxmlformats.org/drawingml/2006/picture">
                      <pic:pic>
                        <pic:nvPicPr>
                          <pic:cNvPr descr="./figs/levels_of_detail.png" id="29" name="Picture"/>
                          <pic:cNvPicPr>
                            <a:picLocks noChangeArrowheads="1" noChangeAspect="1"/>
                          </pic:cNvPicPr>
                        </pic:nvPicPr>
                        <pic:blipFill>
                          <a:blip r:embed="rId27"/>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Select levels of detail as suggestions to help gauge the extent of information to incorporate into a preregistration. The shading indicates the degree of detail; darker shades imply more exhaustive information (thus requiring more upfront work).</w:t>
            </w:r>
          </w:p>
          <w:bookmarkEnd w:id="30"/>
        </w:tc>
      </w:tr>
    </w:tbl>
    <w:bookmarkEnd w:id="31"/>
    <w:bookmarkStart w:id="32"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2"/>
    <w:bookmarkEnd w:id="33"/>
    <w:bookmarkStart w:id="38"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4"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4"/>
    <w:bookmarkStart w:id="35"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5"/>
    <w:bookmarkStart w:id="36"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36"/>
    <w:bookmarkStart w:id="37"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37"/>
    <w:bookmarkEnd w:id="38"/>
    <w:bookmarkStart w:id="39"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39"/>
    <w:bookmarkStart w:id="95" w:name="references"/>
    <w:p>
      <w:pPr>
        <w:pStyle w:val="Heading1"/>
      </w:pPr>
      <w:r>
        <w:t xml:space="preserve">References</w:t>
      </w:r>
    </w:p>
    <w:bookmarkStart w:id="94" w:name="refs"/>
    <w:bookmarkStart w:id="41"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0">
        <w:r>
          <w:rPr>
            <w:rStyle w:val="Hyperlink"/>
          </w:rPr>
          <w:t xml:space="preserve">https://doi.org/10.1177/1468794112468</w:t>
        </w:r>
      </w:hyperlink>
    </w:p>
    <w:bookmarkEnd w:id="41"/>
    <w:bookmarkStart w:id="43"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42">
        <w:r>
          <w:rPr>
            <w:rStyle w:val="Hyperlink"/>
          </w:rPr>
          <w:t xml:space="preserve">https://doi.org/10.5070/G6011239</w:t>
        </w:r>
      </w:hyperlink>
    </w:p>
    <w:bookmarkEnd w:id="43"/>
    <w:bookmarkStart w:id="45"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4">
        <w:r>
          <w:rPr>
            <w:rStyle w:val="Hyperlink"/>
          </w:rPr>
          <w:t xml:space="preserve">https://doi.org/10.1111/lnc3.12495</w:t>
        </w:r>
      </w:hyperlink>
    </w:p>
    <w:bookmarkEnd w:id="45"/>
    <w:bookmarkStart w:id="47"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6">
        <w:r>
          <w:rPr>
            <w:rStyle w:val="Hyperlink"/>
          </w:rPr>
          <w:t xml:space="preserve">https://doi.org/10.1126/science.aaf091</w:t>
        </w:r>
      </w:hyperlink>
    </w:p>
    <w:bookmarkEnd w:id="47"/>
    <w:bookmarkStart w:id="49"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48">
        <w:r>
          <w:rPr>
            <w:rStyle w:val="Hyperlink"/>
          </w:rPr>
          <w:t xml:space="preserve">https://doi.org/10.1038/s41562-018-0399-z</w:t>
        </w:r>
      </w:hyperlink>
    </w:p>
    <w:bookmarkEnd w:id="49"/>
    <w:bookmarkStart w:id="50"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0"/>
    <w:bookmarkStart w:id="52"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1">
        <w:r>
          <w:rPr>
            <w:rStyle w:val="Hyperlink"/>
          </w:rPr>
          <w:t xml:space="preserve">https://doi.org/10.17169/fqs-7.3.143</w:t>
        </w:r>
      </w:hyperlink>
    </w:p>
    <w:bookmarkEnd w:id="52"/>
    <w:bookmarkStart w:id="54"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3">
        <w:r>
          <w:rPr>
            <w:rStyle w:val="Hyperlink"/>
          </w:rPr>
          <w:t xml:space="preserve">https://doi.org/10.7554/eLife.71601</w:t>
        </w:r>
      </w:hyperlink>
    </w:p>
    <w:bookmarkEnd w:id="54"/>
    <w:bookmarkStart w:id="56"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5">
        <w:r>
          <w:rPr>
            <w:rStyle w:val="Hyperlink"/>
          </w:rPr>
          <w:t xml:space="preserve">https://doi.org/10.1242/bio.059310</w:t>
        </w:r>
      </w:hyperlink>
    </w:p>
    <w:bookmarkEnd w:id="56"/>
    <w:bookmarkStart w:id="58" w:name="ref-forrt2021"/>
    <w:p>
      <w:pPr>
        <w:pStyle w:val="Bibliography"/>
      </w:pPr>
      <w:r>
        <w:t xml:space="preserve">FORRT. (2021). Reproducibility crisis (a.k.a. Replicability or replication crisis). Retrieved from</w:t>
      </w:r>
      <w:r>
        <w:t xml:space="preserve"> </w:t>
      </w:r>
      <w:hyperlink r:id="rId57">
        <w:r>
          <w:rPr>
            <w:rStyle w:val="Hyperlink"/>
          </w:rPr>
          <w:t xml:space="preserve">https://forrt.org/glossary/reproducibility-crisis-aka-replicab/</w:t>
        </w:r>
      </w:hyperlink>
    </w:p>
    <w:bookmarkEnd w:id="58"/>
    <w:bookmarkStart w:id="59"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59"/>
    <w:bookmarkStart w:id="61"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0">
        <w:r>
          <w:rPr>
            <w:rStyle w:val="Hyperlink"/>
          </w:rPr>
          <w:t xml:space="preserve">https://doi.org/10.34293/education.v8i4.3232</w:t>
        </w:r>
      </w:hyperlink>
    </w:p>
    <w:bookmarkEnd w:id="61"/>
    <w:bookmarkStart w:id="63"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2">
        <w:r>
          <w:rPr>
            <w:rStyle w:val="Hyperlink"/>
          </w:rPr>
          <w:t xml:space="preserve">https://doi.org/10.1136/emermed-2017-207158</w:t>
        </w:r>
      </w:hyperlink>
    </w:p>
    <w:bookmarkEnd w:id="63"/>
    <w:bookmarkStart w:id="65" w:name="ref-open2023"/>
    <w:p>
      <w:pPr>
        <w:pStyle w:val="Bibliography"/>
      </w:pPr>
      <w:r>
        <w:t xml:space="preserve">Knowledge, O. (2023).</w:t>
      </w:r>
      <w:r>
        <w:t xml:space="preserve"> </w:t>
      </w:r>
      <w:r>
        <w:t xml:space="preserve">The Open Definition</w:t>
      </w:r>
      <w:r>
        <w:t xml:space="preserve">. Retrieved from</w:t>
      </w:r>
      <w:r>
        <w:t xml:space="preserve"> </w:t>
      </w:r>
      <w:hyperlink r:id="rId64">
        <w:r>
          <w:rPr>
            <w:rStyle w:val="Hyperlink"/>
          </w:rPr>
          <w:t xml:space="preserve">https://opendefinition.org</w:t>
        </w:r>
      </w:hyperlink>
    </w:p>
    <w:bookmarkEnd w:id="65"/>
    <w:bookmarkStart w:id="66"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6"/>
    <w:bookmarkStart w:id="67"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7"/>
    <w:bookmarkStart w:id="69"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68">
        <w:r>
          <w:rPr>
            <w:rStyle w:val="Hyperlink"/>
          </w:rPr>
          <w:t xml:space="preserve">https://youtu.be/0Rnq1NpHdmw?si=6tIMWkEbOY47rhaE</w:t>
        </w:r>
      </w:hyperlink>
    </w:p>
    <w:bookmarkEnd w:id="69"/>
    <w:bookmarkStart w:id="71"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70">
        <w:r>
          <w:rPr>
            <w:rStyle w:val="Hyperlink"/>
          </w:rPr>
          <w:t xml:space="preserve">https://doi.org/10.1126/science.aac4716</w:t>
        </w:r>
      </w:hyperlink>
    </w:p>
    <w:bookmarkEnd w:id="71"/>
    <w:bookmarkStart w:id="73"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72">
        <w:r>
          <w:rPr>
            <w:rStyle w:val="Hyperlink"/>
          </w:rPr>
          <w:t xml:space="preserve">https://doi.org/10.1038/s41562-021-01269-4</w:t>
        </w:r>
      </w:hyperlink>
    </w:p>
    <w:bookmarkEnd w:id="73"/>
    <w:bookmarkStart w:id="75"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74">
        <w:r>
          <w:rPr>
            <w:rStyle w:val="Hyperlink"/>
          </w:rPr>
          <w:t xml:space="preserve">https://doi.org/10.31222/osf.io/ezfsk</w:t>
        </w:r>
      </w:hyperlink>
    </w:p>
    <w:bookmarkEnd w:id="75"/>
    <w:bookmarkStart w:id="77"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76">
        <w:r>
          <w:rPr>
            <w:rStyle w:val="Hyperlink"/>
          </w:rPr>
          <w:t xml:space="preserve">https://doi.org/10.1002/bult.2012.1720390110</w:t>
        </w:r>
      </w:hyperlink>
    </w:p>
    <w:bookmarkEnd w:id="77"/>
    <w:bookmarkStart w:id="79"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8">
        <w:r>
          <w:rPr>
            <w:rStyle w:val="Hyperlink"/>
          </w:rPr>
          <w:t xml:space="preserve">https://doi.org/10.1515/ling-2019-0048</w:t>
        </w:r>
      </w:hyperlink>
    </w:p>
    <w:bookmarkEnd w:id="79"/>
    <w:bookmarkStart w:id="80"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80"/>
    <w:bookmarkStart w:id="82"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81">
        <w:r>
          <w:rPr>
            <w:rStyle w:val="Hyperlink"/>
          </w:rPr>
          <w:t xml:space="preserve">https://doi.org/10.1177/17456916221144988</w:t>
        </w:r>
      </w:hyperlink>
    </w:p>
    <w:bookmarkEnd w:id="82"/>
    <w:bookmarkStart w:id="84"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83">
        <w:r>
          <w:rPr>
            <w:rStyle w:val="Hyperlink"/>
          </w:rPr>
          <w:t xml:space="preserve">https://doi.org/10.1177/0956797611417632</w:t>
        </w:r>
      </w:hyperlink>
    </w:p>
    <w:bookmarkEnd w:id="84"/>
    <w:bookmarkStart w:id="86"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85">
        <w:r>
          <w:rPr>
            <w:rStyle w:val="Hyperlink"/>
          </w:rPr>
          <w:t xml:space="preserve">https://doi.org/10.31234/osf.io/ak6jr</w:t>
        </w:r>
      </w:hyperlink>
    </w:p>
    <w:bookmarkEnd w:id="86"/>
    <w:bookmarkStart w:id="88" w:name="ref-steltenpohl_video"/>
    <w:p>
      <w:pPr>
        <w:pStyle w:val="Bibliography"/>
      </w:pPr>
      <w:r>
        <w:t xml:space="preserve">Steltenpohl, C., Hudson, S., &amp; Klement, K. (2022). How to begin writing a positionality statement. Retrieved from</w:t>
      </w:r>
      <w:r>
        <w:t xml:space="preserve"> </w:t>
      </w:r>
      <w:hyperlink r:id="rId87">
        <w:r>
          <w:rPr>
            <w:rStyle w:val="Hyperlink"/>
          </w:rPr>
          <w:t xml:space="preserve">https://vimeo.com/675236573/741e24aab7</w:t>
        </w:r>
      </w:hyperlink>
    </w:p>
    <w:bookmarkEnd w:id="88"/>
    <w:bookmarkStart w:id="89"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9"/>
    <w:bookmarkStart w:id="91"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90">
        <w:r>
          <w:rPr>
            <w:rStyle w:val="Hyperlink"/>
          </w:rPr>
          <w:t xml:space="preserve">https://www.speechperceptionproductionlab.com/positionalitystatments</w:t>
        </w:r>
      </w:hyperlink>
    </w:p>
    <w:bookmarkEnd w:id="91"/>
    <w:bookmarkStart w:id="93"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92">
        <w:r>
          <w:rPr>
            <w:rStyle w:val="Hyperlink"/>
          </w:rPr>
          <w:t xml:space="preserve">https://doi.org/10.1037/0003-066X.61.7.726</w:t>
        </w:r>
      </w:hyperlink>
    </w:p>
    <w:bookmarkEnd w:id="93"/>
    <w:bookmarkEnd w:id="94"/>
    <w:bookmarkEnd w:id="95"/>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76" Target="https://doi.org/10.1002/bult.2012.1720390110" TargetMode="External" /><Relationship Type="http://schemas.openxmlformats.org/officeDocument/2006/relationships/hyperlink" Id="rId92" Target="https://doi.org/10.1037/0003-066X.61.7.726" TargetMode="External" /><Relationship Type="http://schemas.openxmlformats.org/officeDocument/2006/relationships/hyperlink" Id="rId48" Target="https://doi.org/10.1038/s41562-018-0399-z" TargetMode="External" /><Relationship Type="http://schemas.openxmlformats.org/officeDocument/2006/relationships/hyperlink" Id="rId72"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70"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2" Target="https://doi.org/10.1136/emermed-2017-207158" TargetMode="External" /><Relationship Type="http://schemas.openxmlformats.org/officeDocument/2006/relationships/hyperlink" Id="rId83"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81"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8"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74" Target="https://doi.org/10.31222/osf.io/ezfsk" TargetMode="External" /><Relationship Type="http://schemas.openxmlformats.org/officeDocument/2006/relationships/hyperlink" Id="rId85" Target="https://doi.org/10.31234/osf.io/ak6jr" TargetMode="External" /><Relationship Type="http://schemas.openxmlformats.org/officeDocument/2006/relationships/hyperlink" Id="rId60"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57" Target="https://forrt.org/glossary/reproducibility-crisis-aka-replicab/" TargetMode="External" /><Relationship Type="http://schemas.openxmlformats.org/officeDocument/2006/relationships/hyperlink" Id="rId64" Target="https://opendefinition.org" TargetMode="External" /><Relationship Type="http://schemas.openxmlformats.org/officeDocument/2006/relationships/hyperlink" Id="rId87" Target="https://vimeo.com/675236573/741e24aab7" TargetMode="External" /><Relationship Type="http://schemas.openxmlformats.org/officeDocument/2006/relationships/hyperlink" Id="rId90" Target="https://www.speechperceptionproductionlab.com/positionalitystatments" TargetMode="External" /><Relationship Type="http://schemas.openxmlformats.org/officeDocument/2006/relationships/hyperlink" Id="rId68"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002/bult.2012.1720390110" TargetMode="External" /><Relationship Type="http://schemas.openxmlformats.org/officeDocument/2006/relationships/hyperlink" Id="rId92" Target="https://doi.org/10.1037/0003-066X.61.7.726" TargetMode="External" /><Relationship Type="http://schemas.openxmlformats.org/officeDocument/2006/relationships/hyperlink" Id="rId48" Target="https://doi.org/10.1038/s41562-018-0399-z" TargetMode="External" /><Relationship Type="http://schemas.openxmlformats.org/officeDocument/2006/relationships/hyperlink" Id="rId72"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70"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2" Target="https://doi.org/10.1136/emermed-2017-207158" TargetMode="External" /><Relationship Type="http://schemas.openxmlformats.org/officeDocument/2006/relationships/hyperlink" Id="rId83"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81"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8"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74" Target="https://doi.org/10.31222/osf.io/ezfsk" TargetMode="External" /><Relationship Type="http://schemas.openxmlformats.org/officeDocument/2006/relationships/hyperlink" Id="rId85" Target="https://doi.org/10.31234/osf.io/ak6jr" TargetMode="External" /><Relationship Type="http://schemas.openxmlformats.org/officeDocument/2006/relationships/hyperlink" Id="rId60"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57" Target="https://forrt.org/glossary/reproducibility-crisis-aka-replicab/" TargetMode="External" /><Relationship Type="http://schemas.openxmlformats.org/officeDocument/2006/relationships/hyperlink" Id="rId64" Target="https://opendefinition.org" TargetMode="External" /><Relationship Type="http://schemas.openxmlformats.org/officeDocument/2006/relationships/hyperlink" Id="rId87" Target="https://vimeo.com/675236573/741e24aab7" TargetMode="External" /><Relationship Type="http://schemas.openxmlformats.org/officeDocument/2006/relationships/hyperlink" Id="rId90" Target="https://www.speechperceptionproductionlab.com/positionalitystatments" TargetMode="External" /><Relationship Type="http://schemas.openxmlformats.org/officeDocument/2006/relationships/hyperlink" Id="rId68"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2023-12-17T23:08:18Z</dcterms:created>
  <dcterms:modified xsi:type="dcterms:W3CDTF">2023-12-17T23:08:18Z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