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项目周报</w:t>
      </w:r>
    </w:p>
    <w:p>
      <w:r>
        <w:t xml:space="preserve">本周完成了三项既定工作，整体进度符合预期。</w:t>
      </w:r>
    </w:p>
    <w:p>
      <w:pPr>
        <w:pStyle w:val="Heading2"/>
      </w:pPr>
      <w:r>
        <w:t xml:space="preserve">本周进展</w:t>
      </w:r>
    </w:p>
    <w:p>
      <w:r>
        <w:t xml:space="preserve">玄武区交付节点已提前两天完成，客户已确认验收。</w:t>
      </w:r>
    </w:p>
    <w:p>
      <w:r>
        <w:t xml:space="preserve">盘点差异 37 件已经全部核销，未发现账外资产。</w:t>
      </w:r>
    </w:p>
    <w:p>
      <w:pPr>
        <w:pStyle w:val="Heading2"/>
      </w:pPr>
      <w:r>
        <w:t xml:space="preserve">遗留问题</w:t>
      </w:r>
    </w:p>
    <w:p>
      <w:r>
        <w:t xml:space="preserve">历史合同扫描件缺少签署页，已在跟进补齐。</w:t>
      </w:r>
    </w:p>
    <w:tbl>
      <w:tr>
        <w:tc>
          <w:tcPr>
            <w:tcW w:w="2400" w:type="dxa"/>
          </w:tcPr>
          <w:p>
            <w:r>
              <w:t xml:space="preserve">负责人</w:t>
            </w:r>
          </w:p>
        </w:tc>
        <w:tc>
          <w:tcPr>
            <w:tcW w:w="2400" w:type="dxa"/>
          </w:tcPr>
          <w:p>
            <w:r>
              <w:t xml:space="preserve">事项</w:t>
            </w:r>
          </w:p>
        </w:tc>
        <w:tc>
          <w:tcPr>
            <w:tcW w:w="2400" w:type="dxa"/>
          </w:tcPr>
          <w:p>
            <w:r>
              <w:t xml:space="preserve">截止日</w:t>
            </w:r>
          </w:p>
        </w:tc>
      </w:tr>
      <w:tr>
        <w:tc>
          <w:tcPr>
            <w:tcW w:w="2400" w:type="dxa"/>
          </w:tcPr>
          <w:p>
            <w:r>
              <w:t xml:space="preserve">张伟</w:t>
            </w:r>
          </w:p>
        </w:tc>
        <w:tc>
          <w:tcPr>
            <w:tcW w:w="2400" w:type="dxa"/>
          </w:tcPr>
          <w:p>
            <w:r>
              <w:t xml:space="preserve">交付验收</w:t>
            </w:r>
          </w:p>
        </w:tc>
        <w:tc>
          <w:tcPr>
            <w:tcW w:w="2400" w:type="dxa"/>
          </w:tcPr>
          <w:p>
            <w:r>
              <w:t xml:space="preserve">10 月 12 日</w:t>
            </w:r>
          </w:p>
        </w:tc>
      </w:tr>
      <w:tr>
        <w:tc>
          <w:tcPr>
            <w:tcW w:w="2400" w:type="dxa"/>
          </w:tcPr>
          <w:p>
            <w:r>
              <w:t xml:space="preserve">李娜</w:t>
            </w:r>
          </w:p>
        </w:tc>
        <w:tc>
          <w:tcPr>
            <w:tcW w:w="2400" w:type="dxa"/>
          </w:tcPr>
          <w:p>
            <w:r>
              <w:t xml:space="preserve">资产盘点</w:t>
            </w:r>
          </w:p>
        </w:tc>
        <w:tc>
          <w:tcPr>
            <w:tcW w:w="2400" w:type="dxa"/>
          </w:tcPr>
          <w:p>
            <w:r>
              <w:t xml:space="preserve">10 月 20 日</w:t>
            </w:r>
          </w:p>
        </w:tc>
      </w:tr>
    </w:tbl>
    <w:p>
      <w:pPr>
        <w:pStyle w:val="Heading1"/>
      </w:pPr>
      <w:r>
        <w:t xml:space="preserve">下周计划</w:t>
      </w:r>
    </w:p>
    <w:p>
      <w:r>
        <w:t xml:space="preserve">完成三季度复盘材料并提交评审。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ListBullet">
    <w:name w:val="List Bullet"/>
  </w:style>
</w:styles>
</file>