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B1A" w:rsidRPr="00610E38" w:rsidRDefault="00610E38" w:rsidP="00505D7C">
      <w:pPr>
        <w:spacing w:line="240" w:lineRule="auto"/>
        <w:jc w:val="center"/>
        <w:rPr>
          <w:b/>
          <w:sz w:val="28"/>
          <w:szCs w:val="28"/>
        </w:rPr>
      </w:pPr>
      <w:r w:rsidRPr="00610E38">
        <w:rPr>
          <w:b/>
          <w:sz w:val="28"/>
          <w:szCs w:val="28"/>
        </w:rPr>
        <w:t xml:space="preserve">Introduction to Portfolio Management &amp; </w:t>
      </w:r>
      <w:r w:rsidR="001B54C4">
        <w:rPr>
          <w:b/>
          <w:sz w:val="28"/>
          <w:szCs w:val="28"/>
        </w:rPr>
        <w:t>Exchange Traded Derivatives</w:t>
      </w:r>
      <w:r w:rsidR="001B54C4">
        <w:rPr>
          <w:b/>
          <w:sz w:val="28"/>
          <w:szCs w:val="28"/>
        </w:rPr>
        <w:br/>
        <w:t>MAN</w:t>
      </w:r>
      <w:r w:rsidRPr="00610E38">
        <w:rPr>
          <w:b/>
          <w:sz w:val="28"/>
          <w:szCs w:val="28"/>
        </w:rPr>
        <w:t>G 6142</w:t>
      </w:r>
      <w:r w:rsidR="00505D7C">
        <w:rPr>
          <w:b/>
          <w:sz w:val="28"/>
          <w:szCs w:val="28"/>
        </w:rPr>
        <w:t xml:space="preserve">     </w:t>
      </w:r>
      <w:r w:rsidR="001B7B1A" w:rsidRPr="001B7B1A">
        <w:rPr>
          <w:b/>
          <w:sz w:val="28"/>
          <w:szCs w:val="28"/>
        </w:rPr>
        <w:t>2016/2017</w:t>
      </w:r>
    </w:p>
    <w:p w:rsidR="00836A24" w:rsidRPr="007241A2" w:rsidRDefault="00836A24" w:rsidP="004A1F5D">
      <w:pPr>
        <w:spacing w:line="240" w:lineRule="auto"/>
        <w:jc w:val="center"/>
        <w:rPr>
          <w:b/>
          <w:sz w:val="28"/>
          <w:szCs w:val="28"/>
        </w:rPr>
      </w:pPr>
      <w:r w:rsidRPr="007241A2">
        <w:rPr>
          <w:b/>
          <w:sz w:val="28"/>
          <w:szCs w:val="28"/>
        </w:rPr>
        <w:t xml:space="preserve">Due Date: </w:t>
      </w:r>
      <w:r w:rsidR="00DD3A10">
        <w:rPr>
          <w:b/>
          <w:sz w:val="28"/>
          <w:szCs w:val="28"/>
        </w:rPr>
        <w:t>30</w:t>
      </w:r>
      <w:r w:rsidRPr="007241A2">
        <w:rPr>
          <w:b/>
          <w:sz w:val="28"/>
          <w:szCs w:val="28"/>
          <w:vertAlign w:val="superscript"/>
        </w:rPr>
        <w:t>th</w:t>
      </w:r>
      <w:r w:rsidR="00004353">
        <w:rPr>
          <w:b/>
          <w:sz w:val="28"/>
          <w:szCs w:val="28"/>
        </w:rPr>
        <w:t xml:space="preserve"> </w:t>
      </w:r>
      <w:r w:rsidR="007717E4">
        <w:rPr>
          <w:b/>
          <w:sz w:val="28"/>
          <w:szCs w:val="28"/>
        </w:rPr>
        <w:t>November</w:t>
      </w:r>
      <w:r w:rsidR="00004353">
        <w:rPr>
          <w:b/>
          <w:sz w:val="28"/>
          <w:szCs w:val="28"/>
        </w:rPr>
        <w:t xml:space="preserve"> 2016</w:t>
      </w:r>
    </w:p>
    <w:p w:rsidR="00836A24" w:rsidRPr="006A1755" w:rsidRDefault="0058726B" w:rsidP="004A1F5D">
      <w:pPr>
        <w:spacing w:line="240" w:lineRule="auto"/>
        <w:jc w:val="center"/>
        <w:rPr>
          <w:b/>
          <w:sz w:val="28"/>
          <w:szCs w:val="28"/>
        </w:rPr>
      </w:pPr>
      <w:r w:rsidRPr="007241A2">
        <w:rPr>
          <w:b/>
          <w:sz w:val="28"/>
          <w:szCs w:val="28"/>
        </w:rPr>
        <w:t>Group work (group size = 5)</w:t>
      </w:r>
      <w:r w:rsidR="001A3E95">
        <w:rPr>
          <w:b/>
          <w:sz w:val="28"/>
          <w:szCs w:val="28"/>
        </w:rPr>
        <w:t xml:space="preserve"> </w:t>
      </w:r>
      <w:r w:rsidRPr="007241A2">
        <w:rPr>
          <w:b/>
          <w:sz w:val="28"/>
          <w:szCs w:val="28"/>
        </w:rPr>
        <w:t xml:space="preserve">30% weightage  </w:t>
      </w:r>
    </w:p>
    <w:p w:rsidR="00E95156" w:rsidRDefault="006A5388">
      <w:r>
        <w:t>Y</w:t>
      </w:r>
      <w:r w:rsidR="00E95156">
        <w:t>ou will use</w:t>
      </w:r>
      <w:r w:rsidR="009F4329">
        <w:t xml:space="preserve"> </w:t>
      </w:r>
      <w:r w:rsidR="0010631D">
        <w:t>the value-weighted market returns</w:t>
      </w:r>
      <w:r w:rsidR="001718E2">
        <w:t xml:space="preserve"> and eight</w:t>
      </w:r>
      <w:r w:rsidR="00226DBC">
        <w:t xml:space="preserve"> U.S.</w:t>
      </w:r>
      <w:r w:rsidR="007063B7">
        <w:t xml:space="preserve"> companies’ </w:t>
      </w:r>
      <w:r w:rsidR="0010631D">
        <w:t>monthly</w:t>
      </w:r>
      <w:r w:rsidR="00E95156">
        <w:t xml:space="preserve"> </w:t>
      </w:r>
      <w:r w:rsidR="0010631D">
        <w:t>returns</w:t>
      </w:r>
      <w:r w:rsidR="00E95156">
        <w:t xml:space="preserve"> </w:t>
      </w:r>
      <w:r w:rsidR="001718E2">
        <w:t>for the coursework. Eight</w:t>
      </w:r>
      <w:r w:rsidR="00E95156">
        <w:t xml:space="preserve"> compa</w:t>
      </w:r>
      <w:r w:rsidR="00826CC7">
        <w:t>n</w:t>
      </w:r>
      <w:r w:rsidR="002443BD">
        <w:t>ies should be from at least three</w:t>
      </w:r>
      <w:r w:rsidR="00E95156">
        <w:t xml:space="preserve"> </w:t>
      </w:r>
      <w:r w:rsidR="00052A26">
        <w:t xml:space="preserve">different </w:t>
      </w:r>
      <w:r w:rsidR="001718E2">
        <w:t xml:space="preserve">industries (e.g., </w:t>
      </w:r>
      <w:proofErr w:type="spellStart"/>
      <w:r w:rsidR="001718E2">
        <w:t>Fama</w:t>
      </w:r>
      <w:proofErr w:type="spellEnd"/>
      <w:r w:rsidR="001718E2">
        <w:t xml:space="preserve"> and French industry classifications</w:t>
      </w:r>
      <w:r w:rsidR="00BC1E44">
        <w:t>,</w:t>
      </w:r>
      <w:r w:rsidR="00BC1E44" w:rsidRPr="00BC1E44">
        <w:t xml:space="preserve"> http://mba.tuck.dartmouth.edu/pages/faculty/ken.french/</w:t>
      </w:r>
      <w:r w:rsidR="001718E2">
        <w:t>)</w:t>
      </w:r>
      <w:r w:rsidR="00E95156">
        <w:t xml:space="preserve">. The </w:t>
      </w:r>
      <w:r w:rsidR="00E918BA">
        <w:t>sample period should be</w:t>
      </w:r>
      <w:r w:rsidR="00037668">
        <w:t xml:space="preserve"> at least</w:t>
      </w:r>
      <w:r w:rsidR="003C5819">
        <w:t xml:space="preserve"> 5</w:t>
      </w:r>
      <w:r w:rsidR="001A0837">
        <w:t xml:space="preserve"> year</w:t>
      </w:r>
      <w:r w:rsidR="00EA39FD">
        <w:t>s</w:t>
      </w:r>
      <w:r w:rsidR="00561954">
        <w:t>. The</w:t>
      </w:r>
      <w:r w:rsidR="00E95156">
        <w:t xml:space="preserve"> data can be downloaded from </w:t>
      </w:r>
      <w:r w:rsidR="00AE0C61" w:rsidRPr="00AE0C61">
        <w:t>Wharton Research Data Services</w:t>
      </w:r>
      <w:r w:rsidR="00AE0C61">
        <w:t xml:space="preserve"> (</w:t>
      </w:r>
      <w:r w:rsidR="00EA39FD">
        <w:t>WRDS</w:t>
      </w:r>
      <w:r w:rsidR="00AE0C61">
        <w:t>) using username: mang6142 and password: Soton2016</w:t>
      </w:r>
      <w:r w:rsidR="00EA39FD">
        <w:t xml:space="preserve">. </w:t>
      </w:r>
    </w:p>
    <w:p w:rsidR="00E95156" w:rsidRDefault="00E95156" w:rsidP="00B2691D">
      <w:pPr>
        <w:spacing w:line="240" w:lineRule="auto"/>
      </w:pPr>
      <w:r>
        <w:t>Tasks:</w:t>
      </w:r>
    </w:p>
    <w:p w:rsidR="00D226CD" w:rsidRDefault="00D226CD" w:rsidP="004244ED">
      <w:pPr>
        <w:spacing w:line="240" w:lineRule="auto"/>
      </w:pPr>
      <w:r>
        <w:t>(A)</w:t>
      </w:r>
    </w:p>
    <w:p w:rsidR="00CD1894" w:rsidRDefault="00372D1B" w:rsidP="004244ED">
      <w:pPr>
        <w:pStyle w:val="ListParagraph"/>
        <w:numPr>
          <w:ilvl w:val="0"/>
          <w:numId w:val="6"/>
        </w:numPr>
        <w:spacing w:line="240" w:lineRule="auto"/>
      </w:pPr>
      <w:r>
        <w:t>Collect</w:t>
      </w:r>
      <w:r w:rsidR="00D226CD" w:rsidRPr="00D226CD">
        <w:t xml:space="preserve"> eight companies</w:t>
      </w:r>
      <w:r w:rsidR="00D226CD">
        <w:t>’ stock monthly returns from three different industries</w:t>
      </w:r>
      <w:r w:rsidR="00CD1894">
        <w:t>.</w:t>
      </w:r>
    </w:p>
    <w:p w:rsidR="00D226CD" w:rsidRPr="00D226CD" w:rsidRDefault="00D226CD" w:rsidP="004244ED">
      <w:pPr>
        <w:spacing w:line="240" w:lineRule="auto"/>
        <w:ind w:left="6480" w:firstLine="720"/>
      </w:pPr>
      <w:r w:rsidRPr="00EA5E7B">
        <w:rPr>
          <w:b/>
        </w:rPr>
        <w:t>(9 Marks)</w:t>
      </w:r>
    </w:p>
    <w:p w:rsidR="00CD1894" w:rsidRDefault="00372D1B" w:rsidP="004244ED">
      <w:pPr>
        <w:pStyle w:val="ListParagraph"/>
        <w:numPr>
          <w:ilvl w:val="0"/>
          <w:numId w:val="6"/>
        </w:numPr>
        <w:spacing w:line="240" w:lineRule="auto"/>
      </w:pPr>
      <w:r>
        <w:t>Collect</w:t>
      </w:r>
      <w:r w:rsidR="00D226CD" w:rsidRPr="00D226CD">
        <w:t xml:space="preserve"> </w:t>
      </w:r>
      <w:r w:rsidR="00D226CD">
        <w:t>the value-weighted market returns</w:t>
      </w:r>
      <w:bookmarkStart w:id="0" w:name="_GoBack"/>
      <w:bookmarkEnd w:id="0"/>
      <w:r w:rsidR="00D226CD">
        <w:t xml:space="preserve"> and r</w:t>
      </w:r>
      <w:r w:rsidR="00D226CD" w:rsidRPr="00D226CD">
        <w:t>isk-free rate</w:t>
      </w:r>
      <w:r w:rsidR="00CD1894">
        <w:t>.</w:t>
      </w:r>
      <w:r w:rsidR="00D226CD" w:rsidRPr="00D226CD">
        <w:t xml:space="preserve"> </w:t>
      </w:r>
    </w:p>
    <w:p w:rsidR="00D226CD" w:rsidRDefault="00CD1894" w:rsidP="004244ED">
      <w:pPr>
        <w:pStyle w:val="ListParagraph"/>
        <w:spacing w:line="240" w:lineRule="auto"/>
        <w:ind w:left="6480" w:firstLine="720"/>
      </w:pPr>
      <w:r>
        <w:t xml:space="preserve"> </w:t>
      </w:r>
      <w:r w:rsidR="00D226CD" w:rsidRPr="00D226CD">
        <w:rPr>
          <w:b/>
        </w:rPr>
        <w:t>(4 Marks)</w:t>
      </w:r>
    </w:p>
    <w:p w:rsidR="00D655E9" w:rsidRDefault="00D655E9" w:rsidP="004244ED">
      <w:pPr>
        <w:spacing w:line="240" w:lineRule="auto"/>
      </w:pPr>
      <w:r>
        <w:t>(</w:t>
      </w:r>
      <w:r w:rsidR="00D226CD">
        <w:t>B</w:t>
      </w:r>
      <w:r>
        <w:t>)</w:t>
      </w:r>
    </w:p>
    <w:p w:rsidR="000F7ADE" w:rsidRDefault="000F7ADE" w:rsidP="00372D1B">
      <w:pPr>
        <w:numPr>
          <w:ilvl w:val="0"/>
          <w:numId w:val="7"/>
        </w:numPr>
        <w:spacing w:line="240" w:lineRule="auto"/>
      </w:pPr>
      <w:r>
        <w:t xml:space="preserve">Estimate </w:t>
      </w:r>
      <w:r w:rsidR="00372D1B">
        <w:t xml:space="preserve">all the </w:t>
      </w:r>
      <w:r w:rsidR="00372D1B" w:rsidRPr="00372D1B">
        <w:t xml:space="preserve">possible bivariate combinations of </w:t>
      </w:r>
      <w:r>
        <w:t>corre</w:t>
      </w:r>
      <w:r w:rsidR="00372D1B">
        <w:t xml:space="preserve">lation coefficient </w:t>
      </w:r>
      <w:r>
        <w:t>using t</w:t>
      </w:r>
      <w:r w:rsidR="00CD1894">
        <w:t>he selecte</w:t>
      </w:r>
      <w:r w:rsidR="00A72F70">
        <w:t>d eight firm</w:t>
      </w:r>
      <w:r w:rsidR="009446FF">
        <w:t>s</w:t>
      </w:r>
      <w:r w:rsidR="00CD1894">
        <w:t>' stocks.</w:t>
      </w:r>
      <w:r>
        <w:t xml:space="preserve"> </w:t>
      </w:r>
      <w:r>
        <w:tab/>
      </w:r>
      <w:r>
        <w:tab/>
      </w:r>
      <w:r>
        <w:tab/>
      </w:r>
      <w:r>
        <w:tab/>
      </w:r>
      <w:r>
        <w:tab/>
      </w:r>
      <w:r>
        <w:tab/>
      </w:r>
      <w:r>
        <w:tab/>
      </w:r>
      <w:r>
        <w:tab/>
      </w:r>
      <w:r>
        <w:tab/>
      </w:r>
      <w:r w:rsidR="00D703CF">
        <w:tab/>
      </w:r>
      <w:r w:rsidR="009446FF">
        <w:tab/>
      </w:r>
      <w:r w:rsidR="009446FF">
        <w:tab/>
      </w:r>
      <w:r w:rsidR="009446FF">
        <w:tab/>
      </w:r>
      <w:r w:rsidR="009446FF">
        <w:tab/>
      </w:r>
      <w:r w:rsidR="009446FF">
        <w:tab/>
      </w:r>
      <w:r w:rsidR="009446FF">
        <w:tab/>
      </w:r>
      <w:r w:rsidR="009446FF">
        <w:tab/>
      </w:r>
      <w:r w:rsidR="009446FF">
        <w:tab/>
      </w:r>
      <w:r>
        <w:rPr>
          <w:b/>
        </w:rPr>
        <w:t>(8 Marks)</w:t>
      </w:r>
    </w:p>
    <w:p w:rsidR="00CD1894" w:rsidRDefault="000F7ADE" w:rsidP="004244ED">
      <w:pPr>
        <w:numPr>
          <w:ilvl w:val="0"/>
          <w:numId w:val="7"/>
        </w:numPr>
        <w:spacing w:line="240" w:lineRule="auto"/>
      </w:pPr>
      <w:r>
        <w:t>Discuss the advantages and disadvantages in estimating correlation coeffic</w:t>
      </w:r>
      <w:r w:rsidR="00CD1894">
        <w:t>ients using single-index models.</w:t>
      </w:r>
    </w:p>
    <w:p w:rsidR="00CD1894" w:rsidRDefault="00CD1894" w:rsidP="004244ED">
      <w:pPr>
        <w:spacing w:line="240" w:lineRule="auto"/>
        <w:ind w:left="6480" w:firstLine="720"/>
      </w:pPr>
      <w:r>
        <w:t xml:space="preserve"> </w:t>
      </w:r>
      <w:r w:rsidR="000F7ADE" w:rsidRPr="00CD1894">
        <w:rPr>
          <w:b/>
        </w:rPr>
        <w:t>(10 Marks)</w:t>
      </w:r>
      <w:r>
        <w:rPr>
          <w:b/>
        </w:rPr>
        <w:t xml:space="preserve"> </w:t>
      </w:r>
    </w:p>
    <w:p w:rsidR="004A1F5D" w:rsidRDefault="00D703CF" w:rsidP="004244ED">
      <w:pPr>
        <w:numPr>
          <w:ilvl w:val="0"/>
          <w:numId w:val="7"/>
        </w:numPr>
        <w:spacing w:line="240" w:lineRule="auto"/>
      </w:pPr>
      <w:r w:rsidRPr="00D703CF">
        <w:t xml:space="preserve">Plot </w:t>
      </w:r>
      <w:r w:rsidR="00CD1894">
        <w:t>portfolio return</w:t>
      </w:r>
      <w:r w:rsidRPr="00D703CF">
        <w:object w:dxaOrig="3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pt;height:17pt" o:ole="">
            <v:imagedata r:id="rId7" o:title=""/>
          </v:shape>
          <o:OLEObject Type="Embed" ProgID="Equation.3" ShapeID="_x0000_i1025" DrawAspect="Content" ObjectID="_1536046960" r:id="rId8"/>
        </w:object>
      </w:r>
      <w:r w:rsidRPr="00D703CF">
        <w:t xml:space="preserve"> and </w:t>
      </w:r>
      <w:r w:rsidR="00EC15CB">
        <w:t xml:space="preserve">portfolio </w:t>
      </w:r>
      <w:r w:rsidR="00CD1894">
        <w:t>standard deviation</w:t>
      </w:r>
      <w:r w:rsidRPr="00D703CF">
        <w:object w:dxaOrig="320" w:dyaOrig="340">
          <v:shape id="_x0000_i1026" type="#_x0000_t75" style="width:16pt;height:17pt" o:ole="">
            <v:imagedata r:id="rId9" o:title=""/>
          </v:shape>
          <o:OLEObject Type="Embed" ProgID="Equation.3" ShapeID="_x0000_i1026" DrawAspect="Content" ObjectID="_1536046961" r:id="rId10"/>
        </w:object>
      </w:r>
      <w:r w:rsidRPr="00D703CF">
        <w:t xml:space="preserve"> </w:t>
      </w:r>
      <w:r w:rsidR="00CD1894">
        <w:t>based on</w:t>
      </w:r>
      <w:r w:rsidRPr="00D703CF">
        <w:t xml:space="preserve"> the selected</w:t>
      </w:r>
      <w:r w:rsidR="00E746C6">
        <w:t xml:space="preserve"> eight</w:t>
      </w:r>
      <w:r w:rsidRPr="00D703CF">
        <w:t xml:space="preserve"> </w:t>
      </w:r>
      <w:r w:rsidR="00117100">
        <w:t>firms.</w:t>
      </w:r>
      <w:r w:rsidR="000F7ADE">
        <w:tab/>
      </w:r>
      <w:r w:rsidR="000F7ADE">
        <w:tab/>
      </w:r>
      <w:r w:rsidR="000F7ADE">
        <w:tab/>
      </w:r>
      <w:r w:rsidR="000F7ADE">
        <w:tab/>
      </w:r>
      <w:r w:rsidR="000F7ADE">
        <w:tab/>
      </w:r>
      <w:r w:rsidR="000F7ADE">
        <w:tab/>
      </w:r>
      <w:r w:rsidR="000F7ADE">
        <w:tab/>
      </w:r>
      <w:r w:rsidR="00A80BFD">
        <w:tab/>
      </w:r>
      <w:r w:rsidR="00A80BFD">
        <w:tab/>
      </w:r>
      <w:r w:rsidR="00A80BFD">
        <w:tab/>
      </w:r>
      <w:r w:rsidR="003869CB">
        <w:t xml:space="preserve"> </w:t>
      </w:r>
    </w:p>
    <w:p w:rsidR="00D655E9" w:rsidRDefault="004A1F5D" w:rsidP="004A1F5D">
      <w:pPr>
        <w:spacing w:line="240" w:lineRule="auto"/>
        <w:ind w:left="6480" w:firstLine="720"/>
      </w:pPr>
      <w:r>
        <w:rPr>
          <w:b/>
        </w:rPr>
        <w:t>(15 Marks)</w:t>
      </w:r>
      <w:r w:rsidR="008657B3">
        <w:tab/>
      </w:r>
    </w:p>
    <w:p w:rsidR="009C79AB" w:rsidRDefault="00EC1DA0" w:rsidP="004244ED">
      <w:pPr>
        <w:spacing w:line="240" w:lineRule="auto"/>
      </w:pPr>
      <w:r>
        <w:t>(</w:t>
      </w:r>
      <w:r w:rsidR="00D226CD">
        <w:t>C</w:t>
      </w:r>
      <w:r w:rsidR="009C79AB">
        <w:t>)</w:t>
      </w:r>
    </w:p>
    <w:p w:rsidR="0057392F" w:rsidRDefault="00E95156" w:rsidP="004244ED">
      <w:pPr>
        <w:numPr>
          <w:ilvl w:val="0"/>
          <w:numId w:val="1"/>
        </w:numPr>
        <w:spacing w:line="240" w:lineRule="auto"/>
      </w:pPr>
      <w:r>
        <w:t xml:space="preserve">Using data for the entire sample period, run </w:t>
      </w:r>
      <w:r w:rsidR="0088552B">
        <w:t>a time-series regression for</w:t>
      </w:r>
      <w:r>
        <w:t xml:space="preserve"> each of the selected companies</w:t>
      </w:r>
      <w:r w:rsidR="0088552B">
        <w:t>. Specifically, regress each company return</w:t>
      </w:r>
      <w:r>
        <w:t xml:space="preserve"> onto a constant and </w:t>
      </w:r>
      <w:r w:rsidR="0088552B">
        <w:t xml:space="preserve">a </w:t>
      </w:r>
      <w:r>
        <w:t>market excess return</w:t>
      </w:r>
      <w:r w:rsidR="0088552B">
        <w:t>. V</w:t>
      </w:r>
      <w:r>
        <w:t>erify</w:t>
      </w:r>
      <w:r w:rsidR="0088552B">
        <w:t>, in each case,</w:t>
      </w:r>
      <w:r>
        <w:t xml:space="preserve"> </w:t>
      </w:r>
      <w:r w:rsidR="00BD2C8B">
        <w:t>whether</w:t>
      </w:r>
      <w:r w:rsidR="00BD2C8B">
        <w:t xml:space="preserve"> </w:t>
      </w:r>
      <w:r>
        <w:t>there exists a</w:t>
      </w:r>
      <w:r w:rsidR="00BD2C8B" w:rsidRPr="00BD2C8B">
        <w:t xml:space="preserve"> </w:t>
      </w:r>
      <w:r w:rsidR="00BD2C8B">
        <w:t>statistically</w:t>
      </w:r>
      <w:r>
        <w:t xml:space="preserve"> significant beta.</w:t>
      </w:r>
      <w:r w:rsidR="001464A3">
        <w:tab/>
      </w:r>
    </w:p>
    <w:p w:rsidR="001464A3" w:rsidRDefault="00500BD2" w:rsidP="004244ED">
      <w:pPr>
        <w:spacing w:line="240" w:lineRule="auto"/>
        <w:ind w:left="7200"/>
      </w:pPr>
      <w:r>
        <w:rPr>
          <w:b/>
        </w:rPr>
        <w:t>(12</w:t>
      </w:r>
      <w:r w:rsidR="001464A3">
        <w:rPr>
          <w:b/>
        </w:rPr>
        <w:t xml:space="preserve"> Marks)</w:t>
      </w:r>
    </w:p>
    <w:p w:rsidR="0057392F" w:rsidRDefault="00E95156" w:rsidP="004244ED">
      <w:pPr>
        <w:numPr>
          <w:ilvl w:val="0"/>
          <w:numId w:val="1"/>
        </w:numPr>
        <w:spacing w:line="240" w:lineRule="auto"/>
      </w:pPr>
      <w:r>
        <w:t>Report the t-stati</w:t>
      </w:r>
      <w:r w:rsidR="00C36EFA">
        <w:t>sti</w:t>
      </w:r>
      <w:r w:rsidR="007C2EDC">
        <w:t>c for alpha and the R-squared</w:t>
      </w:r>
      <w:r>
        <w:t xml:space="preserve"> for each company.</w:t>
      </w:r>
      <w:r w:rsidR="009D452D">
        <w:tab/>
      </w:r>
    </w:p>
    <w:p w:rsidR="00E95156" w:rsidRDefault="00500BD2" w:rsidP="004244ED">
      <w:pPr>
        <w:spacing w:line="240" w:lineRule="auto"/>
        <w:ind w:left="7200"/>
      </w:pPr>
      <w:r>
        <w:rPr>
          <w:b/>
        </w:rPr>
        <w:t>(12</w:t>
      </w:r>
      <w:r w:rsidR="009D452D">
        <w:rPr>
          <w:b/>
        </w:rPr>
        <w:t xml:space="preserve"> Marks)</w:t>
      </w:r>
    </w:p>
    <w:p w:rsidR="0057392F" w:rsidRDefault="00E95156" w:rsidP="004244ED">
      <w:pPr>
        <w:numPr>
          <w:ilvl w:val="0"/>
          <w:numId w:val="1"/>
        </w:numPr>
        <w:spacing w:line="240" w:lineRule="auto"/>
      </w:pPr>
      <w:r>
        <w:t xml:space="preserve">Discuss your results and </w:t>
      </w:r>
      <w:r w:rsidR="00AB41DA">
        <w:t xml:space="preserve">the </w:t>
      </w:r>
      <w:r>
        <w:t>merits and demerits of CAPM analysis.</w:t>
      </w:r>
      <w:r w:rsidR="00AE4A4A">
        <w:tab/>
      </w:r>
    </w:p>
    <w:p w:rsidR="00E95156" w:rsidRDefault="00AE4A4A" w:rsidP="004244ED">
      <w:pPr>
        <w:spacing w:line="240" w:lineRule="auto"/>
        <w:ind w:left="6480" w:firstLine="720"/>
      </w:pPr>
      <w:r>
        <w:rPr>
          <w:b/>
        </w:rPr>
        <w:t>(10 Marks)</w:t>
      </w:r>
    </w:p>
    <w:p w:rsidR="0057392F" w:rsidRDefault="00E95156" w:rsidP="004244ED">
      <w:pPr>
        <w:numPr>
          <w:ilvl w:val="0"/>
          <w:numId w:val="1"/>
        </w:numPr>
        <w:spacing w:line="240" w:lineRule="auto"/>
      </w:pPr>
      <w:r>
        <w:lastRenderedPageBreak/>
        <w:t>Discuss whether your results are sensitive to sector characteristics.</w:t>
      </w:r>
      <w:r w:rsidR="00AE4A4A">
        <w:tab/>
      </w:r>
    </w:p>
    <w:p w:rsidR="00E95156" w:rsidRDefault="00AE4A4A" w:rsidP="004244ED">
      <w:pPr>
        <w:spacing w:line="240" w:lineRule="auto"/>
        <w:ind w:left="7200"/>
      </w:pPr>
      <w:r>
        <w:rPr>
          <w:b/>
        </w:rPr>
        <w:t>(5 Marks)</w:t>
      </w:r>
    </w:p>
    <w:p w:rsidR="00D226CD" w:rsidRDefault="00D226CD" w:rsidP="004244ED">
      <w:pPr>
        <w:spacing w:line="240" w:lineRule="auto"/>
        <w:rPr>
          <w:rFonts w:ascii="Lucida Sans" w:hAnsi="Lucida Sans"/>
          <w:sz w:val="20"/>
          <w:szCs w:val="20"/>
        </w:rPr>
      </w:pPr>
      <w:r>
        <w:rPr>
          <w:rFonts w:ascii="Lucida Sans" w:hAnsi="Lucida Sans"/>
          <w:sz w:val="20"/>
          <w:szCs w:val="20"/>
        </w:rPr>
        <w:t>(D)</w:t>
      </w:r>
    </w:p>
    <w:p w:rsidR="00B2691D" w:rsidRDefault="00D226CD" w:rsidP="004244ED">
      <w:pPr>
        <w:spacing w:line="240" w:lineRule="auto"/>
        <w:rPr>
          <w:rFonts w:ascii="Lucida Sans" w:hAnsi="Lucida Sans"/>
          <w:sz w:val="20"/>
          <w:szCs w:val="20"/>
        </w:rPr>
      </w:pPr>
      <w:r w:rsidRPr="00D226CD">
        <w:rPr>
          <w:rFonts w:ascii="Lucida Sans" w:hAnsi="Lucida Sans"/>
          <w:sz w:val="20"/>
          <w:szCs w:val="20"/>
        </w:rPr>
        <w:t xml:space="preserve">Report writing (references, format, academic writing style etc.) </w:t>
      </w:r>
      <w:r w:rsidRPr="00D226CD">
        <w:rPr>
          <w:rFonts w:ascii="Lucida Sans" w:hAnsi="Lucida Sans"/>
          <w:sz w:val="20"/>
          <w:szCs w:val="20"/>
        </w:rPr>
        <w:tab/>
      </w:r>
      <w:r w:rsidRPr="00D226CD">
        <w:rPr>
          <w:rFonts w:ascii="Lucida Sans" w:hAnsi="Lucida Sans"/>
          <w:sz w:val="20"/>
          <w:szCs w:val="20"/>
        </w:rPr>
        <w:tab/>
      </w:r>
    </w:p>
    <w:p w:rsidR="00D226CD" w:rsidRPr="00D226CD" w:rsidRDefault="00D226CD" w:rsidP="004244ED">
      <w:pPr>
        <w:spacing w:line="240" w:lineRule="auto"/>
        <w:ind w:left="6480" w:firstLine="720"/>
        <w:rPr>
          <w:rFonts w:ascii="Lucida Sans" w:hAnsi="Lucida Sans"/>
          <w:sz w:val="20"/>
          <w:szCs w:val="20"/>
        </w:rPr>
      </w:pPr>
      <w:r w:rsidRPr="00D226CD">
        <w:rPr>
          <w:b/>
        </w:rPr>
        <w:t>(15 Marks)</w:t>
      </w:r>
    </w:p>
    <w:p w:rsidR="00F649B4" w:rsidRPr="00337C5C" w:rsidRDefault="00E232BD" w:rsidP="004244ED">
      <w:pPr>
        <w:spacing w:line="240" w:lineRule="auto"/>
        <w:rPr>
          <w:rFonts w:ascii="Lucida Sans" w:hAnsi="Lucida Sans"/>
          <w:sz w:val="20"/>
          <w:szCs w:val="20"/>
        </w:rPr>
      </w:pPr>
      <w:r>
        <w:t>You need to do all the above tasks and submit your results in a report form (</w:t>
      </w:r>
      <w:r w:rsidRPr="00A6494A">
        <w:rPr>
          <w:b/>
        </w:rPr>
        <w:t>3000 words</w:t>
      </w:r>
      <w:r>
        <w:t>)</w:t>
      </w:r>
      <w:r w:rsidR="003C130A">
        <w:t xml:space="preserve">. </w:t>
      </w:r>
      <w:r w:rsidR="003C130A">
        <w:rPr>
          <w:rFonts w:ascii="Lucida Sans" w:hAnsi="Lucida Sans"/>
          <w:sz w:val="20"/>
          <w:szCs w:val="20"/>
        </w:rPr>
        <w:t xml:space="preserve">The report </w:t>
      </w:r>
      <w:r w:rsidR="00A61BE6">
        <w:rPr>
          <w:rFonts w:ascii="Lucida Sans" w:hAnsi="Lucida Sans"/>
          <w:sz w:val="20"/>
          <w:szCs w:val="20"/>
        </w:rPr>
        <w:t xml:space="preserve">needs to be </w:t>
      </w:r>
      <w:r w:rsidR="00C225F0">
        <w:rPr>
          <w:rFonts w:ascii="Lucida Sans" w:hAnsi="Lucida Sans"/>
          <w:sz w:val="20"/>
          <w:szCs w:val="20"/>
        </w:rPr>
        <w:t>signed by all members in</w:t>
      </w:r>
      <w:r w:rsidR="00527B09" w:rsidRPr="00527B09">
        <w:rPr>
          <w:rFonts w:ascii="Lucida Sans" w:hAnsi="Lucida Sans"/>
          <w:sz w:val="20"/>
          <w:szCs w:val="20"/>
        </w:rPr>
        <w:t xml:space="preserve"> the group </w:t>
      </w:r>
      <w:r w:rsidR="00C225F0">
        <w:rPr>
          <w:rFonts w:ascii="Lucida Sans" w:hAnsi="Lucida Sans"/>
          <w:sz w:val="20"/>
          <w:szCs w:val="20"/>
        </w:rPr>
        <w:t xml:space="preserve">and </w:t>
      </w:r>
      <w:r w:rsidR="003C130A">
        <w:rPr>
          <w:rFonts w:ascii="Lucida Sans" w:hAnsi="Lucida Sans"/>
          <w:sz w:val="20"/>
          <w:szCs w:val="20"/>
        </w:rPr>
        <w:t>mu</w:t>
      </w:r>
      <w:r w:rsidR="00CC26EC">
        <w:rPr>
          <w:rFonts w:ascii="Lucida Sans" w:hAnsi="Lucida Sans"/>
          <w:sz w:val="20"/>
          <w:szCs w:val="20"/>
        </w:rPr>
        <w:t xml:space="preserve">st be submitted to </w:t>
      </w:r>
      <w:proofErr w:type="spellStart"/>
      <w:r w:rsidR="00CC26EC">
        <w:rPr>
          <w:rFonts w:ascii="Lucida Sans" w:hAnsi="Lucida Sans"/>
          <w:sz w:val="20"/>
          <w:szCs w:val="20"/>
        </w:rPr>
        <w:t>turnitin</w:t>
      </w:r>
      <w:proofErr w:type="spellEnd"/>
      <w:r w:rsidR="00CC26EC">
        <w:rPr>
          <w:rFonts w:ascii="Lucida Sans" w:hAnsi="Lucida Sans"/>
          <w:sz w:val="20"/>
          <w:szCs w:val="20"/>
        </w:rPr>
        <w:t>. A</w:t>
      </w:r>
      <w:r w:rsidR="003C130A">
        <w:rPr>
          <w:rFonts w:ascii="Lucida Sans" w:hAnsi="Lucida Sans"/>
          <w:sz w:val="20"/>
          <w:szCs w:val="20"/>
        </w:rPr>
        <w:t xml:space="preserve"> hard copy </w:t>
      </w:r>
      <w:r w:rsidR="00C8192F">
        <w:rPr>
          <w:rFonts w:ascii="Lucida Sans" w:hAnsi="Lucida Sans"/>
          <w:sz w:val="20"/>
          <w:szCs w:val="20"/>
        </w:rPr>
        <w:t xml:space="preserve">is to be </w:t>
      </w:r>
      <w:r w:rsidR="003C130A">
        <w:rPr>
          <w:rFonts w:ascii="Lucida Sans" w:hAnsi="Lucida Sans"/>
          <w:sz w:val="20"/>
          <w:szCs w:val="20"/>
        </w:rPr>
        <w:t>handed in to the Stud</w:t>
      </w:r>
      <w:r w:rsidR="00FE5208">
        <w:rPr>
          <w:rFonts w:ascii="Lucida Sans" w:hAnsi="Lucida Sans"/>
          <w:sz w:val="20"/>
          <w:szCs w:val="20"/>
        </w:rPr>
        <w:t>ent Reception before</w:t>
      </w:r>
      <w:r w:rsidR="00004353">
        <w:rPr>
          <w:rFonts w:ascii="Lucida Sans" w:hAnsi="Lucida Sans"/>
          <w:sz w:val="20"/>
          <w:szCs w:val="20"/>
        </w:rPr>
        <w:t xml:space="preserve"> 4.00 p.m. on 30 November</w:t>
      </w:r>
      <w:r w:rsidR="00450D58">
        <w:rPr>
          <w:rFonts w:ascii="Lucida Sans" w:hAnsi="Lucida Sans"/>
          <w:sz w:val="20"/>
          <w:szCs w:val="20"/>
        </w:rPr>
        <w:t xml:space="preserve"> 2016</w:t>
      </w:r>
      <w:r w:rsidR="003C130A">
        <w:rPr>
          <w:rFonts w:ascii="Lucida Sans" w:hAnsi="Lucida Sans"/>
          <w:sz w:val="20"/>
          <w:szCs w:val="20"/>
        </w:rPr>
        <w:t>.</w:t>
      </w:r>
      <w:r w:rsidR="00900E55">
        <w:rPr>
          <w:rFonts w:ascii="Lucida Sans" w:hAnsi="Lucida Sans"/>
          <w:sz w:val="20"/>
          <w:szCs w:val="20"/>
        </w:rPr>
        <w:t xml:space="preserve"> </w:t>
      </w:r>
      <w:r w:rsidR="00900E55" w:rsidRPr="00900E55">
        <w:rPr>
          <w:rFonts w:ascii="Lucida Sans" w:hAnsi="Lucida Sans"/>
          <w:sz w:val="20"/>
          <w:szCs w:val="20"/>
        </w:rPr>
        <w:t>(Normal la</w:t>
      </w:r>
      <w:r w:rsidR="00900E55">
        <w:rPr>
          <w:rFonts w:ascii="Lucida Sans" w:hAnsi="Lucida Sans"/>
          <w:sz w:val="20"/>
          <w:szCs w:val="20"/>
        </w:rPr>
        <w:t xml:space="preserve">te submission penalties apply). </w:t>
      </w:r>
      <w:r w:rsidR="00900E55" w:rsidRPr="00900E55">
        <w:rPr>
          <w:rFonts w:ascii="Lucida Sans" w:hAnsi="Lucida Sans"/>
          <w:sz w:val="20"/>
          <w:szCs w:val="20"/>
        </w:rPr>
        <w:t>Formula for final course/unit mark: Written Exam = 70% and Assignment = 30%.</w:t>
      </w:r>
    </w:p>
    <w:p w:rsidR="00E95156" w:rsidRPr="00F649B4" w:rsidRDefault="00E95156" w:rsidP="00F0206B">
      <w:pPr>
        <w:rPr>
          <w:b/>
        </w:rPr>
      </w:pPr>
      <w:r w:rsidRPr="00F649B4">
        <w:rPr>
          <w:b/>
        </w:rPr>
        <w:t>Brief notes:</w:t>
      </w:r>
    </w:p>
    <w:p w:rsidR="00E95156" w:rsidRPr="008327E7" w:rsidRDefault="00E95156" w:rsidP="00F0206B">
      <w:r w:rsidRPr="008327E7">
        <w:t xml:space="preserve">1. </w:t>
      </w:r>
      <w:r w:rsidR="00704FC5">
        <w:t>C</w:t>
      </w:r>
      <w:r w:rsidR="00226DBC">
        <w:t xml:space="preserve">hapter 7 of </w:t>
      </w:r>
      <w:r w:rsidR="008327E7">
        <w:t>“</w:t>
      </w:r>
      <w:r w:rsidR="008327E7" w:rsidRPr="008327E7">
        <w:rPr>
          <w:lang w:val="en-US"/>
        </w:rPr>
        <w:t>Modern Portfolio Theory and Investment Analysis</w:t>
      </w:r>
      <w:r w:rsidR="008327E7">
        <w:rPr>
          <w:lang w:val="en-US"/>
        </w:rPr>
        <w:t xml:space="preserve">” by </w:t>
      </w:r>
      <w:r w:rsidR="008327E7" w:rsidRPr="008327E7">
        <w:rPr>
          <w:lang w:val="en-US"/>
        </w:rPr>
        <w:t xml:space="preserve">Elton, Gruber, Brown, &amp; </w:t>
      </w:r>
      <w:proofErr w:type="spellStart"/>
      <w:r w:rsidR="008327E7" w:rsidRPr="008327E7">
        <w:rPr>
          <w:lang w:val="en-US"/>
        </w:rPr>
        <w:t>Goetzmann</w:t>
      </w:r>
      <w:proofErr w:type="spellEnd"/>
      <w:r w:rsidR="008327E7">
        <w:rPr>
          <w:lang w:val="en-US"/>
        </w:rPr>
        <w:t xml:space="preserve"> </w:t>
      </w:r>
      <w:r w:rsidR="00704FC5">
        <w:rPr>
          <w:lang w:val="en-US"/>
        </w:rPr>
        <w:t xml:space="preserve">contains very useful information </w:t>
      </w:r>
      <w:r w:rsidR="008327E7">
        <w:rPr>
          <w:lang w:val="en-US"/>
        </w:rPr>
        <w:t>on</w:t>
      </w:r>
      <w:r w:rsidR="00226DBC">
        <w:rPr>
          <w:lang w:val="en-US"/>
        </w:rPr>
        <w:t xml:space="preserve"> the single-index model</w:t>
      </w:r>
      <w:r w:rsidR="008327E7">
        <w:rPr>
          <w:lang w:val="en-US"/>
        </w:rPr>
        <w:t>.</w:t>
      </w:r>
    </w:p>
    <w:p w:rsidR="00E95156" w:rsidRDefault="00E95156" w:rsidP="00F0206B">
      <w:r>
        <w:t xml:space="preserve">2. </w:t>
      </w:r>
      <w:r w:rsidR="0007402D">
        <w:t>For the</w:t>
      </w:r>
      <w:r w:rsidR="00DE2A88">
        <w:t xml:space="preserve"> CAPM, w</w:t>
      </w:r>
      <w:r w:rsidR="00833DB1">
        <w:t>e</w:t>
      </w:r>
      <w:r w:rsidR="0007402D">
        <w:t xml:space="preserve"> can</w:t>
      </w:r>
      <w:r>
        <w:t xml:space="preserve"> use </w:t>
      </w:r>
      <w:r w:rsidR="0007402D">
        <w:t xml:space="preserve">a </w:t>
      </w:r>
      <w:r>
        <w:t>simple re</w:t>
      </w:r>
      <w:r w:rsidR="00B33F39">
        <w:t xml:space="preserve">gression to estimate </w:t>
      </w:r>
      <w:r w:rsidR="00B33F39" w:rsidRPr="00B61E1D">
        <w:rPr>
          <w:position w:val="-12"/>
        </w:rPr>
        <w:object w:dxaOrig="340" w:dyaOrig="360">
          <v:shape id="_x0000_i1036" type="#_x0000_t75" style="width:17pt;height:18.25pt" o:ole="">
            <v:imagedata r:id="rId11" o:title=""/>
          </v:shape>
          <o:OLEObject Type="Embed" ProgID="Equation.3" ShapeID="_x0000_i1036" DrawAspect="Content" ObjectID="_1536046962" r:id="rId12"/>
        </w:object>
      </w:r>
      <w:r w:rsidR="0007402D">
        <w:t xml:space="preserve"> T</w:t>
      </w:r>
      <w:r w:rsidR="00B57A2E">
        <w:t xml:space="preserve">he </w:t>
      </w:r>
      <w:r>
        <w:t xml:space="preserve">dependent variable is </w:t>
      </w:r>
      <w:r w:rsidR="0007402D">
        <w:t xml:space="preserve">the </w:t>
      </w:r>
      <w:r>
        <w:t>stock r</w:t>
      </w:r>
      <w:r w:rsidR="0007402D">
        <w:t>eturn of one firm</w:t>
      </w:r>
      <w:r w:rsidR="0056732C">
        <w:t xml:space="preserve"> (</w:t>
      </w:r>
      <w:r w:rsidR="00946799" w:rsidRPr="0056732C">
        <w:rPr>
          <w:position w:val="-12"/>
        </w:rPr>
        <w:object w:dxaOrig="260" w:dyaOrig="360">
          <v:shape id="_x0000_i1027" type="#_x0000_t75" style="width:12.75pt;height:18pt" o:ole="">
            <v:imagedata r:id="rId13" o:title=""/>
          </v:shape>
          <o:OLEObject Type="Embed" ProgID="Equation.3" ShapeID="_x0000_i1027" DrawAspect="Content" ObjectID="_1536046963" r:id="rId14"/>
        </w:object>
      </w:r>
      <w:r w:rsidR="0056732C">
        <w:t xml:space="preserve">) </w:t>
      </w:r>
      <w:r>
        <w:t xml:space="preserve">and </w:t>
      </w:r>
      <w:r w:rsidR="00B57A2E">
        <w:t xml:space="preserve">the </w:t>
      </w:r>
      <w:r>
        <w:t>independe</w:t>
      </w:r>
      <w:r w:rsidR="0056732C">
        <w:t xml:space="preserve">nt variable is </w:t>
      </w:r>
      <w:r w:rsidR="00B57A2E">
        <w:t xml:space="preserve">the </w:t>
      </w:r>
      <w:r w:rsidR="0056732C">
        <w:t>market return (</w:t>
      </w:r>
      <w:r w:rsidR="009277FD" w:rsidRPr="0056732C">
        <w:rPr>
          <w:position w:val="-12"/>
        </w:rPr>
        <w:object w:dxaOrig="300" w:dyaOrig="360">
          <v:shape id="_x0000_i1028" type="#_x0000_t75" style="width:15pt;height:18pt" o:ole="">
            <v:imagedata r:id="rId15" o:title=""/>
          </v:shape>
          <o:OLEObject Type="Embed" ProgID="Equation.3" ShapeID="_x0000_i1028" DrawAspect="Content" ObjectID="_1536046964" r:id="rId16"/>
        </w:object>
      </w:r>
      <w:r>
        <w:t>).</w:t>
      </w:r>
    </w:p>
    <w:p w:rsidR="00E95156" w:rsidRDefault="00E95156" w:rsidP="00F0206B">
      <w:r>
        <w:t xml:space="preserve">In </w:t>
      </w:r>
      <w:r w:rsidR="0007402D">
        <w:t xml:space="preserve">the </w:t>
      </w:r>
      <w:r>
        <w:t>simple regression,</w:t>
      </w:r>
      <w:r w:rsidR="009277FD">
        <w:t xml:space="preserve"> the coefficient of the market return is </w:t>
      </w:r>
    </w:p>
    <w:p w:rsidR="00D33CB3" w:rsidRDefault="00D33CB3" w:rsidP="00F0206B">
      <w:r w:rsidRPr="00691F0F">
        <w:rPr>
          <w:position w:val="-34"/>
        </w:rPr>
        <w:object w:dxaOrig="2160" w:dyaOrig="780">
          <v:shape id="_x0000_i1029" type="#_x0000_t75" style="width:107.25pt;height:39pt" o:ole="">
            <v:imagedata r:id="rId17" o:title=""/>
          </v:shape>
          <o:OLEObject Type="Embed" ProgID="Equation.3" ShapeID="_x0000_i1029" DrawAspect="Content" ObjectID="_1536046965" r:id="rId18"/>
        </w:object>
      </w:r>
      <w:r w:rsidR="00E95156">
        <w:t xml:space="preserve"> </w:t>
      </w:r>
      <w:r w:rsidR="0007402D">
        <w:t>T</w:t>
      </w:r>
      <w:r>
        <w:t xml:space="preserve">he coefficient represents </w:t>
      </w:r>
    </w:p>
    <w:p w:rsidR="00E95156" w:rsidRDefault="0007402D" w:rsidP="00F0206B">
      <w:proofErr w:type="gramStart"/>
      <w:r>
        <w:t>c</w:t>
      </w:r>
      <w:r w:rsidR="00D33CB3">
        <w:t>ovariance</w:t>
      </w:r>
      <w:proofErr w:type="gramEnd"/>
      <w:r w:rsidR="00D33CB3">
        <w:t xml:space="preserve"> (market return (</w:t>
      </w:r>
      <w:r w:rsidR="00D33CB3" w:rsidRPr="00973F7A">
        <w:rPr>
          <w:position w:val="-12"/>
        </w:rPr>
        <w:object w:dxaOrig="300" w:dyaOrig="360">
          <v:shape id="_x0000_i1030" type="#_x0000_t75" style="width:15pt;height:18pt" o:ole="">
            <v:imagedata r:id="rId19" o:title=""/>
          </v:shape>
          <o:OLEObject Type="Embed" ProgID="Equation.3" ShapeID="_x0000_i1030" DrawAspect="Content" ObjectID="_1536046966" r:id="rId20"/>
        </w:object>
      </w:r>
      <w:r w:rsidR="00D33CB3">
        <w:t>), individual stock return (</w:t>
      </w:r>
      <w:r w:rsidR="00D33CB3" w:rsidRPr="0056732C">
        <w:rPr>
          <w:position w:val="-12"/>
        </w:rPr>
        <w:object w:dxaOrig="260" w:dyaOrig="360">
          <v:shape id="_x0000_i1031" type="#_x0000_t75" style="width:12.75pt;height:18pt" o:ole="">
            <v:imagedata r:id="rId21" o:title=""/>
          </v:shape>
          <o:OLEObject Type="Embed" ProgID="Equation.3" ShapeID="_x0000_i1031" DrawAspect="Content" ObjectID="_1536046967" r:id="rId22"/>
        </w:object>
      </w:r>
      <w:r w:rsidR="00D33CB3">
        <w:t>))/variance of market return (</w:t>
      </w:r>
      <w:r w:rsidR="00D33CB3" w:rsidRPr="0056732C">
        <w:rPr>
          <w:position w:val="-12"/>
        </w:rPr>
        <w:object w:dxaOrig="300" w:dyaOrig="360">
          <v:shape id="_x0000_i1032" type="#_x0000_t75" style="width:15pt;height:18pt" o:ole="">
            <v:imagedata r:id="rId23" o:title=""/>
          </v:shape>
          <o:OLEObject Type="Embed" ProgID="Equation.3" ShapeID="_x0000_i1032" DrawAspect="Content" ObjectID="_1536046968" r:id="rId24"/>
        </w:object>
      </w:r>
      <w:r w:rsidR="00D33CB3">
        <w:t>)</w:t>
      </w:r>
      <w:r w:rsidR="00394CE0">
        <w:t xml:space="preserve"> = </w:t>
      </w:r>
      <w:r w:rsidR="00B61E1D" w:rsidRPr="00D31B8C">
        <w:rPr>
          <w:position w:val="-30"/>
        </w:rPr>
        <w:object w:dxaOrig="460" w:dyaOrig="700">
          <v:shape id="_x0000_i1033" type="#_x0000_t75" style="width:23.25pt;height:34.5pt" o:ole="">
            <v:imagedata r:id="rId25" o:title=""/>
          </v:shape>
          <o:OLEObject Type="Embed" ProgID="Equation.3" ShapeID="_x0000_i1033" DrawAspect="Content" ObjectID="_1536046969" r:id="rId26"/>
        </w:object>
      </w:r>
      <w:r w:rsidR="00394CE0">
        <w:t xml:space="preserve"> </w:t>
      </w:r>
    </w:p>
    <w:p w:rsidR="00751F7E" w:rsidRDefault="00A31A5D" w:rsidP="00213D43">
      <w:proofErr w:type="gramStart"/>
      <w:r>
        <w:t>Since</w:t>
      </w:r>
      <w:r w:rsidR="00B03719">
        <w:t xml:space="preserve"> </w:t>
      </w:r>
      <w:proofErr w:type="gramEnd"/>
      <w:r w:rsidR="00B03719" w:rsidRPr="00D31B8C">
        <w:rPr>
          <w:position w:val="-30"/>
        </w:rPr>
        <w:object w:dxaOrig="920" w:dyaOrig="680">
          <v:shape id="_x0000_i1034" type="#_x0000_t75" style="width:45.75pt;height:33.75pt" o:ole="">
            <v:imagedata r:id="rId27" o:title=""/>
          </v:shape>
          <o:OLEObject Type="Embed" ProgID="Equation.3" ShapeID="_x0000_i1034" DrawAspect="Content" ObjectID="_1536046970" r:id="rId28"/>
        </w:object>
      </w:r>
      <w:r>
        <w:t xml:space="preserve">, </w:t>
      </w:r>
      <w:r w:rsidR="00E95156">
        <w:t xml:space="preserve"> the coeff</w:t>
      </w:r>
      <w:r w:rsidR="0067591C">
        <w:t xml:space="preserve">icient </w:t>
      </w:r>
      <w:r>
        <w:t xml:space="preserve">of the market return in the regression analysis </w:t>
      </w:r>
      <w:r w:rsidR="0067591C">
        <w:t xml:space="preserve">is actually </w:t>
      </w:r>
      <w:r w:rsidR="0018057A" w:rsidRPr="00B61E1D">
        <w:rPr>
          <w:position w:val="-12"/>
        </w:rPr>
        <w:object w:dxaOrig="340" w:dyaOrig="360">
          <v:shape id="_x0000_i1035" type="#_x0000_t75" style="width:17.25pt;height:18pt" o:ole="">
            <v:imagedata r:id="rId11" o:title=""/>
          </v:shape>
          <o:OLEObject Type="Embed" ProgID="Equation.3" ShapeID="_x0000_i1035" DrawAspect="Content" ObjectID="_1536046971" r:id="rId29"/>
        </w:object>
      </w:r>
    </w:p>
    <w:p w:rsidR="00751F7E" w:rsidRPr="00751F7E" w:rsidRDefault="00751F7E" w:rsidP="00751F7E">
      <w:pPr>
        <w:rPr>
          <w:b/>
        </w:rPr>
      </w:pPr>
      <w:r w:rsidRPr="00751F7E">
        <w:rPr>
          <w:b/>
        </w:rPr>
        <w:t xml:space="preserve">Key Marking criteria will include: </w:t>
      </w:r>
    </w:p>
    <w:p w:rsidR="00751F7E" w:rsidRPr="00D226CD" w:rsidRDefault="00751F7E" w:rsidP="00751F7E">
      <w:pPr>
        <w:numPr>
          <w:ilvl w:val="0"/>
          <w:numId w:val="4"/>
        </w:numPr>
      </w:pPr>
      <w:r w:rsidRPr="00D226CD">
        <w:t>Initiative: originality, innovativeness of answer</w:t>
      </w:r>
    </w:p>
    <w:p w:rsidR="00751F7E" w:rsidRPr="00D226CD" w:rsidRDefault="00751F7E" w:rsidP="00751F7E">
      <w:pPr>
        <w:numPr>
          <w:ilvl w:val="0"/>
          <w:numId w:val="4"/>
        </w:numPr>
      </w:pPr>
      <w:r w:rsidRPr="00D226CD">
        <w:t>Quality of Writing: Readability and ability to convey key message(s) concisely</w:t>
      </w:r>
    </w:p>
    <w:p w:rsidR="00751F7E" w:rsidRPr="00D226CD" w:rsidRDefault="00D226CD" w:rsidP="00751F7E">
      <w:pPr>
        <w:numPr>
          <w:ilvl w:val="0"/>
          <w:numId w:val="4"/>
        </w:numPr>
      </w:pPr>
      <w:r>
        <w:t>Quality of Literature</w:t>
      </w:r>
      <w:r w:rsidR="00751F7E" w:rsidRPr="00D226CD">
        <w:t>: Understanding of established knowledge</w:t>
      </w:r>
    </w:p>
    <w:p w:rsidR="00751F7E" w:rsidRPr="00D226CD" w:rsidRDefault="00751F7E" w:rsidP="00751F7E">
      <w:pPr>
        <w:numPr>
          <w:ilvl w:val="0"/>
          <w:numId w:val="4"/>
        </w:numPr>
      </w:pPr>
      <w:r w:rsidRPr="00D226CD">
        <w:t xml:space="preserve">Suitability of Sources: Use of suitable sources, focused to answer key research </w:t>
      </w:r>
      <w:r w:rsidR="00D226CD">
        <w:t>questions</w:t>
      </w:r>
    </w:p>
    <w:p w:rsidR="00751F7E" w:rsidRPr="00D226CD" w:rsidRDefault="00751F7E" w:rsidP="00751F7E">
      <w:pPr>
        <w:numPr>
          <w:ilvl w:val="0"/>
          <w:numId w:val="4"/>
        </w:numPr>
      </w:pPr>
      <w:r w:rsidRPr="00D226CD">
        <w:t>Data Analysis: Quality/level of analytical skill demonstrated</w:t>
      </w:r>
    </w:p>
    <w:p w:rsidR="00751F7E" w:rsidRPr="00D226CD" w:rsidRDefault="00751F7E" w:rsidP="00751F7E">
      <w:pPr>
        <w:numPr>
          <w:ilvl w:val="0"/>
          <w:numId w:val="4"/>
        </w:numPr>
      </w:pPr>
      <w:r w:rsidRPr="00D226CD">
        <w:t>Insightfulness of Analysis: Interest and usefulness of findings, conclusions drawn.</w:t>
      </w:r>
    </w:p>
    <w:p w:rsidR="00751F7E" w:rsidRPr="00D226CD" w:rsidRDefault="00751F7E" w:rsidP="00751F7E">
      <w:pPr>
        <w:numPr>
          <w:ilvl w:val="0"/>
          <w:numId w:val="4"/>
        </w:numPr>
      </w:pPr>
      <w:r w:rsidRPr="00D226CD">
        <w:t>Understanding: Assignment demonstrates students have understood key topics</w:t>
      </w:r>
    </w:p>
    <w:p w:rsidR="00751F7E" w:rsidRPr="00D226CD" w:rsidRDefault="00751F7E" w:rsidP="00751F7E">
      <w:pPr>
        <w:numPr>
          <w:ilvl w:val="0"/>
          <w:numId w:val="4"/>
        </w:numPr>
      </w:pPr>
      <w:r w:rsidRPr="00D226CD">
        <w:lastRenderedPageBreak/>
        <w:t>Overall Quality of Assignment</w:t>
      </w:r>
    </w:p>
    <w:p w:rsidR="00751F7E" w:rsidRPr="001B7B1A" w:rsidRDefault="00751F7E" w:rsidP="00751F7E">
      <w:pPr>
        <w:numPr>
          <w:ilvl w:val="0"/>
          <w:numId w:val="4"/>
        </w:numPr>
      </w:pPr>
      <w:r w:rsidRPr="00D226CD">
        <w:t>Marking will also be conducted in accordance with the guidance within the table below:</w:t>
      </w:r>
    </w:p>
    <w:tbl>
      <w:tblPr>
        <w:tblStyle w:val="TableGrid"/>
        <w:tblW w:w="0" w:type="auto"/>
        <w:tblLook w:val="04A0" w:firstRow="1" w:lastRow="0" w:firstColumn="1" w:lastColumn="0" w:noHBand="0" w:noVBand="1"/>
      </w:tblPr>
      <w:tblGrid>
        <w:gridCol w:w="1075"/>
        <w:gridCol w:w="8167"/>
      </w:tblGrid>
      <w:tr w:rsidR="00751F7E" w:rsidRPr="00751F7E" w:rsidTr="007A0604">
        <w:tc>
          <w:tcPr>
            <w:tcW w:w="1101" w:type="dxa"/>
          </w:tcPr>
          <w:p w:rsidR="00751F7E" w:rsidRPr="00751F7E" w:rsidRDefault="00751F7E" w:rsidP="00751F7E">
            <w:pPr>
              <w:rPr>
                <w:b/>
              </w:rPr>
            </w:pPr>
            <w:r w:rsidRPr="00751F7E">
              <w:rPr>
                <w:b/>
              </w:rPr>
              <w:t>Mark Range</w:t>
            </w:r>
          </w:p>
        </w:tc>
        <w:tc>
          <w:tcPr>
            <w:tcW w:w="8753" w:type="dxa"/>
          </w:tcPr>
          <w:p w:rsidR="00751F7E" w:rsidRPr="00751F7E" w:rsidRDefault="00751F7E" w:rsidP="00751F7E">
            <w:pPr>
              <w:rPr>
                <w:b/>
              </w:rPr>
            </w:pPr>
            <w:r w:rsidRPr="00751F7E">
              <w:rPr>
                <w:b/>
              </w:rPr>
              <w:t>Typical Characteristics</w:t>
            </w:r>
          </w:p>
        </w:tc>
      </w:tr>
      <w:tr w:rsidR="00751F7E" w:rsidRPr="00751F7E" w:rsidTr="007A0604">
        <w:tc>
          <w:tcPr>
            <w:tcW w:w="1101" w:type="dxa"/>
          </w:tcPr>
          <w:p w:rsidR="00751F7E" w:rsidRPr="00751F7E" w:rsidRDefault="00751F7E" w:rsidP="00751F7E">
            <w:r w:rsidRPr="00751F7E">
              <w:t>80-100</w:t>
            </w:r>
          </w:p>
        </w:tc>
        <w:tc>
          <w:tcPr>
            <w:tcW w:w="8753" w:type="dxa"/>
          </w:tcPr>
          <w:p w:rsidR="00751F7E" w:rsidRPr="00751F7E" w:rsidRDefault="00751F7E" w:rsidP="00751F7E">
            <w:r w:rsidRPr="00751F7E">
              <w:t xml:space="preserve">An outstanding (80–89)/exceptional (90–100) piece of work, excellent in all respects. The research outlined is highly original and sets out a </w:t>
            </w:r>
            <w:r>
              <w:t>clear results of data examination</w:t>
            </w:r>
            <w:r w:rsidRPr="00751F7E">
              <w:t xml:space="preserve">. It captures the essence of </w:t>
            </w:r>
            <w:r>
              <w:t>each question</w:t>
            </w:r>
            <w:r w:rsidRPr="00751F7E">
              <w:t xml:space="preserve"> in a clear, concise and well</w:t>
            </w:r>
            <w:r w:rsidRPr="00751F7E">
              <w:rPr>
                <w:rFonts w:hint="eastAsia"/>
              </w:rPr>
              <w:t>-</w:t>
            </w:r>
            <w:r w:rsidRPr="00751F7E">
              <w:t>structured fashion. It thus demonstrates superior understanding of the topic. A well-defined cross-section of the relevant literature is referenced.</w:t>
            </w:r>
          </w:p>
        </w:tc>
      </w:tr>
      <w:tr w:rsidR="00751F7E" w:rsidRPr="00751F7E" w:rsidTr="007A0604">
        <w:tc>
          <w:tcPr>
            <w:tcW w:w="1101" w:type="dxa"/>
          </w:tcPr>
          <w:p w:rsidR="00751F7E" w:rsidRPr="00751F7E" w:rsidRDefault="00751F7E" w:rsidP="00751F7E">
            <w:r w:rsidRPr="00751F7E">
              <w:t>70-79</w:t>
            </w:r>
          </w:p>
        </w:tc>
        <w:tc>
          <w:tcPr>
            <w:tcW w:w="8753" w:type="dxa"/>
          </w:tcPr>
          <w:p w:rsidR="00751F7E" w:rsidRPr="00751F7E" w:rsidRDefault="00751F7E" w:rsidP="00751F7E">
            <w:r w:rsidRPr="00751F7E">
              <w:t xml:space="preserve">An excellent piece of work in almost all respects. The work is of high quality, but may contain minor elements that are flawed or derivative. It is generally successful in capturing the essence of the </w:t>
            </w:r>
            <w:r w:rsidRPr="00751F7E">
              <w:rPr>
                <w:rFonts w:hint="eastAsia"/>
              </w:rPr>
              <w:t>a</w:t>
            </w:r>
            <w:r w:rsidRPr="00751F7E">
              <w:t xml:space="preserve">ssignment in a clear, concise and coherent fashion. It thus demonstrates good understanding of the </w:t>
            </w:r>
            <w:r w:rsidRPr="00751F7E">
              <w:rPr>
                <w:rFonts w:hint="eastAsia"/>
              </w:rPr>
              <w:t>a</w:t>
            </w:r>
            <w:r w:rsidRPr="00751F7E">
              <w:t>ssignment. Effective reference is made to relevant literature.</w:t>
            </w:r>
          </w:p>
        </w:tc>
      </w:tr>
      <w:tr w:rsidR="00751F7E" w:rsidRPr="00751F7E" w:rsidTr="007A0604">
        <w:tc>
          <w:tcPr>
            <w:tcW w:w="1101" w:type="dxa"/>
          </w:tcPr>
          <w:p w:rsidR="00751F7E" w:rsidRPr="00751F7E" w:rsidRDefault="00751F7E" w:rsidP="00751F7E">
            <w:r w:rsidRPr="00751F7E">
              <w:t>60-69</w:t>
            </w:r>
          </w:p>
        </w:tc>
        <w:tc>
          <w:tcPr>
            <w:tcW w:w="8753" w:type="dxa"/>
          </w:tcPr>
          <w:p w:rsidR="00751F7E" w:rsidRPr="00751F7E" w:rsidRDefault="00751F7E" w:rsidP="00751F7E">
            <w:r w:rsidRPr="00751F7E">
              <w:t xml:space="preserve">A good (60–64)/very good (65–69) piece of work on a sensible topic. The work exhibits a fair degree of originality and academic rigour. It is sufficiently clear, concise and coherent to convey the main elements of the </w:t>
            </w:r>
            <w:r w:rsidRPr="00751F7E">
              <w:rPr>
                <w:rFonts w:hint="eastAsia"/>
              </w:rPr>
              <w:t>a</w:t>
            </w:r>
            <w:r w:rsidRPr="00751F7E">
              <w:t xml:space="preserve">ssignment effectively. It thus demonstrates adequate understanding of the </w:t>
            </w:r>
            <w:r w:rsidRPr="00751F7E">
              <w:rPr>
                <w:rFonts w:hint="eastAsia"/>
              </w:rPr>
              <w:t>a</w:t>
            </w:r>
            <w:r w:rsidRPr="00751F7E">
              <w:t>ssignment. Adequate reference is made to relevant literature.</w:t>
            </w:r>
          </w:p>
        </w:tc>
      </w:tr>
      <w:tr w:rsidR="00751F7E" w:rsidRPr="00751F7E" w:rsidTr="007A0604">
        <w:tc>
          <w:tcPr>
            <w:tcW w:w="1101" w:type="dxa"/>
          </w:tcPr>
          <w:p w:rsidR="00751F7E" w:rsidRPr="00751F7E" w:rsidRDefault="00751F7E" w:rsidP="00751F7E">
            <w:r w:rsidRPr="00751F7E">
              <w:t>50-59</w:t>
            </w:r>
          </w:p>
        </w:tc>
        <w:tc>
          <w:tcPr>
            <w:tcW w:w="8753" w:type="dxa"/>
          </w:tcPr>
          <w:p w:rsidR="00751F7E" w:rsidRPr="00751F7E" w:rsidRDefault="00751F7E" w:rsidP="00751F7E">
            <w:r w:rsidRPr="00751F7E">
              <w:t xml:space="preserve">An adequate (50–54)/competent (55–59) piece of work with aims that are adequately specified. The work is mundane or ill-focused. Its content identifies the main elements of the assignment, but lacks the clarity and coherence to communicate effectively the assignment aims and objectives. The handling of </w:t>
            </w:r>
            <w:r>
              <w:t>data</w:t>
            </w:r>
            <w:r w:rsidRPr="00751F7E">
              <w:t xml:space="preserve"> lacks </w:t>
            </w:r>
            <w:r>
              <w:t>understanding</w:t>
            </w:r>
            <w:r w:rsidRPr="00751F7E">
              <w:t xml:space="preserve">, reflecting either limited </w:t>
            </w:r>
            <w:r>
              <w:t>data skills</w:t>
            </w:r>
            <w:r w:rsidRPr="00751F7E">
              <w:t xml:space="preserve"> or a failure to identify the most relevant material.</w:t>
            </w:r>
          </w:p>
        </w:tc>
      </w:tr>
      <w:tr w:rsidR="00751F7E" w:rsidRPr="00751F7E" w:rsidTr="007A0604">
        <w:tc>
          <w:tcPr>
            <w:tcW w:w="1101" w:type="dxa"/>
          </w:tcPr>
          <w:p w:rsidR="00751F7E" w:rsidRPr="00751F7E" w:rsidRDefault="00751F7E" w:rsidP="00751F7E">
            <w:r w:rsidRPr="00751F7E">
              <w:t>40-49</w:t>
            </w:r>
          </w:p>
        </w:tc>
        <w:tc>
          <w:tcPr>
            <w:tcW w:w="8753" w:type="dxa"/>
          </w:tcPr>
          <w:p w:rsidR="00751F7E" w:rsidRPr="00751F7E" w:rsidRDefault="00751F7E" w:rsidP="00751F7E">
            <w:r w:rsidRPr="00751F7E">
              <w:t xml:space="preserve">A weak (40–44)/deficient (45–49) piece of work with poorly specified aims. The work lacks originality, focus and/or an adequate conceptual basis. There is little or no identification of the main elements of the assignment, or to communicate its aims and objectives. The </w:t>
            </w:r>
            <w:r>
              <w:t>analysis</w:t>
            </w:r>
            <w:r w:rsidRPr="00751F7E">
              <w:t xml:space="preserve"> of </w:t>
            </w:r>
            <w:r>
              <w:t>data</w:t>
            </w:r>
            <w:r w:rsidRPr="00751F7E">
              <w:t xml:space="preserve"> is weak, reflected in an almost total failure to identify and understand the relevant material.</w:t>
            </w:r>
          </w:p>
        </w:tc>
      </w:tr>
      <w:tr w:rsidR="00751F7E" w:rsidRPr="00751F7E" w:rsidTr="007A0604">
        <w:tc>
          <w:tcPr>
            <w:tcW w:w="1101" w:type="dxa"/>
          </w:tcPr>
          <w:p w:rsidR="00751F7E" w:rsidRPr="00751F7E" w:rsidRDefault="00751F7E" w:rsidP="00751F7E">
            <w:r w:rsidRPr="00751F7E">
              <w:t>20-39</w:t>
            </w:r>
          </w:p>
        </w:tc>
        <w:tc>
          <w:tcPr>
            <w:tcW w:w="8753" w:type="dxa"/>
          </w:tcPr>
          <w:p w:rsidR="00751F7E" w:rsidRPr="00751F7E" w:rsidRDefault="00751F7E" w:rsidP="00287233">
            <w:r w:rsidRPr="00751F7E">
              <w:t xml:space="preserve">A poor (30–39)/very poor (20–29) piece of work which may have been carried out in good faith, but which exhibits several of the following serious deficiencies: the assignment </w:t>
            </w:r>
            <w:r w:rsidR="00287233">
              <w:t>lacks point; the answers to each question</w:t>
            </w:r>
            <w:r w:rsidRPr="00751F7E">
              <w:t xml:space="preserve"> are lacking or poorly defined; the </w:t>
            </w:r>
            <w:r w:rsidR="00287233">
              <w:t>data analysis</w:t>
            </w:r>
            <w:r w:rsidRPr="00751F7E">
              <w:t xml:space="preserve"> is absent or inadequate; the referenced literature is of no value.</w:t>
            </w:r>
          </w:p>
        </w:tc>
      </w:tr>
      <w:tr w:rsidR="00751F7E" w:rsidRPr="00751F7E" w:rsidTr="007A0604">
        <w:tc>
          <w:tcPr>
            <w:tcW w:w="1101" w:type="dxa"/>
          </w:tcPr>
          <w:p w:rsidR="00751F7E" w:rsidRPr="00751F7E" w:rsidRDefault="00751F7E" w:rsidP="00751F7E">
            <w:r w:rsidRPr="00751F7E">
              <w:t>0-19</w:t>
            </w:r>
          </w:p>
        </w:tc>
        <w:tc>
          <w:tcPr>
            <w:tcW w:w="8753" w:type="dxa"/>
          </w:tcPr>
          <w:p w:rsidR="00751F7E" w:rsidRPr="00751F7E" w:rsidRDefault="00751F7E" w:rsidP="00751F7E">
            <w:r w:rsidRPr="00751F7E">
              <w:t>An exceptionally poor piece of work, showing no signs of having been taken seriously.</w:t>
            </w:r>
          </w:p>
          <w:p w:rsidR="00751F7E" w:rsidRPr="00751F7E" w:rsidRDefault="00751F7E" w:rsidP="00751F7E">
            <w:r w:rsidRPr="00751F7E">
              <w:t>Zero is reserved for failure to submit an assignment.</w:t>
            </w:r>
          </w:p>
        </w:tc>
      </w:tr>
    </w:tbl>
    <w:p w:rsidR="00E95156" w:rsidRDefault="00E95156" w:rsidP="00F0206B"/>
    <w:tbl>
      <w:tblPr>
        <w:tblW w:w="9184" w:type="dxa"/>
        <w:tblInd w:w="77" w:type="dxa"/>
        <w:tblLayout w:type="fixed"/>
        <w:tblCellMar>
          <w:left w:w="77" w:type="dxa"/>
          <w:right w:w="77" w:type="dxa"/>
        </w:tblCellMar>
        <w:tblLook w:val="0000" w:firstRow="0" w:lastRow="0" w:firstColumn="0" w:lastColumn="0" w:noHBand="0" w:noVBand="0"/>
      </w:tblPr>
      <w:tblGrid>
        <w:gridCol w:w="4592"/>
        <w:gridCol w:w="4592"/>
      </w:tblGrid>
      <w:tr w:rsidR="001A3E95" w:rsidRPr="004C0656" w:rsidTr="00336A29">
        <w:trPr>
          <w:trHeight w:val="737"/>
        </w:trPr>
        <w:tc>
          <w:tcPr>
            <w:tcW w:w="4592" w:type="dxa"/>
            <w:tcBorders>
              <w:top w:val="thinThickSmallGap" w:sz="24" w:space="0" w:color="auto"/>
              <w:left w:val="thinThickSmallGap" w:sz="24" w:space="0" w:color="auto"/>
              <w:bottom w:val="thickThinSmallGap" w:sz="24" w:space="0" w:color="auto"/>
              <w:right w:val="single" w:sz="6" w:space="0" w:color="auto"/>
            </w:tcBorders>
          </w:tcPr>
          <w:p w:rsidR="001A3E95" w:rsidRPr="004C0656" w:rsidRDefault="001A3E95" w:rsidP="00336A29">
            <w:pPr>
              <w:rPr>
                <w:lang w:val="en-US"/>
              </w:rPr>
            </w:pPr>
          </w:p>
          <w:p w:rsidR="001A3E95" w:rsidRPr="004C0656" w:rsidRDefault="001A3E95" w:rsidP="00336A29">
            <w:pPr>
              <w:rPr>
                <w:lang w:val="en-US"/>
              </w:rPr>
            </w:pPr>
            <w:r w:rsidRPr="004C0656">
              <w:rPr>
                <w:lang w:val="en-US"/>
              </w:rPr>
              <w:t>Portfolio Management and Exchange Traded Derivatives</w:t>
            </w:r>
          </w:p>
        </w:tc>
        <w:tc>
          <w:tcPr>
            <w:tcW w:w="4592" w:type="dxa"/>
            <w:tcBorders>
              <w:top w:val="thinThickSmallGap" w:sz="24" w:space="0" w:color="auto"/>
              <w:left w:val="single" w:sz="6" w:space="0" w:color="auto"/>
              <w:bottom w:val="thickThinSmallGap" w:sz="24" w:space="0" w:color="auto"/>
              <w:right w:val="thickThinSmallGap" w:sz="24" w:space="0" w:color="auto"/>
            </w:tcBorders>
          </w:tcPr>
          <w:p w:rsidR="001A3E95" w:rsidRPr="004C0656" w:rsidRDefault="001A3E95" w:rsidP="00336A29">
            <w:pPr>
              <w:rPr>
                <w:lang w:val="en-US"/>
              </w:rPr>
            </w:pPr>
          </w:p>
          <w:p w:rsidR="001A3E95" w:rsidRPr="004C0656" w:rsidRDefault="001A3E95" w:rsidP="00336A29">
            <w:pPr>
              <w:rPr>
                <w:lang w:val="en-US"/>
              </w:rPr>
            </w:pPr>
            <w:r w:rsidRPr="004C0656">
              <w:rPr>
                <w:lang w:val="en-US"/>
              </w:rPr>
              <w:t>MANG 6142</w:t>
            </w:r>
          </w:p>
          <w:p w:rsidR="001A3E95" w:rsidRPr="004C0656" w:rsidRDefault="001A3E95" w:rsidP="00336A29">
            <w:pPr>
              <w:rPr>
                <w:lang w:val="en-US"/>
              </w:rPr>
            </w:pPr>
          </w:p>
        </w:tc>
      </w:tr>
      <w:tr w:rsidR="001A3E95" w:rsidRPr="004C0656" w:rsidTr="00336A29">
        <w:trPr>
          <w:trHeight w:val="737"/>
        </w:trPr>
        <w:tc>
          <w:tcPr>
            <w:tcW w:w="4592" w:type="dxa"/>
            <w:tcBorders>
              <w:top w:val="thickThinSmallGap" w:sz="24" w:space="0" w:color="auto"/>
              <w:bottom w:val="threeDEmboss" w:sz="24" w:space="0" w:color="auto"/>
            </w:tcBorders>
          </w:tcPr>
          <w:p w:rsidR="001A3E95" w:rsidRPr="004C0656" w:rsidRDefault="001A3E95" w:rsidP="00336A29">
            <w:pPr>
              <w:rPr>
                <w:lang w:val="en-US"/>
              </w:rPr>
            </w:pPr>
          </w:p>
          <w:p w:rsidR="001A3E95" w:rsidRPr="004C0656" w:rsidRDefault="001A3E95" w:rsidP="00336A29">
            <w:pPr>
              <w:rPr>
                <w:lang w:val="en-US"/>
              </w:rPr>
            </w:pPr>
          </w:p>
          <w:p w:rsidR="001A3E95" w:rsidRPr="004C0656" w:rsidRDefault="001A3E95" w:rsidP="00336A29">
            <w:pPr>
              <w:rPr>
                <w:lang w:val="en-US"/>
              </w:rPr>
            </w:pPr>
            <w:r w:rsidRPr="004C0656">
              <w:rPr>
                <w:lang w:val="en-US"/>
              </w:rPr>
              <w:t>STUDENT NAME AND NUMBER:</w:t>
            </w:r>
          </w:p>
          <w:p w:rsidR="001A3E95" w:rsidRPr="004C0656" w:rsidRDefault="001A3E95" w:rsidP="00336A29">
            <w:pPr>
              <w:rPr>
                <w:lang w:val="en-US"/>
              </w:rPr>
            </w:pPr>
          </w:p>
        </w:tc>
        <w:tc>
          <w:tcPr>
            <w:tcW w:w="4592" w:type="dxa"/>
            <w:tcBorders>
              <w:top w:val="thickThinSmallGap" w:sz="24" w:space="0" w:color="auto"/>
              <w:bottom w:val="threeDEmboss" w:sz="24" w:space="0" w:color="auto"/>
            </w:tcBorders>
          </w:tcPr>
          <w:p w:rsidR="001A3E95" w:rsidRPr="004C0656" w:rsidRDefault="001A3E95" w:rsidP="00336A29">
            <w:pPr>
              <w:rPr>
                <w:lang w:val="en-US"/>
              </w:rPr>
            </w:pPr>
          </w:p>
          <w:p w:rsidR="001A3E95" w:rsidRPr="004C0656" w:rsidRDefault="001A3E95" w:rsidP="00336A29">
            <w:pPr>
              <w:rPr>
                <w:lang w:val="en-US"/>
              </w:rPr>
            </w:pPr>
          </w:p>
          <w:p w:rsidR="001A3E95" w:rsidRPr="004C0656" w:rsidRDefault="001A3E95" w:rsidP="00336A29">
            <w:pPr>
              <w:rPr>
                <w:lang w:val="en-US"/>
              </w:rPr>
            </w:pPr>
            <w:r w:rsidRPr="004C0656">
              <w:rPr>
                <w:lang w:val="en-US"/>
              </w:rPr>
              <w:t xml:space="preserve">STUDENT EMAIL: </w:t>
            </w:r>
          </w:p>
        </w:tc>
      </w:tr>
      <w:tr w:rsidR="001A3E95" w:rsidRPr="004C0656" w:rsidTr="00336A29">
        <w:trPr>
          <w:trHeight w:val="737"/>
        </w:trPr>
        <w:tc>
          <w:tcPr>
            <w:tcW w:w="4592" w:type="dxa"/>
            <w:tcBorders>
              <w:top w:val="threeDEmboss" w:sz="24" w:space="0" w:color="auto"/>
              <w:left w:val="threeDEmboss" w:sz="24" w:space="0" w:color="auto"/>
              <w:bottom w:val="single" w:sz="12" w:space="0" w:color="auto"/>
              <w:right w:val="single" w:sz="12" w:space="0" w:color="auto"/>
            </w:tcBorders>
          </w:tcPr>
          <w:p w:rsidR="001A3E95" w:rsidRPr="004C0656" w:rsidRDefault="001A3E95" w:rsidP="00336A29">
            <w:pPr>
              <w:rPr>
                <w:lang w:val="en-US"/>
              </w:rPr>
            </w:pPr>
          </w:p>
          <w:p w:rsidR="001A3E95" w:rsidRPr="004C0656" w:rsidRDefault="001A3E95" w:rsidP="00336A29">
            <w:pPr>
              <w:rPr>
                <w:lang w:val="en-US"/>
              </w:rPr>
            </w:pPr>
            <w:r w:rsidRPr="004C0656">
              <w:rPr>
                <w:lang w:val="en-US"/>
              </w:rPr>
              <w:t xml:space="preserve">1.                                 </w:t>
            </w:r>
          </w:p>
          <w:p w:rsidR="001A3E95" w:rsidRPr="004C0656" w:rsidRDefault="001A3E95" w:rsidP="00336A29">
            <w:pPr>
              <w:rPr>
                <w:lang w:val="en-US"/>
              </w:rPr>
            </w:pPr>
          </w:p>
        </w:tc>
        <w:tc>
          <w:tcPr>
            <w:tcW w:w="4592" w:type="dxa"/>
            <w:tcBorders>
              <w:top w:val="threeDEmboss" w:sz="24" w:space="0" w:color="auto"/>
              <w:left w:val="single" w:sz="12" w:space="0" w:color="auto"/>
              <w:bottom w:val="single" w:sz="12" w:space="0" w:color="auto"/>
              <w:right w:val="threeDEngrave" w:sz="24" w:space="0" w:color="auto"/>
            </w:tcBorders>
          </w:tcPr>
          <w:p w:rsidR="001A3E95" w:rsidRPr="004C0656" w:rsidRDefault="001A3E95" w:rsidP="00336A29">
            <w:pPr>
              <w:rPr>
                <w:lang w:val="en-US"/>
              </w:rPr>
            </w:pPr>
          </w:p>
          <w:p w:rsidR="001A3E95" w:rsidRPr="004C0656" w:rsidRDefault="001A3E95" w:rsidP="00336A29">
            <w:pPr>
              <w:rPr>
                <w:lang w:val="en-US"/>
              </w:rPr>
            </w:pPr>
          </w:p>
          <w:p w:rsidR="001A3E95" w:rsidRPr="004C0656" w:rsidRDefault="001A3E95" w:rsidP="00336A29">
            <w:pPr>
              <w:rPr>
                <w:lang w:val="en-US"/>
              </w:rPr>
            </w:pPr>
          </w:p>
        </w:tc>
      </w:tr>
      <w:tr w:rsidR="001A3E95" w:rsidRPr="004C0656" w:rsidTr="00336A29">
        <w:trPr>
          <w:trHeight w:val="737"/>
        </w:trPr>
        <w:tc>
          <w:tcPr>
            <w:tcW w:w="4592" w:type="dxa"/>
            <w:tcBorders>
              <w:top w:val="single" w:sz="12" w:space="0" w:color="auto"/>
              <w:left w:val="threeDEmboss" w:sz="24" w:space="0" w:color="auto"/>
              <w:bottom w:val="single" w:sz="12" w:space="0" w:color="auto"/>
              <w:right w:val="single" w:sz="12" w:space="0" w:color="auto"/>
            </w:tcBorders>
          </w:tcPr>
          <w:p w:rsidR="001A3E95" w:rsidRPr="004C0656" w:rsidRDefault="001A3E95" w:rsidP="00336A29">
            <w:pPr>
              <w:rPr>
                <w:lang w:val="en-US"/>
              </w:rPr>
            </w:pPr>
          </w:p>
          <w:p w:rsidR="001A3E95" w:rsidRPr="004C0656" w:rsidRDefault="001A3E95" w:rsidP="00336A29">
            <w:pPr>
              <w:rPr>
                <w:lang w:val="en-US"/>
              </w:rPr>
            </w:pPr>
            <w:r w:rsidRPr="004C0656">
              <w:rPr>
                <w:lang w:val="en-US"/>
              </w:rPr>
              <w:t>2.</w:t>
            </w:r>
          </w:p>
        </w:tc>
        <w:tc>
          <w:tcPr>
            <w:tcW w:w="4592" w:type="dxa"/>
            <w:tcBorders>
              <w:top w:val="single" w:sz="12" w:space="0" w:color="auto"/>
              <w:left w:val="single" w:sz="12" w:space="0" w:color="auto"/>
              <w:bottom w:val="single" w:sz="12" w:space="0" w:color="auto"/>
              <w:right w:val="threeDEngrave" w:sz="24" w:space="0" w:color="auto"/>
            </w:tcBorders>
          </w:tcPr>
          <w:p w:rsidR="001A3E95" w:rsidRPr="004C0656" w:rsidRDefault="001A3E95" w:rsidP="00336A29">
            <w:pPr>
              <w:rPr>
                <w:lang w:val="en-US"/>
              </w:rPr>
            </w:pPr>
          </w:p>
          <w:p w:rsidR="001A3E95" w:rsidRPr="004C0656" w:rsidRDefault="001A3E95" w:rsidP="00336A29">
            <w:pPr>
              <w:rPr>
                <w:lang w:val="en-US"/>
              </w:rPr>
            </w:pPr>
          </w:p>
          <w:p w:rsidR="001A3E95" w:rsidRPr="004C0656" w:rsidRDefault="001A3E95" w:rsidP="00336A29">
            <w:pPr>
              <w:rPr>
                <w:lang w:val="en-US"/>
              </w:rPr>
            </w:pPr>
          </w:p>
        </w:tc>
      </w:tr>
      <w:tr w:rsidR="001A3E95" w:rsidRPr="004C0656" w:rsidTr="00336A29">
        <w:trPr>
          <w:trHeight w:val="1197"/>
        </w:trPr>
        <w:tc>
          <w:tcPr>
            <w:tcW w:w="4592" w:type="dxa"/>
            <w:tcBorders>
              <w:top w:val="single" w:sz="12" w:space="0" w:color="auto"/>
              <w:left w:val="threeDEmboss" w:sz="24" w:space="0" w:color="auto"/>
              <w:bottom w:val="single" w:sz="12" w:space="0" w:color="auto"/>
              <w:right w:val="single" w:sz="12" w:space="0" w:color="auto"/>
            </w:tcBorders>
          </w:tcPr>
          <w:p w:rsidR="001A3E95" w:rsidRPr="004C0656" w:rsidRDefault="001A3E95" w:rsidP="00336A29">
            <w:pPr>
              <w:rPr>
                <w:lang w:val="en-US"/>
              </w:rPr>
            </w:pPr>
          </w:p>
          <w:p w:rsidR="001A3E95" w:rsidRPr="004C0656" w:rsidRDefault="001A3E95" w:rsidP="00336A29">
            <w:pPr>
              <w:rPr>
                <w:lang w:val="en-US"/>
              </w:rPr>
            </w:pPr>
            <w:r w:rsidRPr="004C0656">
              <w:rPr>
                <w:lang w:val="en-US"/>
              </w:rPr>
              <w:t>3.</w:t>
            </w:r>
          </w:p>
        </w:tc>
        <w:tc>
          <w:tcPr>
            <w:tcW w:w="4592" w:type="dxa"/>
            <w:tcBorders>
              <w:top w:val="single" w:sz="12" w:space="0" w:color="auto"/>
              <w:left w:val="single" w:sz="12" w:space="0" w:color="auto"/>
              <w:bottom w:val="single" w:sz="12" w:space="0" w:color="auto"/>
              <w:right w:val="threeDEngrave" w:sz="24" w:space="0" w:color="auto"/>
            </w:tcBorders>
          </w:tcPr>
          <w:p w:rsidR="001A3E95" w:rsidRPr="004C0656" w:rsidRDefault="001A3E95" w:rsidP="00336A29">
            <w:pPr>
              <w:rPr>
                <w:lang w:val="en-US"/>
              </w:rPr>
            </w:pPr>
          </w:p>
          <w:p w:rsidR="001A3E95" w:rsidRPr="004C0656" w:rsidRDefault="001A3E95" w:rsidP="00336A29">
            <w:pPr>
              <w:rPr>
                <w:lang w:val="en-US"/>
              </w:rPr>
            </w:pPr>
          </w:p>
          <w:p w:rsidR="001A3E95" w:rsidRPr="004C0656" w:rsidRDefault="001A3E95" w:rsidP="00336A29">
            <w:pPr>
              <w:rPr>
                <w:lang w:val="en-US"/>
              </w:rPr>
            </w:pPr>
          </w:p>
        </w:tc>
      </w:tr>
      <w:tr w:rsidR="001A3E95" w:rsidRPr="004C0656" w:rsidTr="00336A29">
        <w:trPr>
          <w:trHeight w:val="737"/>
        </w:trPr>
        <w:tc>
          <w:tcPr>
            <w:tcW w:w="4592" w:type="dxa"/>
            <w:tcBorders>
              <w:top w:val="single" w:sz="12" w:space="0" w:color="auto"/>
              <w:left w:val="threeDEmboss" w:sz="24" w:space="0" w:color="auto"/>
              <w:bottom w:val="single" w:sz="12" w:space="0" w:color="auto"/>
              <w:right w:val="single" w:sz="12" w:space="0" w:color="auto"/>
            </w:tcBorders>
          </w:tcPr>
          <w:p w:rsidR="001A3E95" w:rsidRPr="004C0656" w:rsidRDefault="001A3E95" w:rsidP="00336A29">
            <w:pPr>
              <w:rPr>
                <w:lang w:val="en-US"/>
              </w:rPr>
            </w:pPr>
          </w:p>
          <w:p w:rsidR="001A3E95" w:rsidRPr="004C0656" w:rsidRDefault="001A3E95" w:rsidP="00336A29">
            <w:pPr>
              <w:rPr>
                <w:lang w:val="en-US"/>
              </w:rPr>
            </w:pPr>
            <w:r w:rsidRPr="004C0656">
              <w:rPr>
                <w:lang w:val="en-US"/>
              </w:rPr>
              <w:t>4.</w:t>
            </w:r>
          </w:p>
        </w:tc>
        <w:tc>
          <w:tcPr>
            <w:tcW w:w="4592" w:type="dxa"/>
            <w:tcBorders>
              <w:top w:val="single" w:sz="12" w:space="0" w:color="auto"/>
              <w:left w:val="single" w:sz="12" w:space="0" w:color="auto"/>
              <w:bottom w:val="single" w:sz="12" w:space="0" w:color="auto"/>
              <w:right w:val="threeDEngrave" w:sz="24" w:space="0" w:color="auto"/>
            </w:tcBorders>
          </w:tcPr>
          <w:p w:rsidR="001A3E95" w:rsidRPr="004C0656" w:rsidRDefault="001A3E95" w:rsidP="00336A29">
            <w:pPr>
              <w:rPr>
                <w:lang w:val="en-US"/>
              </w:rPr>
            </w:pPr>
          </w:p>
          <w:p w:rsidR="001A3E95" w:rsidRPr="004C0656" w:rsidRDefault="001A3E95" w:rsidP="00336A29">
            <w:pPr>
              <w:rPr>
                <w:lang w:val="en-US"/>
              </w:rPr>
            </w:pPr>
          </w:p>
          <w:p w:rsidR="001A3E95" w:rsidRPr="004C0656" w:rsidRDefault="001A3E95" w:rsidP="00336A29">
            <w:pPr>
              <w:rPr>
                <w:lang w:val="en-US"/>
              </w:rPr>
            </w:pPr>
          </w:p>
        </w:tc>
      </w:tr>
      <w:tr w:rsidR="001A3E95" w:rsidRPr="004C0656" w:rsidTr="00336A29">
        <w:trPr>
          <w:trHeight w:val="737"/>
        </w:trPr>
        <w:tc>
          <w:tcPr>
            <w:tcW w:w="4592" w:type="dxa"/>
            <w:tcBorders>
              <w:top w:val="single" w:sz="12" w:space="0" w:color="auto"/>
              <w:left w:val="threeDEmboss" w:sz="24" w:space="0" w:color="auto"/>
              <w:bottom w:val="threeDEngrave" w:sz="24" w:space="0" w:color="auto"/>
              <w:right w:val="single" w:sz="12" w:space="0" w:color="auto"/>
            </w:tcBorders>
          </w:tcPr>
          <w:p w:rsidR="001A3E95" w:rsidRPr="004C0656" w:rsidRDefault="001A3E95" w:rsidP="00336A29">
            <w:pPr>
              <w:rPr>
                <w:lang w:val="en-US"/>
              </w:rPr>
            </w:pPr>
          </w:p>
          <w:p w:rsidR="001A3E95" w:rsidRPr="004C0656" w:rsidRDefault="001A3E95" w:rsidP="00336A29">
            <w:pPr>
              <w:rPr>
                <w:lang w:val="en-US"/>
              </w:rPr>
            </w:pPr>
            <w:r w:rsidRPr="004C0656">
              <w:rPr>
                <w:lang w:val="en-US"/>
              </w:rPr>
              <w:t>5.</w:t>
            </w:r>
          </w:p>
        </w:tc>
        <w:tc>
          <w:tcPr>
            <w:tcW w:w="4592" w:type="dxa"/>
            <w:tcBorders>
              <w:top w:val="single" w:sz="12" w:space="0" w:color="auto"/>
              <w:left w:val="single" w:sz="12" w:space="0" w:color="auto"/>
              <w:bottom w:val="threeDEngrave" w:sz="24" w:space="0" w:color="auto"/>
              <w:right w:val="threeDEngrave" w:sz="24" w:space="0" w:color="auto"/>
            </w:tcBorders>
          </w:tcPr>
          <w:p w:rsidR="001A3E95" w:rsidRPr="004C0656" w:rsidRDefault="001A3E95" w:rsidP="00336A29">
            <w:pPr>
              <w:rPr>
                <w:lang w:val="en-US"/>
              </w:rPr>
            </w:pPr>
          </w:p>
          <w:p w:rsidR="001A3E95" w:rsidRPr="004C0656" w:rsidRDefault="001A3E95" w:rsidP="00336A29">
            <w:pPr>
              <w:rPr>
                <w:lang w:val="en-US"/>
              </w:rPr>
            </w:pPr>
          </w:p>
          <w:p w:rsidR="001A3E95" w:rsidRPr="004C0656" w:rsidRDefault="001A3E95" w:rsidP="00336A29">
            <w:pPr>
              <w:rPr>
                <w:lang w:val="en-US"/>
              </w:rPr>
            </w:pPr>
          </w:p>
        </w:tc>
      </w:tr>
    </w:tbl>
    <w:p w:rsidR="001A3E95" w:rsidRDefault="001A3E95" w:rsidP="00F0206B"/>
    <w:sectPr w:rsidR="001A3E95" w:rsidSect="00803662">
      <w:head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0F14" w:rsidRDefault="00D10F14" w:rsidP="001B7B1A">
      <w:pPr>
        <w:spacing w:after="0" w:line="240" w:lineRule="auto"/>
      </w:pPr>
      <w:r>
        <w:separator/>
      </w:r>
    </w:p>
  </w:endnote>
  <w:endnote w:type="continuationSeparator" w:id="0">
    <w:p w:rsidR="00D10F14" w:rsidRDefault="00D10F14" w:rsidP="001B7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w:altName w:val="Lucida Sans Unicode"/>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0F14" w:rsidRDefault="00D10F14" w:rsidP="001B7B1A">
      <w:pPr>
        <w:spacing w:after="0" w:line="240" w:lineRule="auto"/>
      </w:pPr>
      <w:r>
        <w:separator/>
      </w:r>
    </w:p>
  </w:footnote>
  <w:footnote w:type="continuationSeparator" w:id="0">
    <w:p w:rsidR="00D10F14" w:rsidRDefault="00D10F14" w:rsidP="001B7B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7B1A" w:rsidRDefault="001B7B1A">
    <w:pPr>
      <w:pStyle w:val="Header"/>
    </w:pPr>
    <w:r>
      <w:t>Business School, University of Southampton</w:t>
    </w:r>
  </w:p>
  <w:p w:rsidR="001B7B1A" w:rsidRDefault="001B7B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5D64"/>
    <w:multiLevelType w:val="hybridMultilevel"/>
    <w:tmpl w:val="1160FB90"/>
    <w:lvl w:ilvl="0" w:tplc="B67AD4CA">
      <w:start w:val="1"/>
      <w:numFmt w:val="bullet"/>
      <w:lvlText w:val=""/>
      <w:lvlJc w:val="left"/>
      <w:pPr>
        <w:tabs>
          <w:tab w:val="num" w:pos="170"/>
        </w:tabs>
        <w:ind w:left="360" w:hanging="19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5562EA"/>
    <w:multiLevelType w:val="hybridMultilevel"/>
    <w:tmpl w:val="0CE887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15:restartNumberingAfterBreak="0">
    <w:nsid w:val="3C7772E9"/>
    <w:multiLevelType w:val="hybridMultilevel"/>
    <w:tmpl w:val="2D3EF1F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D20DC1"/>
    <w:multiLevelType w:val="hybridMultilevel"/>
    <w:tmpl w:val="4C56EF02"/>
    <w:lvl w:ilvl="0" w:tplc="88325D1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FB3A29"/>
    <w:multiLevelType w:val="hybridMultilevel"/>
    <w:tmpl w:val="06E2588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B316833"/>
    <w:multiLevelType w:val="hybridMultilevel"/>
    <w:tmpl w:val="5B7C00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5"/>
  </w:num>
  <w:num w:numId="6">
    <w:abstractNumId w:val="4"/>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734D2"/>
    <w:rsid w:val="00004353"/>
    <w:rsid w:val="00037668"/>
    <w:rsid w:val="00052A26"/>
    <w:rsid w:val="000546D7"/>
    <w:rsid w:val="0007402D"/>
    <w:rsid w:val="00080447"/>
    <w:rsid w:val="000C0191"/>
    <w:rsid w:val="000F4729"/>
    <w:rsid w:val="000F7ADE"/>
    <w:rsid w:val="00103004"/>
    <w:rsid w:val="0010631D"/>
    <w:rsid w:val="00117100"/>
    <w:rsid w:val="00126E84"/>
    <w:rsid w:val="001348A2"/>
    <w:rsid w:val="0014132E"/>
    <w:rsid w:val="001464A3"/>
    <w:rsid w:val="00166EB6"/>
    <w:rsid w:val="001718E2"/>
    <w:rsid w:val="0018057A"/>
    <w:rsid w:val="001A0837"/>
    <w:rsid w:val="001A23C4"/>
    <w:rsid w:val="001A3E95"/>
    <w:rsid w:val="001B54C4"/>
    <w:rsid w:val="001B7B1A"/>
    <w:rsid w:val="001E0AE5"/>
    <w:rsid w:val="00213D43"/>
    <w:rsid w:val="00226DBC"/>
    <w:rsid w:val="002443BD"/>
    <w:rsid w:val="00287233"/>
    <w:rsid w:val="002E04A2"/>
    <w:rsid w:val="002F2933"/>
    <w:rsid w:val="002F7646"/>
    <w:rsid w:val="00300D48"/>
    <w:rsid w:val="00337C5C"/>
    <w:rsid w:val="003432E6"/>
    <w:rsid w:val="00372D1B"/>
    <w:rsid w:val="003869CB"/>
    <w:rsid w:val="00394CE0"/>
    <w:rsid w:val="003C130A"/>
    <w:rsid w:val="003C47B1"/>
    <w:rsid w:val="003C5819"/>
    <w:rsid w:val="004244ED"/>
    <w:rsid w:val="00441FEE"/>
    <w:rsid w:val="00450D58"/>
    <w:rsid w:val="00456173"/>
    <w:rsid w:val="004A1F5D"/>
    <w:rsid w:val="004A67B9"/>
    <w:rsid w:val="004A6F3C"/>
    <w:rsid w:val="004C0656"/>
    <w:rsid w:val="004E6CA4"/>
    <w:rsid w:val="00500BD2"/>
    <w:rsid w:val="00505D7C"/>
    <w:rsid w:val="00527B09"/>
    <w:rsid w:val="00561954"/>
    <w:rsid w:val="0056732C"/>
    <w:rsid w:val="0057392F"/>
    <w:rsid w:val="0057594C"/>
    <w:rsid w:val="00576834"/>
    <w:rsid w:val="0058726B"/>
    <w:rsid w:val="005A77AC"/>
    <w:rsid w:val="005D48E8"/>
    <w:rsid w:val="005E27EE"/>
    <w:rsid w:val="00610E38"/>
    <w:rsid w:val="00640917"/>
    <w:rsid w:val="0065482F"/>
    <w:rsid w:val="0067591C"/>
    <w:rsid w:val="00691F0F"/>
    <w:rsid w:val="006A1755"/>
    <w:rsid w:val="006A5388"/>
    <w:rsid w:val="006B15BC"/>
    <w:rsid w:val="00704FC5"/>
    <w:rsid w:val="007063B7"/>
    <w:rsid w:val="007241A2"/>
    <w:rsid w:val="00731ED7"/>
    <w:rsid w:val="00743756"/>
    <w:rsid w:val="00751F7E"/>
    <w:rsid w:val="00763F69"/>
    <w:rsid w:val="007717E4"/>
    <w:rsid w:val="007C2EDC"/>
    <w:rsid w:val="00803662"/>
    <w:rsid w:val="00821D91"/>
    <w:rsid w:val="00826CC7"/>
    <w:rsid w:val="008327E7"/>
    <w:rsid w:val="00833DB1"/>
    <w:rsid w:val="0083461F"/>
    <w:rsid w:val="00836A24"/>
    <w:rsid w:val="008403FD"/>
    <w:rsid w:val="008534D0"/>
    <w:rsid w:val="008657B3"/>
    <w:rsid w:val="0088552B"/>
    <w:rsid w:val="008C15CD"/>
    <w:rsid w:val="00900E55"/>
    <w:rsid w:val="00917BEE"/>
    <w:rsid w:val="009277FD"/>
    <w:rsid w:val="009446FF"/>
    <w:rsid w:val="00946799"/>
    <w:rsid w:val="00973F7A"/>
    <w:rsid w:val="009C79AB"/>
    <w:rsid w:val="009D452D"/>
    <w:rsid w:val="009F4329"/>
    <w:rsid w:val="00A15210"/>
    <w:rsid w:val="00A31A5D"/>
    <w:rsid w:val="00A61BE6"/>
    <w:rsid w:val="00A6494A"/>
    <w:rsid w:val="00A72F70"/>
    <w:rsid w:val="00A80BFD"/>
    <w:rsid w:val="00A8574E"/>
    <w:rsid w:val="00AB41DA"/>
    <w:rsid w:val="00AB7CC9"/>
    <w:rsid w:val="00AE0C61"/>
    <w:rsid w:val="00AE4A4A"/>
    <w:rsid w:val="00B03719"/>
    <w:rsid w:val="00B2691D"/>
    <w:rsid w:val="00B33F39"/>
    <w:rsid w:val="00B57A2E"/>
    <w:rsid w:val="00B61E1D"/>
    <w:rsid w:val="00B734D2"/>
    <w:rsid w:val="00BC1E44"/>
    <w:rsid w:val="00BD2C8B"/>
    <w:rsid w:val="00BE75DF"/>
    <w:rsid w:val="00C1590F"/>
    <w:rsid w:val="00C225F0"/>
    <w:rsid w:val="00C36EFA"/>
    <w:rsid w:val="00C759C5"/>
    <w:rsid w:val="00C8192F"/>
    <w:rsid w:val="00CB0E6D"/>
    <w:rsid w:val="00CC26EC"/>
    <w:rsid w:val="00CD04F3"/>
    <w:rsid w:val="00CD1894"/>
    <w:rsid w:val="00CF0F7F"/>
    <w:rsid w:val="00D10F14"/>
    <w:rsid w:val="00D226CD"/>
    <w:rsid w:val="00D31B8C"/>
    <w:rsid w:val="00D33CB3"/>
    <w:rsid w:val="00D4073C"/>
    <w:rsid w:val="00D655E9"/>
    <w:rsid w:val="00D67E58"/>
    <w:rsid w:val="00D703CF"/>
    <w:rsid w:val="00D808A2"/>
    <w:rsid w:val="00DD3A10"/>
    <w:rsid w:val="00DE2A88"/>
    <w:rsid w:val="00E232BD"/>
    <w:rsid w:val="00E575F4"/>
    <w:rsid w:val="00E67F83"/>
    <w:rsid w:val="00E746C6"/>
    <w:rsid w:val="00E918BA"/>
    <w:rsid w:val="00E95156"/>
    <w:rsid w:val="00EA39FD"/>
    <w:rsid w:val="00EA5E7B"/>
    <w:rsid w:val="00EC15CB"/>
    <w:rsid w:val="00EC1DA0"/>
    <w:rsid w:val="00F0206B"/>
    <w:rsid w:val="00F02335"/>
    <w:rsid w:val="00F10AD7"/>
    <w:rsid w:val="00F649B4"/>
    <w:rsid w:val="00F914C7"/>
    <w:rsid w:val="00FE5208"/>
    <w:rsid w:val="00FF5B5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A89B601-45B7-49EA-BCB2-5FBCC5396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3662"/>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66EB6"/>
    <w:rPr>
      <w:rFonts w:cs="Times New Roman"/>
      <w:color w:val="0000FF"/>
      <w:u w:val="single"/>
    </w:rPr>
  </w:style>
  <w:style w:type="paragraph" w:styleId="ListParagraph">
    <w:name w:val="List Paragraph"/>
    <w:basedOn w:val="Normal"/>
    <w:uiPriority w:val="34"/>
    <w:qFormat/>
    <w:rsid w:val="00103004"/>
    <w:pPr>
      <w:ind w:left="720"/>
      <w:contextualSpacing/>
    </w:pPr>
  </w:style>
  <w:style w:type="paragraph" w:styleId="NormalWeb">
    <w:name w:val="Normal (Web)"/>
    <w:basedOn w:val="Normal"/>
    <w:uiPriority w:val="99"/>
    <w:semiHidden/>
    <w:unhideWhenUsed/>
    <w:rsid w:val="008327E7"/>
    <w:pPr>
      <w:spacing w:before="100" w:beforeAutospacing="1" w:after="100" w:afterAutospacing="1" w:line="240" w:lineRule="auto"/>
    </w:pPr>
    <w:rPr>
      <w:rFonts w:ascii="Times New Roman" w:hAnsi="Times New Roman"/>
      <w:sz w:val="24"/>
      <w:szCs w:val="24"/>
      <w:lang w:eastAsia="en-GB"/>
    </w:rPr>
  </w:style>
  <w:style w:type="table" w:styleId="TableGrid">
    <w:name w:val="Table Grid"/>
    <w:basedOn w:val="TableNormal"/>
    <w:uiPriority w:val="59"/>
    <w:rsid w:val="00751F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B7B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7B1A"/>
    <w:rPr>
      <w:sz w:val="22"/>
      <w:szCs w:val="22"/>
      <w:lang w:eastAsia="en-US"/>
    </w:rPr>
  </w:style>
  <w:style w:type="paragraph" w:styleId="Footer">
    <w:name w:val="footer"/>
    <w:basedOn w:val="Normal"/>
    <w:link w:val="FooterChar"/>
    <w:uiPriority w:val="99"/>
    <w:unhideWhenUsed/>
    <w:rsid w:val="001B7B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7B1A"/>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43963">
      <w:bodyDiv w:val="1"/>
      <w:marLeft w:val="0"/>
      <w:marRight w:val="0"/>
      <w:marTop w:val="0"/>
      <w:marBottom w:val="0"/>
      <w:divBdr>
        <w:top w:val="none" w:sz="0" w:space="0" w:color="auto"/>
        <w:left w:val="none" w:sz="0" w:space="0" w:color="auto"/>
        <w:bottom w:val="none" w:sz="0" w:space="0" w:color="auto"/>
        <w:right w:val="none" w:sz="0" w:space="0" w:color="auto"/>
      </w:divBdr>
    </w:div>
    <w:div w:id="93140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4</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We test the CAPM for this coursework; you will use one market index and at least 25 companies’ weekly data and these companies should be from at least two sectors</vt:lpstr>
    </vt:vector>
  </TitlesOfParts>
  <Company>the University of Greenwich</Company>
  <LinksUpToDate>false</LinksUpToDate>
  <CharactersWithSpaces>6373</CharactersWithSpaces>
  <SharedDoc>false</SharedDoc>
  <HLinks>
    <vt:vector size="6" baseType="variant">
      <vt:variant>
        <vt:i4>5570577</vt:i4>
      </vt:variant>
      <vt:variant>
        <vt:i4>0</vt:i4>
      </vt:variant>
      <vt:variant>
        <vt:i4>0</vt:i4>
      </vt:variant>
      <vt:variant>
        <vt:i4>5</vt:i4>
      </vt:variant>
      <vt:variant>
        <vt:lpwstr>http://uk.finance.yahoo.com/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 test the CAPM for this coursework; you will use one market index and at least 25 companies’ weekly data and these companies should be from at least two sectors</dc:title>
  <dc:creator>Venkata Chinthalapati</dc:creator>
  <cp:lastModifiedBy>DI LUO</cp:lastModifiedBy>
  <cp:revision>57</cp:revision>
  <cp:lastPrinted>2012-03-13T12:14:00Z</cp:lastPrinted>
  <dcterms:created xsi:type="dcterms:W3CDTF">2016-01-02T12:20:00Z</dcterms:created>
  <dcterms:modified xsi:type="dcterms:W3CDTF">2016-09-22T09:53:00Z</dcterms:modified>
</cp:coreProperties>
</file>