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  <w:shd w:fill="ff9900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green"/>
          <w:rtl w:val="0"/>
        </w:rPr>
        <w:t xml:space="preserve">Qualities and characteristics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associated with using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yellow"/>
          <w:rtl w:val="0"/>
        </w:rPr>
        <w:t xml:space="preserve">facts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to solve problems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285f4"/>
          <w:sz w:val="60"/>
          <w:szCs w:val="60"/>
          <w:highlight w:val="green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yellow"/>
          <w:rtl w:val="0"/>
        </w:rPr>
        <w:t xml:space="preserve"> identifying and defining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problem, then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green"/>
          <w:rtl w:val="0"/>
        </w:rPr>
        <w:t xml:space="preserve">solving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it by using data in an organized, step-by-step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facts.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green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</w:t>
      </w:r>
      <w:r w:rsidDel="00000000" w:rsidR="00000000" w:rsidRPr="00000000">
        <w:rPr>
          <w:rFonts w:ascii="Google Sans" w:cs="Google Sans" w:eastAsia="Google Sans" w:hAnsi="Google Sans"/>
          <w:color w:val="434343"/>
          <w:shd w:fill="ff9900" w:val="clear"/>
          <w:rtl w:val="0"/>
        </w:rPr>
        <w:t xml:space="preserve">collection, transformation, and organization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of data in order to draw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green"/>
          <w:rtl w:val="0"/>
        </w:rPr>
        <w:t xml:space="preserve">conclusions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, make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green"/>
          <w:rtl w:val="0"/>
        </w:rPr>
        <w:t xml:space="preserve"> predictions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, and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green"/>
          <w:rtl w:val="0"/>
        </w:rPr>
        <w:t xml:space="preserve">drive informed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analysis.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visualization).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15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