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FST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4B5"/>
          <w:sz w:val="40"/>
          <w:szCs w:val="40"/>
        </w:rPr>
        <w:t xml:space="preserve">Fractal Structure Trend</w:t>
      </w:r>
    </w:p>
    <w:p>
      <w:pPr>
        <w:pBdr>
          <w:bottom w:val="single" w:color="2E74B5" w:sz="6" w:space="4"/>
        </w:pBdr>
        <w:spacing w:after="2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Спецификация стратегии  •  Версия 1.0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Таймфрейм: M30 (вход) / H4 (структура)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Портфель: 16 инструментов (T1 × 12 + T2 × 4)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OOS 2022–2025: Pass Rate 97.6% | avg cycle 12.0 дней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Обзор стратегии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2"/>
              <w:bottom w:val="single" w:color="2E74B5" w:sz="4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Концепция: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FST торгует откаты к структурным зонам в направлении старшего тренда. Тренд определяется на H4 через паттерн фрактальных пивотов (HH/HL или LH/LL). Вход происходит на M30, когда цена касается зоны последнего HL (для лонга) или LH (для шорта) при подтверждении объёмом.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 стратегии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Трендовый откат (trend-pullback). Price action без осцилляторов.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Базовый TF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M30 — тиковый поток, генерация сигналов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Структурный TF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H4 — ресемплируется внутри стратегии из M30 баров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Фильтрующий TF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D1 — ресемплируется из M30 (только DAX40 и XAUUSD)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Направление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LONG и SHORT симметрично на всех символах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Портфель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 символов: Forex ×14 + Indices ×2 (T1) + Index/Metal ×2 (T2)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OOS период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2022-01-01 — 2026-01-01 (4 года)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Философия метода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 основе стратегии лежит рыночная структура: серия повышающихся максимумов и минимумов (HH/HL) означает бычий тренд, серия понижающихся — медвежий. После формирования нового HH (или нового LL) рынок часто возвращается к зоне последнего HL (или LH) перед продолжением движения. FST входит именно в этот откат, ставя стоп за структурный уровень.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Ключевые свойства: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Без предсказания: </w:t>
      </w:r>
      <w:r>
        <w:rPr>
          <w:rFonts w:ascii="Arial" w:cs="Arial" w:eastAsia="Arial" w:hAnsi="Arial"/>
          <w:sz w:val="22"/>
          <w:szCs w:val="22"/>
        </w:rPr>
        <w:t xml:space="preserve">стратегия не прогнозирует направление — она ждёт подтверждения тренда через структуру и входит в уже существующее движение.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Структурный стоп: </w:t>
      </w:r>
      <w:r>
        <w:rPr>
          <w:rFonts w:ascii="Arial" w:cs="Arial" w:eastAsia="Arial" w:hAnsi="Arial"/>
          <w:sz w:val="22"/>
          <w:szCs w:val="22"/>
        </w:rPr>
        <w:t xml:space="preserve">стоп ставится за зону поддержки/сопротивления (HL/LH), что физически означает отмену паттерна.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Объём как фильтр: </w:t>
      </w:r>
      <w:r>
        <w:rPr>
          <w:rFonts w:ascii="Arial" w:cs="Arial" w:eastAsia="Arial" w:hAnsi="Arial"/>
          <w:sz w:val="22"/>
          <w:szCs w:val="22"/>
        </w:rPr>
        <w:t xml:space="preserve">вход разрешён только если объём текущего бара превышает скользящую среднюю — подтверждение активного рынка.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Фиксированный TP=5R: </w:t>
      </w:r>
      <w:r>
        <w:rPr>
          <w:rFonts w:ascii="Arial" w:cs="Arial" w:eastAsia="Arial" w:hAnsi="Arial"/>
          <w:sz w:val="22"/>
          <w:szCs w:val="22"/>
        </w:rPr>
        <w:t xml:space="preserve">выбор обоснован тестами; трейлинг и протекторы показывают худшие результаты на данном типе паттерна.</w:t>
      </w:r>
    </w:p>
    <w:p>
      <w:pPr>
        <w:spacing w:after="200"/>
      </w:pPr>
    </w:p>
    <w:p>
      <w:pPr>
        <w:pStyle w:val="Heading1"/>
        <w:pBdr>
          <w:bottom w:val="single" w:color="2E74B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Индикаторы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Wilder ATR (Average True Range)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Используется на двух таймфреймах: H4 (для swing-фильтра пивотов) и M30 (для зоны входа и расчёта SL).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Формула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Wilder Smoothing: ATR(i) = (ATR(i-1) × (p-1) + TR(i)) / p,  где TR = max(H-L, |H-Cprev|, |L-Cprev|)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 баров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Alpha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1/14 (Wilder, не EMA с 2/(n+1))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Применение H4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Swing-фильтр: новый пивот добавляется только если |price - prev_pivot| ≥ 0.75 × ATR₄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Применение M30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1) Зона входа: HL ± zone_buf × ATR₃₀   2) Расчёт SL: sl_dist = close − (HL − 0.2 × ATR₃₀)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Volume MA (Объёмная скользящая)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Простая скользящая средняя по tick volume последних 20 баров M30. Вход разрешён только если volume[i] &gt; vol_ma(20). Фильтрует входы в периоды низкой ликвидности (азиатская сессия на FX, ночные часы).</w:t>
      </w:r>
    </w:p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2.3 EMA(21) на D1 — slope filter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Применяется только к DAX40 и XAUUSD. </w:t>
      </w:r>
      <w:r>
        <w:rPr>
          <w:rFonts w:ascii="Arial" w:cs="Arial" w:eastAsia="Arial" w:hAnsi="Arial"/>
          <w:sz w:val="22"/>
          <w:szCs w:val="22"/>
        </w:rPr>
        <w:t xml:space="preserve">Для остальных 14 символов этот фильтр отключён.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 с alpha = 2/(21+1)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 дневный бар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Логика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Slope = EMA_D1(now) vs EMA_D1(3 дня назад)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Для LONG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EMA_D1(now) &gt; EMA_D1(−3D): дневной тренд вверх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Для SHORT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EMA_D1(now) &lt; EMA_D1(−3D): дневной тренд вниз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Причина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DAX40 и XAUUSD показали нестабильные результаты без фильтра — D1 slope устраняет контртрендовые входы в боковых рынках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2.4 Фрактальные пивоты (H4)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Центральный индикатор стратегии. Используется для определения рыночной структуры и зоны входа.</w:t>
      </w:r>
    </w:p>
    <w:p>
      <w:pPr>
        <w:spacing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2.4.1 Определение фрактального пивота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High-пивот </w:t>
      </w:r>
      <w:r>
        <w:rPr>
          <w:rFonts w:ascii="Arial" w:cs="Arial" w:eastAsia="Arial" w:hAnsi="Arial"/>
          <w:sz w:val="22"/>
          <w:szCs w:val="22"/>
        </w:rPr>
        <w:t xml:space="preserve">на баре i: high[i] строго больше high[i-1..i-3] И больше или равен high[i+1..i+3].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Low-пивот </w:t>
      </w:r>
      <w:r>
        <w:rPr>
          <w:rFonts w:ascii="Arial" w:cs="Arial" w:eastAsia="Arial" w:hAnsi="Arial"/>
          <w:sz w:val="22"/>
          <w:szCs w:val="22"/>
        </w:rPr>
        <w:t xml:space="preserve">на баре i: low[i] строго меньше low[i-1..i-3] И меньше или равен low[i+1..i+3].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Параметр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fractal_k = 3</w:t>
      </w:r>
      <w:r>
        <w:rPr>
          <w:rFonts w:ascii="Arial" w:cs="Arial" w:eastAsia="Arial" w:hAnsi="Arial"/>
          <w:sz w:val="22"/>
          <w:szCs w:val="22"/>
        </w:rPr>
        <w:t xml:space="preserve">: требуется по 3 бара с каждой стороны для подтверждения. Это означает, что пивот на баре i становится известен только через 3 бара, т.е. только при наличии closed H4 бара i+3. Lookahead bias исключён.</w:t>
      </w:r>
    </w:p>
    <w:p>
      <w:pPr>
        <w:spacing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2.4.2 Правила серии пивотов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Чередование: </w:t>
      </w:r>
      <w:r>
        <w:rPr>
          <w:rFonts w:ascii="Arial" w:cs="Arial" w:eastAsia="Arial" w:hAnsi="Arial"/>
          <w:sz w:val="22"/>
          <w:szCs w:val="22"/>
        </w:rPr>
        <w:t xml:space="preserve">пивоты строго чередуются High/Low. Два подряд High или Low заменяются одним (лучшим).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Swing-фильтр: </w:t>
      </w:r>
      <w:r>
        <w:rPr>
          <w:rFonts w:ascii="Arial" w:cs="Arial" w:eastAsia="Arial" w:hAnsi="Arial"/>
          <w:sz w:val="22"/>
          <w:szCs w:val="22"/>
        </w:rPr>
        <w:t xml:space="preserve">новый пивот добавляется только если |new_price − last_price| ≥ 0.75 × ATR₄. Подавляет шумовые пивоты на малых движениях.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Обновление: </w:t>
      </w:r>
      <w:r>
        <w:rPr>
          <w:rFonts w:ascii="Arial" w:cs="Arial" w:eastAsia="Arial" w:hAnsi="Arial"/>
          <w:sz w:val="22"/>
          <w:szCs w:val="22"/>
        </w:rPr>
        <w:t xml:space="preserve">если новый бар формирует пивот того же типа подряд — обновляем цену пивота на лучшую (выше для High, ниже для Low).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Определение тренда (H4)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Условия UPTREND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2"/>
              <w:bottom w:val="single" w:color="2E74B5" w:sz="4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last_HH &gt; prev_HH  И  last_HL &gt; prev_HL</w:t>
            </w:r>
            <w:r>
              <w:rPr>
                <w:rFonts w:ascii="Arial" w:cs="Arial" w:eastAsia="Arial" w:hAnsi="Arial"/>
                <w:b/>
                <w:bCs/>
                <w:color w:val="1E4620"/>
                <w:sz w:val="22"/>
                <w:szCs w:val="22"/>
              </w:rPr>
              <w:t xml:space="preserve">  →  UPTREND, зона = last_HL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Обозначения: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last_HH</w:t>
      </w:r>
      <w:r>
        <w:rPr>
          <w:rFonts w:ascii="Arial" w:cs="Arial" w:eastAsia="Arial" w:hAnsi="Arial"/>
          <w:sz w:val="22"/>
          <w:szCs w:val="22"/>
        </w:rPr>
        <w:t xml:space="preserve"> = последний High-пивот,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prev_HH</w:t>
      </w:r>
      <w:r>
        <w:rPr>
          <w:rFonts w:ascii="Arial" w:cs="Arial" w:eastAsia="Arial" w:hAnsi="Arial"/>
          <w:sz w:val="22"/>
          <w:szCs w:val="22"/>
        </w:rPr>
        <w:t xml:space="preserve"> = предпоследний High-пивот; аналогично для HL.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UPTREND требует одновременного роста и максимумов, и минимумов — классический критерий бычьей структуры по Dow Theory. Зона входа — уровень последнего HL (Higher Low): именно там рынок нашёл покупателей в предыдущий раз.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Условия DOWNTREND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2"/>
              <w:bottom w:val="single" w:color="2E74B5" w:sz="4"/>
              <w:right w:val="none" w:color="FFFFFF" w:sz="0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last_LH &lt; prev_LH  И  last_LL &lt; prev_LL</w:t>
            </w:r>
            <w:r>
              <w:rPr>
                <w:rFonts w:ascii="Arial" w:cs="Arial" w:eastAsia="Arial" w:hAnsi="Arial"/>
                <w:b/>
                <w:bCs/>
                <w:color w:val="7B1C1C"/>
                <w:sz w:val="22"/>
                <w:szCs w:val="22"/>
              </w:rPr>
              <w:t xml:space="preserve">  →  DOWNTREND, зона = last_LH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Зона входа в шорт — уровень последнего LH (Lower High): уровень, где ранее появилось давление продавцов.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Нейтральная структура (FLAT)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Если оба условия не выполнены (например, HH растёт, но HL не растёт) — режим FLAT = 0. Входов нет. Стратегия ждёт восстановления чёткой структуры.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3.4 Безопасность от lookahead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H4 бары ресемплируются из M30 потока инкрементально. При вычислении индекса H4 бара для текущего M30 бара используется: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h4_close_ts = h4_bucket_start + 4h</w:t>
      </w:r>
      <w:r>
        <w:rPr>
          <w:rFonts w:ascii="Arial" w:cs="Arial" w:eastAsia="Arial" w:hAnsi="Arial"/>
          <w:sz w:val="22"/>
          <w:szCs w:val="22"/>
        </w:rPr>
        <w:t xml:space="preserve">. Текущий незакрытый H4 бакет отбрасывается. Фрактальный пивот на H4 баре i подтверждается только наличием i+3 закрытых H4 баров — это дополнительные 12 часов задержки.</w:t>
      </w:r>
    </w:p>
    <w:p>
      <w:pPr>
        <w:spacing w:after="200"/>
      </w:pPr>
    </w:p>
    <w:p>
      <w:pPr>
        <w:pStyle w:val="Heading1"/>
        <w:pBdr>
          <w:bottom w:val="single" w:color="2E74B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Сигнал входа (M30)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Условия входа LONG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2"/>
              <w:bottom w:val="single" w:color="2E74B5" w:sz="4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Режим H4 = UPTREND  (последний HH &gt; prev HH  И  последний HL &gt; prev HL)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low[i] ≤ last_HL + zone_buf × ATR_M30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close[i] &gt; last_HL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tick_volume[i] &gt; vol_ma(20)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(DAX40/XAUUSD) EMA_D1(now) &gt; EMA_D1(−3 дня)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Интерпретация условий 2 и 3: </w:t>
      </w:r>
      <w:r>
        <w:rPr>
          <w:rFonts w:ascii="Arial" w:cs="Arial" w:eastAsia="Arial" w:hAnsi="Arial"/>
          <w:sz w:val="22"/>
          <w:szCs w:val="22"/>
        </w:rPr>
        <w:t xml:space="preserve">фитиль бара касается зоны снизу (low ≤ zone + буфер), но бар закрывается выше зоны — свидетельство отбоя от поддержки. Zone_buf расширяет зону поиска на ATR-кратное расстояние для символов с высокой волатильностью.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Условия входа SHORT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2"/>
              <w:bottom w:val="single" w:color="2E74B5" w:sz="4"/>
              <w:right w:val="none" w:color="FFFFFF" w:sz="0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Режим H4 = DOWNTREND  (последний LH &lt; prev LH  И  последний LL &lt; prev LL)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high[i] ≥ last_LH − zone_buf × ATR_M30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close[i] &lt; last_LH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tick_volume[i] &gt; vol_ma(20)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(DAX40/XAUUSD) EMA_D1(now) &lt; EMA_D1(−3 дня)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Симметрия: </w:t>
      </w:r>
      <w:r>
        <w:rPr>
          <w:rFonts w:ascii="Arial" w:cs="Arial" w:eastAsia="Arial" w:hAnsi="Arial"/>
          <w:sz w:val="22"/>
          <w:szCs w:val="22"/>
        </w:rPr>
        <w:t xml:space="preserve">условия SHORT полностью симметричны LONG. Паттерн: верхний фитиль протыкает зону LH, закрытие ниже — отбой от сопротивления.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Дедупликация входа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Стратегия хранит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last_zone_ts[sym]</w:t>
      </w:r>
      <w:r>
        <w:rPr>
          <w:rFonts w:ascii="Arial" w:cs="Arial" w:eastAsia="Arial" w:hAnsi="Arial"/>
          <w:sz w:val="22"/>
          <w:szCs w:val="22"/>
        </w:rPr>
        <w:t xml:space="preserve"> — timestamp H4 бара зоны последнего входа. Новый сигнал генерируется только если зона изменилась (новый структурный HL/LH), т.е. после того как H4 структура сформировала следующую серию пивотов. Это исключает повторные входы в ту же зону при нескольких тиках подряд.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4.4 No-Trade Window (NTW)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Сигналы, попадающие в окно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23:40 — 01:05 </w:t>
      </w:r>
      <w:r>
        <w:rPr>
          <w:rFonts w:ascii="Arial" w:cs="Arial" w:eastAsia="Arial" w:hAnsi="Arial"/>
          <w:sz w:val="22"/>
          <w:szCs w:val="22"/>
        </w:rPr>
        <w:t xml:space="preserve">серверного времени (UTC+2/EET), блокируются на уровне демона (Gate 6). Это окно форекс-роллового перехода дня — аномальные спреды, принудительные свопы, нулевой объём.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Стоп-лосс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Структурный SL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SL ставится за структурный уровень зоны с ATR-буфером. Это не произвольный процент или пиповое расстояние — SL физически означает отмену паттерна: если цена вышла ЗА уровень, где должны были стоять покупатели/продавцы, структура нарушена.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</w:t>
            </w:r>
          </w:p>
        </w:tc>
        <w:tc>
          <w:tcPr>
            <w:tcW w:type="dxa" w:w="3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Структурный уровень</w:t>
            </w:r>
          </w:p>
        </w:tc>
        <w:tc>
          <w:tcPr>
            <w:tcW w:type="dxa" w:w="3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last_HL (Higher Low)</w:t>
            </w:r>
          </w:p>
        </w:tc>
        <w:tc>
          <w:tcPr>
            <w:tcW w:type="dxa" w:w="3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last_LH (Lower High)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 цена</w:t>
            </w:r>
          </w:p>
        </w:tc>
        <w:tc>
          <w:tcPr>
            <w:tcW w:type="dxa" w:w="3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close − sl_dist</w:t>
            </w:r>
          </w:p>
        </w:tc>
        <w:tc>
          <w:tcPr>
            <w:tcW w:type="dxa" w:w="3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close + sl_dist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sl_dist</w:t>
            </w:r>
          </w:p>
        </w:tc>
        <w:tc>
          <w:tcPr>
            <w:tcW w:type="dxa" w:w="3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max(close − (HL − 0.2×ATR), bmin)</w:t>
            </w:r>
          </w:p>
        </w:tc>
        <w:tc>
          <w:tcPr>
            <w:tcW w:type="dxa" w:w="3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max((LH + 0.2×ATR) − close, bmin)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Смысл 0.2×ATR</w:t>
            </w:r>
          </w:p>
        </w:tc>
        <w:tc>
          <w:tcPr>
            <w:tcW w:type="dxa" w:w="3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Буфер ниже HL: отступ от точного уровня, чтобы спред и шум не выбивали SL преждевременно</w:t>
            </w:r>
          </w:p>
        </w:tc>
        <w:tc>
          <w:tcPr>
            <w:tcW w:type="dxa" w:w="3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Буфер выше LH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bmin (минимум)</w:t>
            </w:r>
          </w:p>
        </w:tc>
        <w:tc>
          <w:tcPr>
            <w:tcW w:type="dxa" w:w="3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 пипов (FX: 0.0020 / JPY: 0.20) | Индексы: 0</w:t>
            </w:r>
          </w:p>
        </w:tc>
        <w:tc>
          <w:tcPr>
            <w:tcW w:type="dxa" w:w="3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 же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Примечание: </w:t>
      </w:r>
      <w:r>
        <w:rPr>
          <w:rFonts w:ascii="Arial" w:cs="Arial" w:eastAsia="Arial" w:hAnsi="Arial"/>
          <w:sz w:val="22"/>
          <w:szCs w:val="22"/>
        </w:rPr>
        <w:t xml:space="preserve">sl_dist — расстояние от цены входа до SL в единицах цены. Демон использует это значение для расчёта R-кратного и позиционного размера. Передаётся в signal_data как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"sl_dist"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Цена входа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Вход по рыночной цене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следующего M30 бара</w:t>
      </w:r>
      <w:r>
        <w:rPr>
          <w:rFonts w:ascii="Arial" w:cs="Arial" w:eastAsia="Arial" w:hAnsi="Arial"/>
          <w:sz w:val="22"/>
          <w:szCs w:val="22"/>
        </w:rPr>
        <w:t xml:space="preserve"> — т.е. open[i+1] от сигнального бара. Демон исполняет market order. Реальная цена = mid ± spread/2 ± slippage (учтено в бэктесте через cost model v2).</w:t>
      </w:r>
    </w:p>
    <w:p>
      <w:pPr>
        <w:spacing w:after="200"/>
      </w:pPr>
    </w:p>
    <w:p>
      <w:pPr>
        <w:pStyle w:val="Heading1"/>
        <w:pBdr>
          <w:bottom w:val="single" w:color="2E74B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Тейк-профит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2"/>
              <w:bottom w:val="single" w:color="2E74B5" w:sz="4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TP = entry_price + tp_r × sl_dist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где tp_r = 5.0 (фиксировано)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Выбор TP=5R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 ходе исследования тестировались три подхода: фиксированный TP (A_fixed), трейлинг стоп (C_trail) и протектор + трейлинг (B_protect + C_trail). На всём портфеле фиксированный TP стабильно превзошёл трейлинг варианты.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Физически это объясняется природой паттерна: после отбоя от структурной зоны цена часто делает импульс к следующему уровню. Трейлинг выбивает сделку на коррекциях внутри импульса. Фиксированный TP=5R «ловит» полный импульс.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6.2 LONG / SHORT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TP цена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close + 5.0 × sl_dist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close − 5.0 × sl_dist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Ожидаемый R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5.0R (до вычета комиссий)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5.0R (до вычета комиссий)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Net R (после комиссий)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~4.85–4.92R (зависит от символа)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 же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4B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Тайм-аут (принудительный выход)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Условие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elapsed = (cur_ts − open_ts) / 1800 ≥ 48 баров M30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Время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 × 30 мин = 24 часа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EXIT по рыночной цене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результата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Текущий PnL / sl_dist (может быть любым в диапазоне −1..+5)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Логика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Если через 24 часа позиция не достигла TP или SL — импульс не реализовался. Держать дольше нецелесообразно и опасно (gap через выходные, новости).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Портфель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8.1 Tier-структура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"/>
        <w:gridCol w:w="1400"/>
        <w:gridCol w:w="1200"/>
        <w:gridCol w:w="1200"/>
        <w:gridCol w:w="12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Символ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zone_buf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 filter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size_r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GBPJPY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forex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NAS100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index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US30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index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USDCHF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forex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1.25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Расширенная зона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EURJPY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forex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GBPUSD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forex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USDJPY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forex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GBPAUD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forex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NZDUSD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forex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1.25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Расширенная зона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EURAUD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forex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EURUSD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forex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CADJPY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forex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NZDJPY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T2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forex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2.0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0.5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Широкая зона, полразмера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USDCAD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T2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forex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2.0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0.5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Широкая зона, полразмера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DAX40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T2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index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 lb=3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0.5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D1 EMA slope + полразмера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XAUUSD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T2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metal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 lb=3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0.5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D1 EMA slope + полразмера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T1 (size_r=1.0): </w:t>
      </w:r>
      <w:r>
        <w:rPr>
          <w:rFonts w:ascii="Arial" w:cs="Arial" w:eastAsia="Arial" w:hAnsi="Arial"/>
          <w:sz w:val="22"/>
          <w:szCs w:val="22"/>
        </w:rPr>
        <w:t xml:space="preserve">полный размер, торгуются на всех разрешённых рынком условиях.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T2 (size_r=0.5): </w:t>
      </w:r>
      <w:r>
        <w:rPr>
          <w:rFonts w:ascii="Arial" w:cs="Arial" w:eastAsia="Arial" w:hAnsi="Arial"/>
          <w:sz w:val="22"/>
          <w:szCs w:val="22"/>
        </w:rPr>
        <w:t xml:space="preserve">половина стандартного размера. Применяется к символам с чуть более слабыми OOS метриками или специфическими условиями рынка.</w:t>
      </w:r>
    </w:p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8.2 OOS результаты по символам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"/>
        <w:gridCol w:w="900"/>
        <w:gridCol w:w="1100"/>
        <w:gridCol w:w="1000"/>
        <w:gridCol w:w="1000"/>
        <w:gridCol w:w="1000"/>
        <w:gridCol w:w="1000"/>
        <w:gridCol w:w="860"/>
      </w:tblGrid>
      <w:tr>
        <w:trPr>
          <w:tblHeader/>
        </w:trP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Символ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сделок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total_$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avg_$/tr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Win%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max_win</w:t>
            </w:r>
          </w:p>
        </w:tc>
        <w:tc>
          <w:tcPr>
            <w:tcW w:type="dxa" w:w="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max_loss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GBPJPY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455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+$245,837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+$540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3.042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+$2,451</w:t>
            </w:r>
          </w:p>
        </w:tc>
        <w:tc>
          <w:tcPr>
            <w:tcW w:type="dxa" w:w="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-$628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NZDJPY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T2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1,046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+$224,602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+$215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3.135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+$1,224</w:t>
            </w:r>
          </w:p>
        </w:tc>
        <w:tc>
          <w:tcPr>
            <w:tcW w:type="dxa" w:w="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-$302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USDCHF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483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+$212,932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+$441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3.585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+$2,456</w:t>
            </w:r>
          </w:p>
        </w:tc>
        <w:tc>
          <w:tcPr>
            <w:tcW w:type="dxa" w:w="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-$575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EURJPY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362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+$185,628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+$513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3.063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+$2,462</w:t>
            </w:r>
          </w:p>
        </w:tc>
        <w:tc>
          <w:tcPr>
            <w:tcW w:type="dxa" w:w="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-$598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CADJPY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381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+$163,000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+$428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2.634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+$2,465</w:t>
            </w:r>
          </w:p>
        </w:tc>
        <w:tc>
          <w:tcPr>
            <w:tcW w:type="dxa" w:w="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-$602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GBPUSD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388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+$160,264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+$413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2.676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+$2,462</w:t>
            </w:r>
          </w:p>
        </w:tc>
        <w:tc>
          <w:tcPr>
            <w:tcW w:type="dxa" w:w="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-$570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NZDUSD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498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+$136,398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+$274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2.254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+$2,416</w:t>
            </w:r>
          </w:p>
        </w:tc>
        <w:tc>
          <w:tcPr>
            <w:tcW w:type="dxa" w:w="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-$595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GBPAUD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417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+$123,623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+$297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1.909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+$2,429</w:t>
            </w:r>
          </w:p>
        </w:tc>
        <w:tc>
          <w:tcPr>
            <w:tcW w:type="dxa" w:w="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-$645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US30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193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+$117,412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+$608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3.306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+$2,500</w:t>
            </w:r>
          </w:p>
        </w:tc>
        <w:tc>
          <w:tcPr>
            <w:tcW w:type="dxa" w:w="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-$500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EURUSD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357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+$107,193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+$300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2.339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+$2,454</w:t>
            </w:r>
          </w:p>
        </w:tc>
        <w:tc>
          <w:tcPr>
            <w:tcW w:type="dxa" w:w="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-$565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USDJPY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310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+$102,256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+$330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2.188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+$2,461</w:t>
            </w:r>
          </w:p>
        </w:tc>
        <w:tc>
          <w:tcPr>
            <w:tcW w:type="dxa" w:w="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-$568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USDCAD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T2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667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+$84,136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+$126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2.121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+$1,220</w:t>
            </w:r>
          </w:p>
        </w:tc>
        <w:tc>
          <w:tcPr>
            <w:tcW w:type="dxa" w:w="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-$288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NAS100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174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+$80,230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+$461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2.585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+$2,500</w:t>
            </w:r>
          </w:p>
        </w:tc>
        <w:tc>
          <w:tcPr>
            <w:tcW w:type="dxa" w:w="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-$500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EURAUD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408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+$57,794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+$142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1.406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+$2,436</w:t>
            </w:r>
          </w:p>
        </w:tc>
        <w:tc>
          <w:tcPr>
            <w:tcW w:type="dxa" w:w="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-$618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XAUUSD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T2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189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+$47,548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+$252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2.789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+$1,250</w:t>
            </w:r>
          </w:p>
        </w:tc>
        <w:tc>
          <w:tcPr>
            <w:tcW w:type="dxa" w:w="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-$250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DAX40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T2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185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+$27,861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+$151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1.975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+$1,250</w:t>
            </w:r>
          </w:p>
        </w:tc>
        <w:tc>
          <w:tcPr>
            <w:tcW w:type="dxa" w:w="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-$250</w:t>
            </w:r>
          </w:p>
        </w:tc>
      </w:tr>
      <w:tr>
        <w:tc>
          <w:tcPr>
            <w:tcW w:type="dxa" w:w="2000"/>
            <w:gridSpan w:val="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ИТОГО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6,513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+$2,076,714</w:t>
            </w:r>
          </w:p>
        </w:tc>
        <w:tc>
          <w:tcPr>
            <w:tcW w:type="dxa" w:w="5360"/>
            <w:gridSpan w:val="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100k депозит | R-cap=3 | rpr=$500 T1 / $250 T2 | OOS 4 года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Управление риском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управление риском реализуется исключительно на уровне демона. Стратегия генерирует только сигнал (direction, sl_price, tp_price). Все gates ниже — ответственность C# daemon.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9.1 R-cap (Gate 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r_cap = 3 стопа в день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Механизм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Демон считает число сделок, закрытых с убытком &gt; 0.5R за текущий торговый день. При достижении 3 — блокирует новые входы до конца дня.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Эффект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Из 22,767 сигналов OOS заблокировано 16,254 (71%). Оставлено 6,513 — самые ранние в каждом торговом дне.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Цель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Ограничение риска при серийных стопах в одну сессию (коррелированные инструменты).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9.2 Challenge Brake (daemon Challenge Mode)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Активируется при торговле в prop firm challenge. Не реализуется в стратегии — настраивается в разделе Challenge Mode панели демона.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Brake threshold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-$3,000 от начала цикла (30% от лимита просадки)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Brake factor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0.3 — риск/сделку снижается до 30% от базового (T1: $500→$150, T2: $250→$75)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R-cap при тормозе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вместо 3 — дополнительное сокращение частоты входов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Восстановление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 достижении цикловой equity ≥ 0 (возврат к нулю) — автоматический возврат к полному размеру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Цель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Предотвращение слива challenge цикла при затяжной просадке. Парето-оптимум: FAIL 18→3 за 4 года при +2.6 дня к среднему циклу.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9.3 Ограничения по марже (daemon)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Лимит 1%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Фильтрует 58% сделок (в основном US30, NAS100, XAUUSD с высокой маржей)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Лимит 2%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Фильтрует 40% сделок — рекомендуемый для prop firm с плечом 25-100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Средняя маржа FX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0.01–3.5% от депозита в зависимости от символа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Средняя маржа IDX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NAS100: 8.7%, US30: 13.8%, DAX40: 5.6%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9.4 No-Trade Window (Gate 6)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23:40 — 01:05 серверного времени (UTC+2). Реализовано в демоне. Сигналы в этом окне отклоняются до исполнения.</w:t>
      </w:r>
    </w:p>
    <w:p>
      <w:pPr>
        <w:spacing w:after="200"/>
      </w:pPr>
    </w:p>
    <w:p>
      <w:pPr>
        <w:pStyle w:val="Heading1"/>
        <w:pBdr>
          <w:bottom w:val="single" w:color="2E74B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Challenge Cycle — статистика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Параметры симуляции: депозит $100,000, риск T1=$500/R, T2=$250/R, цель +10% ($10k), дневной DD -5% ($5k), общий DD -10% ($10k).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3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(R-cap=3)</w:t>
            </w:r>
          </w:p>
        </w:tc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 Brake (оптимум)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Изменение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 Rate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88.4% (137/155)</w:t>
            </w:r>
          </w:p>
        </w:tc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97.6% (124/127)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[run: green] +9.2 п.п.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FAIL за 4 года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−15 (−83%)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Avg дней до цели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9.4</w:t>
            </w:r>
          </w:p>
        </w:tc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12.0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+2.6 дня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Median дней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+1 день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 дней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34</w:t>
            </w:r>
          </w:p>
        </w:tc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+16 дней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Passes/год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~34</w:t>
            </w:r>
          </w:p>
        </w:tc>
        <w:tc>
          <w:tcPr>
            <w:tcW w:type="dxa" w:w="2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~31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−3/год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Сводная таблица параметров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11.1 Параметры стратегии (config.json → params)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TF/контекст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fractal_k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H4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Число баров с каждой стороны для подтверждения фрактального пивота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swing_atr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H4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Минимальное расстояние между пивотами в ATR-единицах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sl_buf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0.2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M30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Буфер за структурным уровнем в ATR для SL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tp_r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M30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Тейк-профит в R-кратных SL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atr_period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H4+M30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Период Wilder ATR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vol_period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M30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Период MA для объёмного фильтра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ema_period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D1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Период EMA для D1 slope filter (DAX40/XAUUSD)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d1_lb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D1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Lookback для slope: EMA(now) vs EMA(−3 дня)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timeout_bars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M30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Принудительный EXIT через 48 баров M30 (24 часа)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history_bars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1200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M30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Глубина истории баров (1200 × 30мин = 25 дней)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r_cap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daemon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Gate 12: макс. стопов в день; передаётся в HELLO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11.2 Per-symbol параметры (combos[].strat)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800"/>
        <w:gridCol w:w="466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Значения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zone_buf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 / 1.25 / 2.0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Расширение зоны входа в ATR-кратных. 2.0 у NZDJPY/USDCAD — широкие зоны из-за нестабильной структуры. 1.25 у USDCHF/NZDUSD.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d1_filter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true / false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false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Активирует D1 EMA slope фильтр. Только DAX40 и XAUUSD.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d1_lb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Lookback D1 slope в барах. Только при d1_filter=true.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4B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Поток обработки данных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 каждом тике (закрытие нового M30 бара) стратегия выполняет: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rPr>
          <w:tblHeader/>
        </w:trP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Timeout check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Для каждой открытой позиции: (cur_ts − open_ts) / 1800 ≥ 48 → EXIT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Resample M30→H4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Агрегация баров в 4-часовые бакеты. Последний незакрытый бакет отбрасывается.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ATR(14) на H4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Wilder ATR на H4 барах. Используется в swing-фильтре пивотов.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Fractal pivots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Поиск пивотов k=3 с swing≥0.75×ATR₄. Принудительное чередование.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Режим тренда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Определение UPTREND/DOWNTREND/FLAT из последних 2×HH и 2×HL.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ATR(14) на M30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Wilder ATR на M30 барах. Используется для зоны и SL.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 MA(20)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Простая MA объёма. Фильтр на текущий бар.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(опц.) D1 slope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Resample M30→D1, EMA(21), slope = EMA(now)&gt;EMA(−3D)?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Entry check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Условия касания зоны + закрытие + объём (+ D1 slope).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Dedup check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last_zone_ts[sym] == zone_ts? → пропустить.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ENTER action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direction, sl_price, tp_price, signal_data(sl_dist, tp_r) → демон.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4B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Ключевые дизайн-решения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Фиксированный TP=5R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Трейлинг/протектор тестировались и отклонены: паттерн откат→импульс прибыльнее при фиксированном TP. Трейлинг выбивается на коррекциях импульса.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Wilder ATR (не EMA ATR)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Alpha=1/14 корректнее для волатильных рынков. EMA ATR с 2/(n+1) даёт более реактивный, нестабильный сигнал.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Ресемплинг из M30 (не прямой H4)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Прямая загрузка H4 из MT5 создаёт lookahead bias: последний H4 бар уже содержит будущие M30 бары. Ресемплинг из M30 потока гарантирует точное временное соответствие.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NTW в демоне, не стратегии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Временны́е фильтры — gate-уровень. Стратегия signal-only.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R-cap = Gate 12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Демон считает дневные стопы централизованно по всему портфелю. Стратегия не знает о состоянии других символов — только демон видит полную картину.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Challenge brake в демоне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Brake threshold и factor — свойства challenge-аккаунта, не стратегии. Одна стратегия может работать на разных аккаунтах с разными параметрами brake.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D1 filter только для DAX40/XAUUSD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FX пары показывают стабильную OOS без D1 фильтра. DAX40 и XAUUSD нестабильны в боковых рынках — D1 slope устраняет контртрендовые входы.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Timeout 24ч (не дольше)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Overnight gap риск и weekend risk. Сделка не реализовавшая импульс за 24ч статистически не является setup-ом данной стратегии.</w:t>
            </w:r>
          </w:p>
        </w:tc>
      </w:tr>
    </w:tbl>
    <w:p>
      <w:pPr>
        <w:spacing w:after="200"/>
      </w:pPr>
    </w:p>
    <w:p>
      <w:pPr>
        <w:spacing w:after="240"/>
      </w:pPr>
    </w:p>
    <w:p>
      <w:pPr>
        <w:pBdr>
          <w:top w:val="single" w:color="D9D9D9" w:sz="4" w:space="4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FST v1.0  •  Confidential  • 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Внутренний документ исследования</w:t>
      </w:r>
    </w:p>
    <w:sectPr>
      <w:pgSz w:w="12240" w:h="15840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2026-03-11T12:08:11.452Z</dcterms:created>
  <dcterms:modified xsi:type="dcterms:W3CDTF">2026-03-11T12:08:11.453Z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