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0"/>
        </w:rPr>
        <w:t>DSS de beneficios económicos por RBI – Barrancabermeja</w:t>
      </w:r>
    </w:p>
    <w:p>
      <w:r>
        <w:rPr>
          <w:b w:val="0"/>
          <w:i/>
        </w:rPr>
        <w:t>Oropallo et al., Safety Science 177 (2024) 106570, DOI 10.1016/j.ssci.2024.106570 · API 581 · API 580 · PCC-3/PCC-2 · API 579-1 · API 571 · ISO 14224 · ISO 15663 · ISO/TS 55010 · 30-09-2026</w:t>
      </w:r>
    </w:p>
    <w:p>
      <w:r>
        <w:rPr>
          <w:b/>
          <w:i w:val="0"/>
          <w:color w:val="C00000"/>
        </w:rPr>
        <w:t>AVISO. Las cifras de Barrancabermeja son ILUSTRATIVAS. Las normas no estaban disponibles: la ubicación exacta de ecuaciones, secciones y tablas en la edición aplicable es PENDIENTE; solo se da por verificado lo que cita el PDF de Oropallo, leído completo. Un motor propio de Df (Eqs. 4–7 con tablas recordadas) no reprodujo la categoría 1C del paper y se descartó.</w:t>
      </w:r>
    </w:p>
    <w:p>
      <w:pPr>
        <w:keepNext/>
        <w:spacing w:before="80" w:after="30"/>
      </w:pPr>
      <w:r>
        <w:rPr>
          <w:b/>
          <w:color w:val="1F3864"/>
          <w:sz w:val="23"/>
        </w:rPr>
        <w:t>1. Hallazgos y correcciones al encargo</w:t>
      </w:r>
    </w:p>
    <w:p>
      <w:pPr>
        <w:pStyle w:val="ListBullet"/>
        <w:spacing w:after="10"/>
      </w:pPr>
      <w:r>
        <w:t>RBI cuesta menos que TBI en el paper, pero sus totales fallan: Tabla 7 (RBI-2) suma 1.410 $ y no 1.170 $; Tabla 8 (RBI-1) suma 2.010 $ y no 1.080 $; la tasa de corrosión suma 0,202 y no 0,132 mm/a. Con esto las estrategias 2 y 4 empatan en 1.410 $ y la "mejor" del paper no se sostiene. Ajuste propuesto (modelo propio): Tabla 8, RBI-2, 2050 = 600 $ (CUIF-B), +240 $.</w:t>
      </w:r>
    </w:p>
    <w:p>
      <w:pPr>
        <w:pStyle w:val="ListBullet"/>
        <w:spacing w:after="10"/>
      </w:pPr>
      <w:r>
        <w:t>El paper no calcula EMV, VAN, SIR, ROI ni payback; sus ahorros son nominales. Este DSS los añade como modelo propio.</w:t>
      </w:r>
    </w:p>
    <w:p>
      <w:pPr>
        <w:pStyle w:val="ListBullet"/>
        <w:spacing w:after="10"/>
      </w:pPr>
      <w:r>
        <w:t>Constantes: 4.000 $/m² es el reemplazo, 10.000 $/persona la lesión, 0,1 persona/m² la densidad y 40.000 $ es la PRODUCCIÓN DIARIA (no un costo por metro de reemplazo). "LSE" y "DPN" no son términos de API 581; "VSL" de 10.000 $ es un costo de lesión, no un valor estadístico de la vida.</w:t>
      </w:r>
    </w:p>
    <w:p>
      <w:pPr>
        <w:pStyle w:val="ListBullet"/>
        <w:spacing w:after="10"/>
      </w:pPr>
      <w:r>
        <w:t>Adjuntos analizados. API 581 Adenda 1 (2019) Parte 1 §8: módulo de haces de intercambiadores con la decisión económica inspeccionar/reemplazar (Eqs. 1.78–1.80). ASME PCC-3-2022: secciones 7–10 y continuum verificados; no trae POF ni VAN. Plantilla Ecopetrol STAP: implementa API 581 con numeración (POF Parte 1 Eq. 1.1; Df Eqs. 2.12–2.20; Tablas 4.5/4.6; GFF Tabla 3.1). Plantilla VRS: matriz RAM Ecopetrol N/L/M/H/VH, costos y plan. Corrijo: POF está en Parte 1, no Parte 2; el §15/§16 del paper vs §16/§17 del encargo sigue sin verificar; ASME PCC-3 es inspección, la reparación es PCC-2.</w:t>
      </w:r>
    </w:p>
    <w:p>
      <w:pPr>
        <w:pStyle w:val="ListBullet"/>
        <w:spacing w:after="10"/>
      </w:pPr>
      <w:r>
        <w:t>Resultado del ejemplo del paper: VAN a 10 años del beneficio esperado = 5.789 $; 10.000 $ vienen de la parada interna TBI evitada, 270 $ de menor inspección y -290 $ es el ΔEMV (RBI acepta algo más de riesgo). En 1C no hay riesgo que cobrar.</w:t>
      </w:r>
    </w:p>
    <w:p>
      <w:pPr>
        <w:keepNext/>
        <w:spacing w:before="80" w:after="30"/>
      </w:pPr>
      <w:r>
        <w:rPr>
          <w:b/>
          <w:color w:val="1F3864"/>
          <w:sz w:val="23"/>
        </w:rPr>
        <w:t>2. Qué sirve de Oropallo para cuantificar beneficios</w:t>
      </w:r>
    </w:p>
    <w:tbl>
      <w:tblPr>
        <w:tblStyle w:val="TableGrid"/>
        <w:tblW w:type="auto" w:w="0"/>
        <w:tblLook w:firstColumn="1" w:firstRow="1" w:lastColumn="0" w:lastRow="0" w:noHBand="0" w:noVBand="1" w:val="04A0"/>
      </w:tblPr>
      <w:tblGrid>
        <w:gridCol w:w="3513"/>
        <w:gridCol w:w="3513"/>
        <w:gridCol w:w="3513"/>
      </w:tblGrid>
      <w:tr>
        <w:tc>
          <w:tcPr>
            <w:tcW w:type="dxa" w:w="3175"/>
            <w:shd w:val="clear" w:color="auto" w:fill="1F3864"/>
          </w:tcPr>
          <w:p>
            <w:pPr>
              <w:spacing w:after="0"/>
            </w:pPr>
            <w:r>
              <w:rPr>
                <w:b/>
                <w:color w:val="FFFFFF"/>
                <w:sz w:val="16"/>
              </w:rPr>
              <w:t>Elemento (pág.)</w:t>
            </w:r>
          </w:p>
        </w:tc>
        <w:tc>
          <w:tcPr>
            <w:tcW w:type="dxa" w:w="5839"/>
            <w:shd w:val="clear" w:color="auto" w:fill="1F3864"/>
          </w:tcPr>
          <w:p>
            <w:pPr>
              <w:spacing w:after="0"/>
            </w:pPr>
            <w:r>
              <w:rPr>
                <w:b/>
                <w:color w:val="FFFFFF"/>
                <w:sz w:val="16"/>
              </w:rPr>
              <w:t>Función en el DSS</w:t>
            </w:r>
          </w:p>
        </w:tc>
        <w:tc>
          <w:tcPr>
            <w:tcW w:type="dxa" w:w="1474"/>
            <w:shd w:val="clear" w:color="auto" w:fill="1F3864"/>
          </w:tcPr>
          <w:p>
            <w:pPr>
              <w:spacing w:after="0"/>
            </w:pPr>
            <w:r>
              <w:rPr>
                <w:b/>
                <w:color w:val="FFFFFF"/>
                <w:sz w:val="16"/>
              </w:rPr>
              <w:t>Utilidad</w:t>
            </w:r>
          </w:p>
        </w:tc>
      </w:tr>
      <w:tr>
        <w:tc>
          <w:tcPr>
            <w:tcW w:type="dxa" w:w="3175"/>
          </w:tcPr>
          <w:p>
            <w:pPr>
              <w:spacing w:after="0"/>
            </w:pPr>
            <w:r>
              <w:rPr>
                <w:sz w:val="16"/>
              </w:rPr>
              <w:t>Eq. 1 (p.4) POF=gff·Df·FMS</w:t>
            </w:r>
          </w:p>
        </w:tc>
        <w:tc>
          <w:tcPr>
            <w:tcW w:type="dxa" w:w="5839"/>
          </w:tcPr>
          <w:p>
            <w:pPr>
              <w:spacing w:after="0"/>
            </w:pPr>
            <w:r>
              <w:rPr>
                <w:sz w:val="16"/>
              </w:rPr>
              <w:t>Núcleo de POF y EMV</w:t>
            </w:r>
          </w:p>
        </w:tc>
        <w:tc>
          <w:tcPr>
            <w:tcW w:type="dxa" w:w="1474"/>
          </w:tcPr>
          <w:p>
            <w:pPr>
              <w:spacing w:after="0"/>
            </w:pPr>
            <w:r>
              <w:rPr>
                <w:sz w:val="16"/>
              </w:rPr>
              <w:t>Alta</w:t>
            </w:r>
          </w:p>
        </w:tc>
      </w:tr>
      <w:tr>
        <w:tc>
          <w:tcPr>
            <w:tcW w:type="dxa" w:w="3175"/>
          </w:tcPr>
          <w:p>
            <w:pPr>
              <w:spacing w:after="0"/>
            </w:pPr>
            <w:r>
              <w:rPr>
                <w:sz w:val="16"/>
              </w:rPr>
              <w:t>Eq. 7 + Tabla 1 (p.5–6)</w:t>
            </w:r>
          </w:p>
        </w:tc>
        <w:tc>
          <w:tcPr>
            <w:tcW w:type="dxa" w:w="5839"/>
          </w:tcPr>
          <w:p>
            <w:pPr>
              <w:spacing w:after="0"/>
            </w:pPr>
            <w:r>
              <w:rPr>
                <w:sz w:val="16"/>
              </w:rPr>
              <w:t>Actualización bayesiana del Df por NDE (A–E)</w:t>
            </w:r>
          </w:p>
        </w:tc>
        <w:tc>
          <w:tcPr>
            <w:tcW w:type="dxa" w:w="1474"/>
          </w:tcPr>
          <w:p>
            <w:pPr>
              <w:spacing w:after="0"/>
            </w:pPr>
            <w:r>
              <w:rPr>
                <w:sz w:val="16"/>
              </w:rPr>
              <w:t>Alta</w:t>
            </w:r>
          </w:p>
        </w:tc>
      </w:tr>
      <w:tr>
        <w:tc>
          <w:tcPr>
            <w:tcW w:type="dxa" w:w="3175"/>
          </w:tcPr>
          <w:p>
            <w:pPr>
              <w:spacing w:after="0"/>
            </w:pPr>
            <w:r>
              <w:rPr>
                <w:sz w:val="16"/>
              </w:rPr>
              <w:t>Eq. 13 (p.6–7) FC</w:t>
            </w:r>
          </w:p>
        </w:tc>
        <w:tc>
          <w:tcPr>
            <w:tcW w:type="dxa" w:w="5839"/>
          </w:tcPr>
          <w:p>
            <w:pPr>
              <w:spacing w:after="0"/>
            </w:pPr>
            <w:r>
              <w:rPr>
                <w:sz w:val="16"/>
              </w:rPr>
              <w:t>COF en $; incluye paro NO planificado</w:t>
            </w:r>
          </w:p>
        </w:tc>
        <w:tc>
          <w:tcPr>
            <w:tcW w:type="dxa" w:w="1474"/>
          </w:tcPr>
          <w:p>
            <w:pPr>
              <w:spacing w:after="0"/>
            </w:pPr>
            <w:r>
              <w:rPr>
                <w:sz w:val="16"/>
              </w:rPr>
              <w:t>Alta</w:t>
            </w:r>
          </w:p>
        </w:tc>
      </w:tr>
      <w:tr>
        <w:tc>
          <w:tcPr>
            <w:tcW w:type="dxa" w:w="3175"/>
          </w:tcPr>
          <w:p>
            <w:pPr>
              <w:spacing w:after="0"/>
            </w:pPr>
            <w:r>
              <w:rPr>
                <w:sz w:val="16"/>
              </w:rPr>
              <w:t>Tablas 4–10 (p.9–12)</w:t>
            </w:r>
          </w:p>
        </w:tc>
        <w:tc>
          <w:tcPr>
            <w:tcW w:type="dxa" w:w="5839"/>
          </w:tcPr>
          <w:p>
            <w:pPr>
              <w:spacing w:after="0"/>
            </w:pPr>
            <w:r>
              <w:rPr>
                <w:sz w:val="16"/>
              </w:rPr>
              <w:t>Costos, horas de paro, plan y totales TBI vs RBI</w:t>
            </w:r>
          </w:p>
        </w:tc>
        <w:tc>
          <w:tcPr>
            <w:tcW w:type="dxa" w:w="1474"/>
          </w:tcPr>
          <w:p>
            <w:pPr>
              <w:spacing w:after="0"/>
            </w:pPr>
            <w:r>
              <w:rPr>
                <w:sz w:val="16"/>
              </w:rPr>
              <w:t>Alta</w:t>
            </w:r>
          </w:p>
        </w:tc>
      </w:tr>
      <w:tr>
        <w:tc>
          <w:tcPr>
            <w:tcW w:type="dxa" w:w="3175"/>
          </w:tcPr>
          <w:p>
            <w:pPr>
              <w:spacing w:after="0"/>
            </w:pPr>
            <w:r>
              <w:rPr>
                <w:sz w:val="16"/>
              </w:rPr>
              <w:t>Fig. 5–6 (p.10–11) · Fig. 7–8 (p.13)</w:t>
            </w:r>
          </w:p>
        </w:tc>
        <w:tc>
          <w:tcPr>
            <w:tcW w:type="dxa" w:w="5839"/>
          </w:tcPr>
          <w:p>
            <w:pPr>
              <w:spacing w:after="0"/>
            </w:pPr>
            <w:r>
              <w:rPr>
                <w:sz w:val="16"/>
              </w:rPr>
              <w:t>Matriz 1C/target medio/PoF máx. 3 · costo acumulado</w:t>
            </w:r>
          </w:p>
        </w:tc>
        <w:tc>
          <w:tcPr>
            <w:tcW w:type="dxa" w:w="1474"/>
          </w:tcPr>
          <w:p>
            <w:pPr>
              <w:spacing w:after="0"/>
            </w:pPr>
            <w:r>
              <w:rPr>
                <w:sz w:val="16"/>
              </w:rPr>
              <w:t>Media · Alta</w:t>
            </w:r>
          </w:p>
        </w:tc>
      </w:tr>
      <w:tr>
        <w:tc>
          <w:tcPr>
            <w:tcW w:type="dxa" w:w="3175"/>
          </w:tcPr>
          <w:p>
            <w:pPr>
              <w:spacing w:after="0"/>
            </w:pPr>
            <w:r>
              <w:rPr>
                <w:sz w:val="16"/>
              </w:rPr>
              <w:t>Eqs. 2–6, 8–12; Tablas 2–3</w:t>
            </w:r>
          </w:p>
        </w:tc>
        <w:tc>
          <w:tcPr>
            <w:tcW w:type="dxa" w:w="5839"/>
          </w:tcPr>
          <w:p>
            <w:pPr>
              <w:spacing w:after="0"/>
            </w:pPr>
            <w:r>
              <w:rPr>
                <w:sz w:val="16"/>
              </w:rPr>
              <w:t>Insumos técnicos y de área</w:t>
            </w:r>
          </w:p>
        </w:tc>
        <w:tc>
          <w:tcPr>
            <w:tcW w:type="dxa" w:w="1474"/>
          </w:tcPr>
          <w:p>
            <w:pPr>
              <w:spacing w:after="0"/>
            </w:pPr>
            <w:r>
              <w:rPr>
                <w:sz w:val="16"/>
              </w:rPr>
              <w:t>Baja</w:t>
            </w:r>
          </w:p>
        </w:tc>
      </w:tr>
    </w:tbl>
    <w:p>
      <w:pPr>
        <w:spacing w:after="0"/>
      </w:pPr>
    </w:p>
    <w:p>
      <w:r>
        <w:br w:type="page"/>
      </w:r>
    </w:p>
    <w:p>
      <w:pPr>
        <w:keepNext/>
        <w:spacing w:before="80" w:after="30"/>
      </w:pPr>
      <w:r>
        <w:rPr>
          <w:b/>
          <w:color w:val="1F3864"/>
          <w:sz w:val="23"/>
        </w:rPr>
        <w:t>3. Metodología paso a paso (lista para planta)</w:t>
      </w:r>
    </w:p>
    <w:p>
      <w:pPr>
        <w:pStyle w:val="ListBullet"/>
        <w:spacing w:after="10"/>
      </w:pPr>
      <w:r>
        <w:t>1. Configurar (API 580/581 P1, PCC-3): circuitos, mecanismos (API 571), matriz RAM y risk target corporativos.</w:t>
      </w:r>
    </w:p>
    <w:p>
      <w:pPr>
        <w:pStyle w:val="ListBullet"/>
        <w:spacing w:after="10"/>
      </w:pPr>
      <w:r>
        <w:t>2. Línea base (API 581 P2/P3): gff, FMS, Df por mecanismo; COF=ΣFC; EMV₀=POF₀·COF₀.</w:t>
      </w:r>
    </w:p>
    <w:p>
      <w:pPr>
        <w:pStyle w:val="ListBullet"/>
        <w:spacing w:after="10"/>
      </w:pPr>
      <w:r>
        <w:t>3. Posicionar en la matriz (Df × FC); si el nivel supera el target en el horizonte, programar intervención.</w:t>
      </w:r>
    </w:p>
    <w:p>
      <w:pPr>
        <w:pStyle w:val="ListBullet"/>
        <w:spacing w:after="10"/>
      </w:pPr>
      <w:r>
        <w:t>4. Inspeccionar antes de cruzar el target (regla de Oropallo); elegir técnica y efectividad A–E.</w:t>
      </w:r>
    </w:p>
    <w:p>
      <w:pPr>
        <w:pStyle w:val="ListBullet"/>
        <w:spacing w:after="10"/>
      </w:pPr>
      <w:r>
        <w:t>5. Actualizar Df con la efectividad (Bayes, Eq. 7) → POF₁ y nueva posición; reevaluar tras cada inspección.</w:t>
      </w:r>
    </w:p>
    <w:p>
      <w:pPr>
        <w:pStyle w:val="ListBullet"/>
        <w:spacing w:after="10"/>
      </w:pPr>
      <w:r>
        <w:t>6. Si persiste el exceso o hay daño: FFS Nivel 1→2→3 (API 579-1). Apto: recalcular Df con el nuevo estado y vida remanente. No apto: costo de reparación o reemplazo (PCC-2) y nuevo Df.</w:t>
      </w:r>
    </w:p>
    <w:p>
      <w:pPr>
        <w:pStyle w:val="ListBullet"/>
        <w:spacing w:after="10"/>
      </w:pPr>
      <w:r>
        <w:t>7. Flujos ciertos: inspección, FFS, reparación (+diferimiento), OPEX, paro planificado. El paro no planificado solo dentro de EMV.</w:t>
      </w:r>
    </w:p>
    <w:p>
      <w:pPr>
        <w:pStyle w:val="ListBullet"/>
        <w:spacing w:after="10"/>
      </w:pPr>
      <w:r>
        <w:t>8. Indicadores y sensibilidad (ISO 15663); 9. Validar contra Oropallo y etiquetar dato/supuesto/pendiente (ISO/TS 55010).</w:t>
      </w:r>
    </w:p>
    <w:p>
      <w:r>
        <w:rPr>
          <w:b/>
          <w:i w:val="0"/>
        </w:rPr>
        <w:t>Fórmulas (modelo propio sobre Eq. 1 y 13): FC=FC_cmd+FC_affa+FC_prod+FC_inj+FC_env · FC_cmd=CA_cmd·4.000 · LSE=FC_inj=CA_inj·ρ·C_inj · FC_inj general=CA_inj·ρ·(P_les·C_les+P_fatal·VSL) · DPN=FC−recuperaciones · EMV_j=gff·Df_j·FMS·FC · ΔEMV=EMV₀−EMV₁ · Beneficio_t=ΔEMV+ahorro inspección+ahorro pérdida de producción planificada · VAN_n=Σ_{t≤n}Beneficio_t/(1+r)^t · SIR=VP ben./VP costos · ROI=(VP ben−VP costos)/VP costos · CEA=VAN·r/(1−(1+r)^−n) (y promedio nominal de Δproducción+Δinspección+ΔEMV) · FMS=10^(−0,02·pscore+1) (recordada).</w:t>
      </w:r>
    </w:p>
    <w:p>
      <w:pPr>
        <w:keepNext/>
        <w:spacing w:before="80" w:after="30"/>
      </w:pPr>
      <w:r>
        <w:rPr>
          <w:b/>
          <w:color w:val="1F3864"/>
          <w:sz w:val="19"/>
        </w:rPr>
        <w:t>4. Qué parte de cada norma aplica a cada paso</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1361"/>
            <w:shd w:val="clear" w:color="auto" w:fill="1F3864"/>
          </w:tcPr>
          <w:p>
            <w:pPr>
              <w:spacing w:after="0"/>
            </w:pPr>
            <w:r>
              <w:rPr>
                <w:b/>
                <w:color w:val="FFFFFF"/>
                <w:sz w:val="16"/>
              </w:rPr>
              <w:t>Paso</w:t>
            </w:r>
          </w:p>
        </w:tc>
        <w:tc>
          <w:tcPr>
            <w:tcW w:type="dxa" w:w="3005"/>
            <w:shd w:val="clear" w:color="auto" w:fill="1F3864"/>
          </w:tcPr>
          <w:p>
            <w:pPr>
              <w:spacing w:after="0"/>
            </w:pPr>
            <w:r>
              <w:rPr>
                <w:b/>
                <w:color w:val="FFFFFF"/>
                <w:sz w:val="16"/>
              </w:rPr>
              <w:t>API 581 / 580</w:t>
            </w:r>
          </w:p>
        </w:tc>
        <w:tc>
          <w:tcPr>
            <w:tcW w:type="dxa" w:w="2608"/>
            <w:shd w:val="clear" w:color="auto" w:fill="1F3864"/>
          </w:tcPr>
          <w:p>
            <w:pPr>
              <w:spacing w:after="0"/>
            </w:pPr>
            <w:r>
              <w:rPr>
                <w:b/>
                <w:color w:val="FFFFFF"/>
                <w:sz w:val="16"/>
              </w:rPr>
              <w:t>PCC-3-2022 (leído)</w:t>
            </w:r>
          </w:p>
        </w:tc>
        <w:tc>
          <w:tcPr>
            <w:tcW w:type="dxa" w:w="1701"/>
            <w:shd w:val="clear" w:color="auto" w:fill="1F3864"/>
          </w:tcPr>
          <w:p>
            <w:pPr>
              <w:spacing w:after="0"/>
            </w:pPr>
            <w:r>
              <w:rPr>
                <w:b/>
                <w:color w:val="FFFFFF"/>
                <w:sz w:val="16"/>
              </w:rPr>
              <w:t>API 579-1 / otras</w:t>
            </w:r>
          </w:p>
        </w:tc>
        <w:tc>
          <w:tcPr>
            <w:tcW w:type="dxa" w:w="2041"/>
            <w:shd w:val="clear" w:color="auto" w:fill="1F3864"/>
          </w:tcPr>
          <w:p>
            <w:pPr>
              <w:spacing w:after="0"/>
            </w:pPr>
            <w:r>
              <w:rPr>
                <w:b/>
                <w:color w:val="FFFFFF"/>
                <w:sz w:val="16"/>
              </w:rPr>
              <w:t>Estado</w:t>
            </w:r>
          </w:p>
        </w:tc>
      </w:tr>
      <w:tr>
        <w:tc>
          <w:tcPr>
            <w:tcW w:type="dxa" w:w="1361"/>
          </w:tcPr>
          <w:p>
            <w:pPr>
              <w:spacing w:after="0"/>
            </w:pPr>
            <w:r>
              <w:rPr>
                <w:sz w:val="16"/>
              </w:rPr>
              <w:t>Objetivo y plan</w:t>
            </w:r>
          </w:p>
        </w:tc>
        <w:tc>
          <w:tcPr>
            <w:tcW w:type="dxa" w:w="3005"/>
          </w:tcPr>
          <w:p>
            <w:pPr>
              <w:spacing w:after="0"/>
            </w:pPr>
            <w:r>
              <w:rPr>
                <w:sz w:val="16"/>
              </w:rPr>
              <w:t>Parte 1 (risk target; Oropallo p.7)</w:t>
            </w:r>
          </w:p>
        </w:tc>
        <w:tc>
          <w:tcPr>
            <w:tcW w:type="dxa" w:w="2608"/>
          </w:tcPr>
          <w:p>
            <w:pPr>
              <w:spacing w:after="0"/>
            </w:pPr>
            <w:r>
              <w:rPr>
                <w:sz w:val="16"/>
              </w:rPr>
              <w:t>§3 continuum; §4 planificación</w:t>
            </w:r>
          </w:p>
        </w:tc>
        <w:tc>
          <w:tcPr>
            <w:tcW w:type="dxa" w:w="1701"/>
          </w:tcPr>
          <w:p>
            <w:pPr>
              <w:spacing w:after="0"/>
            </w:pPr>
            <w:r>
              <w:rPr>
                <w:sz w:val="16"/>
              </w:rPr>
              <w:t>API 571, ISO 14224</w:t>
            </w:r>
          </w:p>
        </w:tc>
        <w:tc>
          <w:tcPr>
            <w:tcW w:type="dxa" w:w="2041"/>
          </w:tcPr>
          <w:p>
            <w:pPr>
              <w:spacing w:after="0"/>
            </w:pPr>
            <w:r>
              <w:rPr>
                <w:sz w:val="16"/>
              </w:rPr>
              <w:t>Paper y PCC-3 verificados</w:t>
            </w:r>
          </w:p>
        </w:tc>
      </w:tr>
      <w:tr>
        <w:tc>
          <w:tcPr>
            <w:tcW w:type="dxa" w:w="1361"/>
          </w:tcPr>
          <w:p>
            <w:pPr>
              <w:spacing w:after="0"/>
            </w:pPr>
            <w:r>
              <w:rPr>
                <w:sz w:val="16"/>
              </w:rPr>
              <w:t>POF</w:t>
            </w:r>
          </w:p>
        </w:tc>
        <w:tc>
          <w:tcPr>
            <w:tcW w:type="dxa" w:w="3005"/>
          </w:tcPr>
          <w:p>
            <w:pPr>
              <w:spacing w:after="0"/>
            </w:pPr>
            <w:r>
              <w:rPr>
                <w:sz w:val="16"/>
              </w:rPr>
              <w:t>Parte 1 Eq. 1.1: POF=Df·gff·FMS; Tabla 3.1 (gff); Anexo 2.A (FMS)</w:t>
            </w:r>
          </w:p>
        </w:tc>
        <w:tc>
          <w:tcPr>
            <w:tcW w:type="dxa" w:w="2608"/>
          </w:tcPr>
          <w:p>
            <w:pPr>
              <w:spacing w:after="0"/>
            </w:pPr>
            <w:r>
              <w:rPr>
                <w:sz w:val="16"/>
              </w:rPr>
              <w:t>§7 (categorías de 3 y 6 niveles); sin ecuaciones</w:t>
            </w:r>
          </w:p>
        </w:tc>
        <w:tc>
          <w:tcPr>
            <w:tcW w:type="dxa" w:w="1701"/>
          </w:tcPr>
          <w:p>
            <w:pPr>
              <w:spacing w:after="0"/>
            </w:pPr>
            <w:r>
              <w:rPr>
                <w:sz w:val="16"/>
              </w:rPr>
              <w:t>ISO 14224 (gff)</w:t>
            </w:r>
          </w:p>
        </w:tc>
        <w:tc>
          <w:tcPr>
            <w:tcW w:type="dxa" w:w="2041"/>
          </w:tcPr>
          <w:p>
            <w:pPr>
              <w:spacing w:after="0"/>
            </w:pPr>
            <w:r>
              <w:rPr>
                <w:sz w:val="16"/>
              </w:rPr>
              <w:t>Eq. 1.1 y Tabla 3.1 verificadas en plantilla STAP</w:t>
            </w:r>
          </w:p>
        </w:tc>
      </w:tr>
      <w:tr>
        <w:tc>
          <w:tcPr>
            <w:tcW w:type="dxa" w:w="1361"/>
          </w:tcPr>
          <w:p>
            <w:pPr>
              <w:spacing w:after="0"/>
            </w:pPr>
            <w:r>
              <w:rPr>
                <w:sz w:val="16"/>
              </w:rPr>
              <w:t>Df</w:t>
            </w:r>
          </w:p>
        </w:tc>
        <w:tc>
          <w:tcPr>
            <w:tcW w:type="dxa" w:w="3005"/>
          </w:tcPr>
          <w:p>
            <w:pPr>
              <w:spacing w:after="0"/>
            </w:pPr>
            <w:r>
              <w:rPr>
                <w:sz w:val="16"/>
              </w:rPr>
              <w:t>Parte 2 §4 adelgazamiento, Eqs. 2.12–2.20, Tablas 4.5/4.6; ext./CUI Tabla 15.2 y 16.x</w:t>
            </w:r>
          </w:p>
        </w:tc>
        <w:tc>
          <w:tcPr>
            <w:tcW w:type="dxa" w:w="2608"/>
          </w:tcPr>
          <w:p>
            <w:pPr>
              <w:spacing w:after="0"/>
            </w:pPr>
            <w:r>
              <w:rPr>
                <w:sz w:val="16"/>
              </w:rPr>
              <w:t>§6 mecanismos; Apéndice A–B</w:t>
            </w:r>
          </w:p>
        </w:tc>
        <w:tc>
          <w:tcPr>
            <w:tcW w:type="dxa" w:w="1701"/>
          </w:tcPr>
          <w:p>
            <w:pPr>
              <w:spacing w:after="0"/>
            </w:pPr>
            <w:r>
              <w:rPr>
                <w:sz w:val="16"/>
              </w:rPr>
              <w:t>API 571</w:t>
            </w:r>
          </w:p>
        </w:tc>
        <w:tc>
          <w:tcPr>
            <w:tcW w:type="dxa" w:w="2041"/>
          </w:tcPr>
          <w:p>
            <w:pPr>
              <w:spacing w:after="0"/>
            </w:pPr>
            <w:r>
              <w:rPr>
                <w:sz w:val="16"/>
              </w:rPr>
              <w:t>Verificado en plantilla; texto de la norma PENDIENTE</w:t>
            </w:r>
          </w:p>
        </w:tc>
      </w:tr>
      <w:tr>
        <w:tc>
          <w:tcPr>
            <w:tcW w:type="dxa" w:w="1361"/>
          </w:tcPr>
          <w:p>
            <w:pPr>
              <w:spacing w:after="0"/>
            </w:pPr>
            <w:r>
              <w:rPr>
                <w:sz w:val="16"/>
              </w:rPr>
              <w:t>NDE</w:t>
            </w:r>
          </w:p>
        </w:tc>
        <w:tc>
          <w:tcPr>
            <w:tcW w:type="dxa" w:w="3005"/>
          </w:tcPr>
          <w:p>
            <w:pPr>
              <w:spacing w:after="0"/>
            </w:pPr>
            <w:r>
              <w:rPr>
                <w:sz w:val="16"/>
              </w:rPr>
              <w:t>Eqs. 2.16–2.19 (Bayes, efectividad A–E)</w:t>
            </w:r>
          </w:p>
        </w:tc>
        <w:tc>
          <w:tcPr>
            <w:tcW w:type="dxa" w:w="2608"/>
          </w:tcPr>
          <w:p>
            <w:pPr>
              <w:spacing w:after="0"/>
            </w:pPr>
            <w:r>
              <w:rPr>
                <w:sz w:val="16"/>
              </w:rPr>
              <w:t>§10.1: reduce incertidumbre, no el daño</w:t>
            </w:r>
          </w:p>
        </w:tc>
        <w:tc>
          <w:tcPr>
            <w:tcW w:type="dxa" w:w="1701"/>
          </w:tcPr>
          <w:p>
            <w:pPr>
              <w:spacing w:after="0"/>
            </w:pPr>
            <w:r>
              <w:rPr>
                <w:sz w:val="16"/>
              </w:rPr>
              <w:t>—</w:t>
            </w:r>
          </w:p>
        </w:tc>
        <w:tc>
          <w:tcPr>
            <w:tcW w:type="dxa" w:w="2041"/>
          </w:tcPr>
          <w:p>
            <w:pPr>
              <w:spacing w:after="0"/>
            </w:pPr>
            <w:r>
              <w:rPr>
                <w:sz w:val="16"/>
              </w:rPr>
              <w:t>Verificado en plantilla</w:t>
            </w:r>
          </w:p>
        </w:tc>
      </w:tr>
      <w:tr>
        <w:tc>
          <w:tcPr>
            <w:tcW w:type="dxa" w:w="1361"/>
          </w:tcPr>
          <w:p>
            <w:pPr>
              <w:spacing w:after="0"/>
            </w:pPr>
            <w:r>
              <w:rPr>
                <w:sz w:val="16"/>
              </w:rPr>
              <w:t>COF y matriz</w:t>
            </w:r>
          </w:p>
        </w:tc>
        <w:tc>
          <w:tcPr>
            <w:tcW w:type="dxa" w:w="3005"/>
          </w:tcPr>
          <w:p>
            <w:pPr>
              <w:spacing w:after="0"/>
            </w:pPr>
            <w:r>
              <w:rPr>
                <w:sz w:val="16"/>
              </w:rPr>
              <w:t>Parte 3; Eqs. 9–13 del paper; Parte 1 Figs. 4.2–4.3</w:t>
            </w:r>
          </w:p>
        </w:tc>
        <w:tc>
          <w:tcPr>
            <w:tcW w:type="dxa" w:w="2608"/>
          </w:tcPr>
          <w:p>
            <w:pPr>
              <w:spacing w:after="0"/>
            </w:pPr>
            <w:r>
              <w:rPr>
                <w:sz w:val="16"/>
              </w:rPr>
              <w:t>§8 (§8.3.7.1.1 costo de oportunidad); §9.5.1 matriz de ejemplo</w:t>
            </w:r>
          </w:p>
        </w:tc>
        <w:tc>
          <w:tcPr>
            <w:tcW w:type="dxa" w:w="1701"/>
          </w:tcPr>
          <w:p>
            <w:pPr>
              <w:spacing w:after="0"/>
            </w:pPr>
            <w:r>
              <w:rPr>
                <w:sz w:val="16"/>
              </w:rPr>
              <w:t>Matriz Ecopetrol (VRS)</w:t>
            </w:r>
          </w:p>
        </w:tc>
        <w:tc>
          <w:tcPr>
            <w:tcW w:type="dxa" w:w="2041"/>
          </w:tcPr>
          <w:p>
            <w:pPr>
              <w:spacing w:after="0"/>
            </w:pPr>
            <w:r>
              <w:rPr>
                <w:sz w:val="16"/>
              </w:rPr>
              <w:t>Verificado</w:t>
            </w:r>
          </w:p>
        </w:tc>
      </w:tr>
      <w:tr>
        <w:tc>
          <w:tcPr>
            <w:tcW w:type="dxa" w:w="1361"/>
          </w:tcPr>
          <w:p>
            <w:pPr>
              <w:spacing w:after="0"/>
            </w:pPr>
            <w:r>
              <w:rPr>
                <w:sz w:val="16"/>
              </w:rPr>
              <w:t>Decisión económica</w:t>
            </w:r>
          </w:p>
        </w:tc>
        <w:tc>
          <w:tcPr>
            <w:tcW w:type="dxa" w:w="3005"/>
          </w:tcPr>
          <w:p>
            <w:pPr>
              <w:spacing w:after="0"/>
            </w:pPr>
            <w:r>
              <w:rPr>
                <w:sz w:val="16"/>
              </w:rPr>
              <w:t>Parte 1 §8.7: EIR Eq. 1.78; reglas 1.79–1.80 (haces)</w:t>
            </w:r>
          </w:p>
        </w:tc>
        <w:tc>
          <w:tcPr>
            <w:tcW w:type="dxa" w:w="2608"/>
          </w:tcPr>
          <w:p>
            <w:pPr>
              <w:spacing w:after="0"/>
            </w:pPr>
            <w:r>
              <w:rPr>
                <w:sz w:val="16"/>
              </w:rPr>
              <w:t>§9.5.3 gráfico NPVS</w:t>
            </w:r>
          </w:p>
        </w:tc>
        <w:tc>
          <w:tcPr>
            <w:tcW w:type="dxa" w:w="1701"/>
          </w:tcPr>
          <w:p>
            <w:pPr>
              <w:spacing w:after="0"/>
            </w:pPr>
            <w:r>
              <w:rPr>
                <w:sz w:val="16"/>
              </w:rPr>
              <w:t>ISO 15663</w:t>
            </w:r>
          </w:p>
        </w:tc>
        <w:tc>
          <w:tcPr>
            <w:tcW w:type="dxa" w:w="2041"/>
          </w:tcPr>
          <w:p>
            <w:pPr>
              <w:spacing w:after="0"/>
            </w:pPr>
            <w:r>
              <w:rPr>
                <w:sz w:val="16"/>
              </w:rPr>
              <w:t>Verificado (haces)</w:t>
            </w:r>
          </w:p>
        </w:tc>
      </w:tr>
      <w:tr>
        <w:tc>
          <w:tcPr>
            <w:tcW w:type="dxa" w:w="1361"/>
          </w:tcPr>
          <w:p>
            <w:pPr>
              <w:spacing w:after="0"/>
            </w:pPr>
            <w:r>
              <w:rPr>
                <w:sz w:val="16"/>
              </w:rPr>
              <w:t>Exceso de riesgo</w:t>
            </w:r>
          </w:p>
        </w:tc>
        <w:tc>
          <w:tcPr>
            <w:tcW w:type="dxa" w:w="3005"/>
          </w:tcPr>
          <w:p>
            <w:pPr>
              <w:spacing w:after="0"/>
            </w:pPr>
            <w:r>
              <w:rPr>
                <w:sz w:val="16"/>
              </w:rPr>
              <w:t>—</w:t>
            </w:r>
          </w:p>
        </w:tc>
        <w:tc>
          <w:tcPr>
            <w:tcW w:type="dxa" w:w="2608"/>
          </w:tcPr>
          <w:p>
            <w:pPr>
              <w:spacing w:after="0"/>
            </w:pPr>
            <w:r>
              <w:rPr>
                <w:sz w:val="16"/>
              </w:rPr>
              <w:t>Reparación: PCC-2</w:t>
            </w:r>
          </w:p>
        </w:tc>
        <w:tc>
          <w:tcPr>
            <w:tcW w:type="dxa" w:w="1701"/>
          </w:tcPr>
          <w:p>
            <w:pPr>
              <w:spacing w:after="0"/>
            </w:pPr>
            <w:r>
              <w:rPr>
                <w:sz w:val="16"/>
              </w:rPr>
              <w:t>FFS Niveles 1–3</w:t>
            </w:r>
          </w:p>
        </w:tc>
        <w:tc>
          <w:tcPr>
            <w:tcW w:type="dxa" w:w="2041"/>
          </w:tcPr>
          <w:p>
            <w:pPr>
              <w:spacing w:after="0"/>
            </w:pPr>
            <w:r>
              <w:rPr>
                <w:sz w:val="16"/>
              </w:rPr>
              <w:t>PENDIENTE</w:t>
            </w:r>
          </w:p>
        </w:tc>
      </w:tr>
    </w:tbl>
    <w:p>
      <w:pPr>
        <w:spacing w:after="0"/>
      </w:pPr>
    </w:p>
    <w:p>
      <w:r>
        <w:rPr>
          <w:b w:val="0"/>
          <w:i/>
        </w:rPr>
        <w:t>Riesgo cualitativo (matriz RAM) vs cuantitativo (API 581): la matriz ordena en categorías para comunicar y fijar el target; API 581 da POF y COF en 1/año y $, que permiten EMV y VAN. El valor cuantitativo fija la celda y la celda dispara inspección y FFS. Dos equipos en una misma celda pueden tener EMV muy distintos.</w:t>
      </w:r>
    </w:p>
    <w:p>
      <w:r>
        <w:br w:type="page"/>
      </w:r>
    </w:p>
    <w:p>
      <w:pPr>
        <w:keepNext/>
        <w:spacing w:before="80" w:after="30"/>
      </w:pPr>
      <w:r>
        <w:rPr>
          <w:b/>
          <w:color w:val="1F3864"/>
          <w:sz w:val="23"/>
        </w:rPr>
        <w:t>5. Motor Df de API 581 (Parte 2) y efecto de la NDE</w:t>
      </w:r>
    </w:p>
    <w:p>
      <w:r>
        <w:rPr>
          <w:b w:val="0"/>
          <w:i w:val="0"/>
        </w:rPr>
        <w:t>Eqs. (plantilla STAP, 3.ª ed.): Art=Cr·age/t_rd (2.12) · FS=(YS+TS)/2·E·1,1 (2.13) · SR_P=S·E·t_min/(FS·t_rd) (2.14) · I_k=Pr_k·ΠCo_k^n (2.16) · Po_k=I_k/ΣI (2.17) · β_k=(1−Ds_k·Art−SR_P)/√(Ds_k²Art²COV_Δt²+(1−Ds_k·Art)²COV_Sf²+SR_P²COV_P²), Ds=1,2,4, COV=0,2/0,2/0,05 (2.18) · Df_B=ΣPo_k·Φ(−β_k)/1,56·10⁻⁴ (2.19) · Df=max[Df_B·F_IP·F_DL/F_OM; 0,1] (2.20). Priors Tabla 4.5 (media 0,7/0,2/0,1); Co Tabla 4.6 (A 0,9/0,09/0,01 · B 0,7/0,2/0,1 · C 0,5/0,3/0,2 · D 0,4/0,33/0,27). α no aparece: es de Oropallo Eq. 6.</w:t>
      </w:r>
    </w:p>
    <w:tbl>
      <w:tblPr>
        <w:tblStyle w:val="TableGrid"/>
        <w:tblW w:type="auto" w:w="0"/>
        <w:tblLook w:firstColumn="1" w:firstRow="1" w:lastColumn="0" w:lastRow="0" w:noHBand="0" w:noVBand="1" w:val="04A0"/>
      </w:tblPr>
      <w:tblGrid>
        <w:gridCol w:w="1757"/>
        <w:gridCol w:w="1757"/>
        <w:gridCol w:w="1757"/>
        <w:gridCol w:w="1757"/>
        <w:gridCol w:w="1757"/>
        <w:gridCol w:w="1757"/>
      </w:tblGrid>
      <w:tr>
        <w:tc>
          <w:tcPr>
            <w:tcW w:type="dxa" w:w="4762"/>
            <w:shd w:val="clear" w:color="auto" w:fill="1F3864"/>
          </w:tcPr>
          <w:p>
            <w:pPr>
              <w:spacing w:after="0"/>
            </w:pPr>
            <w:r>
              <w:rPr>
                <w:b/>
                <w:color w:val="FFFFFF"/>
                <w:sz w:val="16"/>
              </w:rPr>
              <w:t>Datos del paper + t_min=4 mm (supuesto)</w:t>
            </w:r>
          </w:p>
        </w:tc>
        <w:tc>
          <w:tcPr>
            <w:tcW w:type="dxa" w:w="1247"/>
            <w:shd w:val="clear" w:color="auto" w:fill="1F3864"/>
          </w:tcPr>
          <w:p>
            <w:pPr>
              <w:spacing w:after="0"/>
            </w:pPr>
            <w:r>
              <w:rPr>
                <w:b/>
                <w:color w:val="FFFFFF"/>
                <w:sz w:val="16"/>
              </w:rPr>
              <w:t>Sin insp.</w:t>
            </w:r>
          </w:p>
        </w:tc>
        <w:tc>
          <w:tcPr>
            <w:tcW w:type="dxa" w:w="850"/>
            <w:shd w:val="clear" w:color="auto" w:fill="1F3864"/>
          </w:tcPr>
          <w:p>
            <w:pPr>
              <w:spacing w:after="0"/>
            </w:pPr>
            <w:r>
              <w:rPr>
                <w:b/>
                <w:color w:val="FFFFFF"/>
                <w:sz w:val="16"/>
              </w:rPr>
              <w:t>D</w:t>
            </w:r>
          </w:p>
        </w:tc>
        <w:tc>
          <w:tcPr>
            <w:tcW w:type="dxa" w:w="850"/>
            <w:shd w:val="clear" w:color="auto" w:fill="1F3864"/>
          </w:tcPr>
          <w:p>
            <w:pPr>
              <w:spacing w:after="0"/>
            </w:pPr>
            <w:r>
              <w:rPr>
                <w:b/>
                <w:color w:val="FFFFFF"/>
                <w:sz w:val="16"/>
              </w:rPr>
              <w:t>C</w:t>
            </w:r>
          </w:p>
        </w:tc>
        <w:tc>
          <w:tcPr>
            <w:tcW w:type="dxa" w:w="850"/>
            <w:shd w:val="clear" w:color="auto" w:fill="1F3864"/>
          </w:tcPr>
          <w:p>
            <w:pPr>
              <w:spacing w:after="0"/>
            </w:pPr>
            <w:r>
              <w:rPr>
                <w:b/>
                <w:color w:val="FFFFFF"/>
                <w:sz w:val="16"/>
              </w:rPr>
              <w:t>B</w:t>
            </w:r>
          </w:p>
        </w:tc>
        <w:tc>
          <w:tcPr>
            <w:tcW w:type="dxa" w:w="850"/>
            <w:shd w:val="clear" w:color="auto" w:fill="1F3864"/>
          </w:tcPr>
          <w:p>
            <w:pPr>
              <w:spacing w:after="0"/>
            </w:pPr>
            <w:r>
              <w:rPr>
                <w:b/>
                <w:color w:val="FFFFFF"/>
                <w:sz w:val="16"/>
              </w:rPr>
              <w:t>A</w:t>
            </w:r>
          </w:p>
        </w:tc>
      </w:tr>
      <w:tr>
        <w:tc>
          <w:tcPr>
            <w:tcW w:type="dxa" w:w="4762"/>
          </w:tcPr>
          <w:p>
            <w:pPr>
              <w:spacing w:after="0"/>
            </w:pPr>
            <w:r>
              <w:rPr>
                <w:sz w:val="16"/>
              </w:rPr>
              <w:t>Df CUI en 2027 (Cr 0,127 mm/a, t_rd 8,3 mm de 2018)</w:t>
            </w:r>
          </w:p>
        </w:tc>
        <w:tc>
          <w:tcPr>
            <w:tcW w:type="dxa" w:w="1247"/>
          </w:tcPr>
          <w:p>
            <w:pPr>
              <w:spacing w:after="0"/>
            </w:pPr>
            <w:r>
              <w:rPr>
                <w:sz w:val="16"/>
              </w:rPr>
              <w:t>27,4</w:t>
            </w:r>
          </w:p>
        </w:tc>
        <w:tc>
          <w:tcPr>
            <w:tcW w:type="dxa" w:w="850"/>
          </w:tcPr>
          <w:p>
            <w:pPr>
              <w:spacing w:after="0"/>
            </w:pPr>
            <w:r>
              <w:rPr>
                <w:sz w:val="16"/>
              </w:rPr>
              <w:t>20,0</w:t>
            </w:r>
          </w:p>
        </w:tc>
        <w:tc>
          <w:tcPr>
            <w:tcW w:type="dxa" w:w="850"/>
          </w:tcPr>
          <w:p>
            <w:pPr>
              <w:spacing w:after="0"/>
            </w:pPr>
            <w:r>
              <w:rPr>
                <w:sz w:val="16"/>
              </w:rPr>
              <w:t>13,1</w:t>
            </w:r>
          </w:p>
        </w:tc>
        <w:tc>
          <w:tcPr>
            <w:tcW w:type="dxa" w:w="850"/>
          </w:tcPr>
          <w:p>
            <w:pPr>
              <w:spacing w:after="0"/>
            </w:pPr>
            <w:r>
              <w:rPr>
                <w:sz w:val="16"/>
              </w:rPr>
              <w:t>5,6</w:t>
            </w:r>
          </w:p>
        </w:tc>
        <w:tc>
          <w:tcPr>
            <w:tcW w:type="dxa" w:w="850"/>
          </w:tcPr>
          <w:p>
            <w:pPr>
              <w:spacing w:after="0"/>
            </w:pPr>
            <w:r>
              <w:rPr>
                <w:sz w:val="16"/>
              </w:rPr>
              <w:t>1,0</w:t>
            </w:r>
          </w:p>
        </w:tc>
      </w:tr>
      <w:tr>
        <w:tc>
          <w:tcPr>
            <w:tcW w:type="dxa" w:w="4762"/>
          </w:tcPr>
          <w:p>
            <w:pPr>
              <w:spacing w:after="0"/>
            </w:pPr>
            <w:r>
              <w:rPr>
                <w:sz w:val="16"/>
              </w:rPr>
              <w:t>Df 2023: adelgazamiento / CUI (categoría 1 = 1C)</w:t>
            </w:r>
          </w:p>
        </w:tc>
        <w:tc>
          <w:tcPr>
            <w:tcW w:type="dxa" w:w="1247"/>
          </w:tcPr>
          <w:p>
            <w:pPr>
              <w:spacing w:after="0"/>
            </w:pPr>
            <w:r>
              <w:rPr>
                <w:sz w:val="16"/>
              </w:rPr>
              <w:t>0,28 / 0,73</w:t>
            </w:r>
          </w:p>
        </w:tc>
        <w:tc>
          <w:tcPr>
            <w:tcW w:type="dxa" w:w="850"/>
          </w:tcPr>
          <w:p>
            <w:pPr>
              <w:spacing w:after="0"/>
            </w:pPr>
            <w:r>
              <w:rPr>
                <w:sz w:val="16"/>
              </w:rPr>
            </w:r>
          </w:p>
        </w:tc>
        <w:tc>
          <w:tcPr>
            <w:tcW w:type="dxa" w:w="850"/>
          </w:tcPr>
          <w:p>
            <w:pPr>
              <w:spacing w:after="0"/>
            </w:pPr>
            <w:r>
              <w:rPr>
                <w:sz w:val="16"/>
              </w:rPr>
            </w:r>
          </w:p>
        </w:tc>
        <w:tc>
          <w:tcPr>
            <w:tcW w:type="dxa" w:w="850"/>
          </w:tcPr>
          <w:p>
            <w:pPr>
              <w:spacing w:after="0"/>
            </w:pPr>
            <w:r>
              <w:rPr>
                <w:sz w:val="16"/>
              </w:rPr>
            </w:r>
          </w:p>
        </w:tc>
        <w:tc>
          <w:tcPr>
            <w:tcW w:type="dxa" w:w="850"/>
          </w:tcPr>
          <w:p>
            <w:pPr>
              <w:spacing w:after="0"/>
            </w:pPr>
            <w:r>
              <w:rPr>
                <w:sz w:val="16"/>
              </w:rPr>
            </w:r>
          </w:p>
        </w:tc>
      </w:tr>
    </w:tbl>
    <w:p>
      <w:pPr>
        <w:spacing w:after="0"/>
      </w:pPr>
    </w:p>
    <w:p>
      <w:pPr>
        <w:keepNext/>
        <w:spacing w:before="80" w:after="30"/>
      </w:pPr>
      <w:r>
        <w:rPr>
          <w:b/>
          <w:color w:val="1F3864"/>
          <w:sz w:val="23"/>
        </w:rPr>
        <w:t>6. Ejemplo numérico (caso del paper, TBI vs RBI-2 intrusiva)</w:t>
      </w:r>
    </w:p>
    <w:tbl>
      <w:tblPr>
        <w:tblStyle w:val="TableGrid"/>
        <w:tblW w:type="auto" w:w="0"/>
        <w:tblLook w:firstColumn="1" w:firstRow="1" w:lastColumn="0" w:lastRow="0" w:noHBand="0" w:noVBand="1" w:val="04A0"/>
      </w:tblPr>
      <w:tblGrid>
        <w:gridCol w:w="3513"/>
        <w:gridCol w:w="3513"/>
        <w:gridCol w:w="3513"/>
      </w:tblGrid>
      <w:tr>
        <w:tc>
          <w:tcPr>
            <w:tcW w:type="dxa" w:w="4082"/>
            <w:shd w:val="clear" w:color="auto" w:fill="1F3864"/>
          </w:tcPr>
          <w:p>
            <w:pPr>
              <w:spacing w:after="0"/>
            </w:pPr>
            <w:r>
              <w:rPr>
                <w:b/>
                <w:color w:val="FFFFFF"/>
                <w:sz w:val="16"/>
              </w:rPr>
              <w:t>Dato / ecuación</w:t>
            </w:r>
          </w:p>
        </w:tc>
        <w:tc>
          <w:tcPr>
            <w:tcW w:type="dxa" w:w="2494"/>
            <w:shd w:val="clear" w:color="auto" w:fill="1F3864"/>
          </w:tcPr>
          <w:p>
            <w:pPr>
              <w:spacing w:after="0"/>
            </w:pPr>
            <w:r>
              <w:rPr>
                <w:b/>
                <w:color w:val="FFFFFF"/>
                <w:sz w:val="16"/>
              </w:rPr>
              <w:t>Valor</w:t>
            </w:r>
          </w:p>
        </w:tc>
        <w:tc>
          <w:tcPr>
            <w:tcW w:type="dxa" w:w="3912"/>
            <w:shd w:val="clear" w:color="auto" w:fill="1F3864"/>
          </w:tcPr>
          <w:p>
            <w:pPr>
              <w:spacing w:after="0"/>
            </w:pPr>
            <w:r>
              <w:rPr>
                <w:b/>
                <w:color w:val="FFFFFF"/>
                <w:sz w:val="16"/>
              </w:rPr>
              <w:t>Estado</w:t>
            </w:r>
          </w:p>
        </w:tc>
      </w:tr>
      <w:tr>
        <w:tc>
          <w:tcPr>
            <w:tcW w:type="dxa" w:w="4082"/>
          </w:tcPr>
          <w:p>
            <w:pPr>
              <w:spacing w:after="0"/>
            </w:pPr>
            <w:r>
              <w:rPr>
                <w:sz w:val="16"/>
              </w:rPr>
              <w:t>FC_cmd=50 m²×4.000 $/m²</w:t>
            </w:r>
          </w:p>
        </w:tc>
        <w:tc>
          <w:tcPr>
            <w:tcW w:type="dxa" w:w="2494"/>
          </w:tcPr>
          <w:p>
            <w:pPr>
              <w:spacing w:after="0"/>
            </w:pPr>
            <w:r>
              <w:rPr>
                <w:sz w:val="16"/>
              </w:rPr>
              <w:t>200.000</w:t>
            </w:r>
          </w:p>
        </w:tc>
        <w:tc>
          <w:tcPr>
            <w:tcW w:type="dxa" w:w="3912"/>
          </w:tcPr>
          <w:p>
            <w:pPr>
              <w:spacing w:after="0"/>
            </w:pPr>
            <w:r>
              <w:rPr>
                <w:sz w:val="16"/>
              </w:rPr>
              <w:t>CA supuesta; 4.000 dato paper</w:t>
            </w:r>
          </w:p>
        </w:tc>
      </w:tr>
      <w:tr>
        <w:tc>
          <w:tcPr>
            <w:tcW w:type="dxa" w:w="4082"/>
          </w:tcPr>
          <w:p>
            <w:pPr>
              <w:spacing w:after="0"/>
            </w:pPr>
            <w:r>
              <w:rPr>
                <w:sz w:val="16"/>
              </w:rPr>
              <w:t>LSE=FC_inj=80 m²×0,1×10.000 $</w:t>
            </w:r>
          </w:p>
        </w:tc>
        <w:tc>
          <w:tcPr>
            <w:tcW w:type="dxa" w:w="2494"/>
          </w:tcPr>
          <w:p>
            <w:pPr>
              <w:spacing w:after="0"/>
            </w:pPr>
            <w:r>
              <w:rPr>
                <w:sz w:val="16"/>
              </w:rPr>
              <w:t>80.000</w:t>
            </w:r>
          </w:p>
        </w:tc>
        <w:tc>
          <w:tcPr>
            <w:tcW w:type="dxa" w:w="3912"/>
          </w:tcPr>
          <w:p>
            <w:pPr>
              <w:spacing w:after="0"/>
            </w:pPr>
            <w:r>
              <w:rPr>
                <w:sz w:val="16"/>
              </w:rPr>
              <w:t>CA supuesta; 0,1 y 10.000 dato paper</w:t>
            </w:r>
          </w:p>
        </w:tc>
      </w:tr>
      <w:tr>
        <w:tc>
          <w:tcPr>
            <w:tcW w:type="dxa" w:w="4082"/>
          </w:tcPr>
          <w:p>
            <w:pPr>
              <w:spacing w:after="0"/>
            </w:pPr>
            <w:r>
              <w:rPr>
                <w:sz w:val="16"/>
              </w:rPr>
              <w:t>FC_prod=10 d×40.000 $/d</w:t>
            </w:r>
          </w:p>
        </w:tc>
        <w:tc>
          <w:tcPr>
            <w:tcW w:type="dxa" w:w="2494"/>
          </w:tcPr>
          <w:p>
            <w:pPr>
              <w:spacing w:after="0"/>
            </w:pPr>
            <w:r>
              <w:rPr>
                <w:sz w:val="16"/>
              </w:rPr>
              <w:t>400.000</w:t>
            </w:r>
          </w:p>
        </w:tc>
        <w:tc>
          <w:tcPr>
            <w:tcW w:type="dxa" w:w="3912"/>
          </w:tcPr>
          <w:p>
            <w:pPr>
              <w:spacing w:after="0"/>
            </w:pPr>
            <w:r>
              <w:rPr>
                <w:sz w:val="16"/>
              </w:rPr>
              <w:t>días supuestos; 40.000 dato paper</w:t>
            </w:r>
          </w:p>
        </w:tc>
      </w:tr>
      <w:tr>
        <w:tc>
          <w:tcPr>
            <w:tcW w:type="dxa" w:w="4082"/>
          </w:tcPr>
          <w:p>
            <w:pPr>
              <w:spacing w:after="0"/>
            </w:pPr>
            <w:r>
              <w:rPr>
                <w:sz w:val="16"/>
              </w:rPr>
              <w:t>COF=DPN</w:t>
            </w:r>
          </w:p>
        </w:tc>
        <w:tc>
          <w:tcPr>
            <w:tcW w:type="dxa" w:w="2494"/>
          </w:tcPr>
          <w:p>
            <w:pPr>
              <w:spacing w:after="0"/>
            </w:pPr>
            <w:r>
              <w:rPr>
                <w:sz w:val="16"/>
              </w:rPr>
              <w:t>680.000 → categoría C</w:t>
            </w:r>
          </w:p>
        </w:tc>
        <w:tc>
          <w:tcPr>
            <w:tcW w:type="dxa" w:w="3912"/>
          </w:tcPr>
          <w:p>
            <w:pPr>
              <w:spacing w:after="0"/>
            </w:pPr>
            <w:r>
              <w:rPr>
                <w:sz w:val="16"/>
              </w:rPr>
              <w:t>coherente con 1C del paper</w:t>
            </w:r>
          </w:p>
        </w:tc>
      </w:tr>
      <w:tr>
        <w:tc>
          <w:tcPr>
            <w:tcW w:type="dxa" w:w="4082"/>
          </w:tcPr>
          <w:p>
            <w:pPr>
              <w:spacing w:after="0"/>
            </w:pPr>
            <w:r>
              <w:rPr>
                <w:sz w:val="16"/>
              </w:rPr>
              <w:t>gff · FMS(750 pts)</w:t>
            </w:r>
          </w:p>
        </w:tc>
        <w:tc>
          <w:tcPr>
            <w:tcW w:type="dxa" w:w="2494"/>
          </w:tcPr>
          <w:p>
            <w:pPr>
              <w:spacing w:after="0"/>
            </w:pPr>
            <w:r>
              <w:rPr>
                <w:sz w:val="16"/>
              </w:rPr>
              <w:t>3,06E-5 · 0,316</w:t>
            </w:r>
          </w:p>
        </w:tc>
        <w:tc>
          <w:tcPr>
            <w:tcW w:type="dxa" w:w="3912"/>
          </w:tcPr>
          <w:p>
            <w:pPr>
              <w:spacing w:after="0"/>
            </w:pPr>
            <w:r>
              <w:rPr>
                <w:sz w:val="16"/>
              </w:rPr>
              <w:t>recordados; 750 dato paper</w:t>
            </w:r>
          </w:p>
        </w:tc>
      </w:tr>
      <w:tr>
        <w:tc>
          <w:tcPr>
            <w:tcW w:type="dxa" w:w="4082"/>
          </w:tcPr>
          <w:p>
            <w:pPr>
              <w:spacing w:after="0"/>
            </w:pPr>
            <w:r>
              <w:rPr>
                <w:sz w:val="16"/>
              </w:rPr>
              <w:t>g=(30/1)^(1/10)−1 (Df cruza 30 en 2033)</w:t>
            </w:r>
          </w:p>
        </w:tc>
        <w:tc>
          <w:tcPr>
            <w:tcW w:type="dxa" w:w="2494"/>
          </w:tcPr>
          <w:p>
            <w:pPr>
              <w:spacing w:after="0"/>
            </w:pPr>
            <w:r>
              <w:rPr>
                <w:sz w:val="16"/>
              </w:rPr>
              <w:t>40,5 %/año</w:t>
            </w:r>
          </w:p>
        </w:tc>
        <w:tc>
          <w:tcPr>
            <w:tcW w:type="dxa" w:w="3912"/>
          </w:tcPr>
          <w:p>
            <w:pPr>
              <w:spacing w:after="0"/>
            </w:pPr>
            <w:r>
              <w:rPr>
                <w:sz w:val="16"/>
              </w:rPr>
              <w:t>modelo propio calibrado a la Tabla 6</w:t>
            </w:r>
          </w:p>
        </w:tc>
      </w:tr>
      <w:tr>
        <w:tc>
          <w:tcPr>
            <w:tcW w:type="dxa" w:w="4082"/>
          </w:tcPr>
          <w:p>
            <w:pPr>
              <w:spacing w:after="0"/>
            </w:pPr>
            <w:r>
              <w:rPr>
                <w:sz w:val="16"/>
              </w:rPr>
              <w:t>Df tras inspección B (17 años hasta 30)</w:t>
            </w:r>
          </w:p>
        </w:tc>
        <w:tc>
          <w:tcPr>
            <w:tcW w:type="dxa" w:w="2494"/>
          </w:tcPr>
          <w:p>
            <w:pPr>
              <w:spacing w:after="0"/>
            </w:pPr>
            <w:r>
              <w:rPr>
                <w:sz w:val="16"/>
              </w:rPr>
              <w:t>0,092</w:t>
            </w:r>
          </w:p>
        </w:tc>
        <w:tc>
          <w:tcPr>
            <w:tcW w:type="dxa" w:w="3912"/>
          </w:tcPr>
          <w:p>
            <w:pPr>
              <w:spacing w:after="0"/>
            </w:pPr>
            <w:r>
              <w:rPr>
                <w:sz w:val="16"/>
              </w:rPr>
              <w:t>implícito; ≈ piso 0,1 de la Eq. 8</w:t>
            </w:r>
          </w:p>
        </w:tc>
      </w:tr>
    </w:tbl>
    <w:p>
      <w:pPr>
        <w:spacing w:after="0"/>
      </w:pPr>
    </w:p>
    <w:tbl>
      <w:tblPr>
        <w:tblStyle w:val="TableGrid"/>
        <w:tblW w:type="auto" w:w="0"/>
        <w:tblLook w:firstColumn="1" w:firstRow="1" w:lastColumn="0" w:lastRow="0" w:noHBand="0" w:noVBand="1" w:val="04A0"/>
      </w:tblPr>
      <w:tblGrid>
        <w:gridCol w:w="878"/>
        <w:gridCol w:w="878"/>
        <w:gridCol w:w="878"/>
        <w:gridCol w:w="878"/>
        <w:gridCol w:w="878"/>
        <w:gridCol w:w="878"/>
        <w:gridCol w:w="878"/>
        <w:gridCol w:w="878"/>
        <w:gridCol w:w="878"/>
        <w:gridCol w:w="878"/>
        <w:gridCol w:w="878"/>
        <w:gridCol w:w="878"/>
      </w:tblGrid>
      <w:tr>
        <w:tc>
          <w:tcPr>
            <w:tcW w:type="dxa" w:w="567"/>
            <w:shd w:val="clear" w:color="auto" w:fill="1F3864"/>
          </w:tcPr>
          <w:p>
            <w:pPr>
              <w:spacing w:after="0"/>
            </w:pPr>
            <w:r>
              <w:rPr>
                <w:b/>
                <w:color w:val="FFFFFF"/>
                <w:sz w:val="15"/>
              </w:rPr>
              <w:t>Año</w:t>
            </w:r>
          </w:p>
        </w:tc>
        <w:tc>
          <w:tcPr>
            <w:tcW w:type="dxa" w:w="680"/>
            <w:shd w:val="clear" w:color="auto" w:fill="1F3864"/>
          </w:tcPr>
          <w:p>
            <w:pPr>
              <w:spacing w:after="0"/>
            </w:pPr>
            <w:r>
              <w:rPr>
                <w:b/>
                <w:color w:val="FFFFFF"/>
                <w:sz w:val="15"/>
              </w:rPr>
              <w:t>Df N</w:t>
            </w:r>
          </w:p>
        </w:tc>
        <w:tc>
          <w:tcPr>
            <w:tcW w:type="dxa" w:w="680"/>
            <w:shd w:val="clear" w:color="auto" w:fill="1F3864"/>
          </w:tcPr>
          <w:p>
            <w:pPr>
              <w:spacing w:after="0"/>
            </w:pPr>
            <w:r>
              <w:rPr>
                <w:b/>
                <w:color w:val="FFFFFF"/>
                <w:sz w:val="15"/>
              </w:rPr>
              <w:t>Df TBI</w:t>
            </w:r>
          </w:p>
        </w:tc>
        <w:tc>
          <w:tcPr>
            <w:tcW w:type="dxa" w:w="794"/>
            <w:shd w:val="clear" w:color="auto" w:fill="1F3864"/>
          </w:tcPr>
          <w:p>
            <w:pPr>
              <w:spacing w:after="0"/>
            </w:pPr>
            <w:r>
              <w:rPr>
                <w:b/>
                <w:color w:val="FFFFFF"/>
                <w:sz w:val="15"/>
              </w:rPr>
              <w:t>Df RBI-2</w:t>
            </w:r>
          </w:p>
        </w:tc>
        <w:tc>
          <w:tcPr>
            <w:tcW w:type="dxa" w:w="794"/>
            <w:shd w:val="clear" w:color="auto" w:fill="1F3864"/>
          </w:tcPr>
          <w:p>
            <w:pPr>
              <w:spacing w:after="0"/>
            </w:pPr>
            <w:r>
              <w:rPr>
                <w:b/>
                <w:color w:val="FFFFFF"/>
                <w:sz w:val="15"/>
              </w:rPr>
              <w:t>EMV N</w:t>
            </w:r>
          </w:p>
        </w:tc>
        <w:tc>
          <w:tcPr>
            <w:tcW w:type="dxa" w:w="794"/>
            <w:shd w:val="clear" w:color="auto" w:fill="1F3864"/>
          </w:tcPr>
          <w:p>
            <w:pPr>
              <w:spacing w:after="0"/>
            </w:pPr>
            <w:r>
              <w:rPr>
                <w:b/>
                <w:color w:val="FFFFFF"/>
                <w:sz w:val="15"/>
              </w:rPr>
              <w:t>EMV TBI</w:t>
            </w:r>
          </w:p>
        </w:tc>
        <w:tc>
          <w:tcPr>
            <w:tcW w:type="dxa" w:w="794"/>
            <w:shd w:val="clear" w:color="auto" w:fill="1F3864"/>
          </w:tcPr>
          <w:p>
            <w:pPr>
              <w:spacing w:after="0"/>
            </w:pPr>
            <w:r>
              <w:rPr>
                <w:b/>
                <w:color w:val="FFFFFF"/>
                <w:sz w:val="15"/>
              </w:rPr>
              <w:t>EMV RBI</w:t>
            </w:r>
          </w:p>
        </w:tc>
        <w:tc>
          <w:tcPr>
            <w:tcW w:type="dxa" w:w="794"/>
            <w:shd w:val="clear" w:color="auto" w:fill="1F3864"/>
          </w:tcPr>
          <w:p>
            <w:pPr>
              <w:spacing w:after="0"/>
            </w:pPr>
            <w:r>
              <w:rPr>
                <w:b/>
                <w:color w:val="FFFFFF"/>
                <w:sz w:val="15"/>
              </w:rPr>
              <w:t>ΔEMV</w:t>
            </w:r>
          </w:p>
        </w:tc>
        <w:tc>
          <w:tcPr>
            <w:tcW w:type="dxa" w:w="964"/>
            <w:shd w:val="clear" w:color="auto" w:fill="1F3864"/>
          </w:tcPr>
          <w:p>
            <w:pPr>
              <w:spacing w:after="0"/>
            </w:pPr>
            <w:r>
              <w:rPr>
                <w:b/>
                <w:color w:val="FFFFFF"/>
                <w:sz w:val="15"/>
              </w:rPr>
              <w:t>Ahorro insp.</w:t>
            </w:r>
          </w:p>
        </w:tc>
        <w:tc>
          <w:tcPr>
            <w:tcW w:type="dxa" w:w="964"/>
            <w:shd w:val="clear" w:color="auto" w:fill="1F3864"/>
          </w:tcPr>
          <w:p>
            <w:pPr>
              <w:spacing w:after="0"/>
            </w:pPr>
            <w:r>
              <w:rPr>
                <w:b/>
                <w:color w:val="FFFFFF"/>
                <w:sz w:val="15"/>
              </w:rPr>
              <w:t>Ahorro prod.</w:t>
            </w:r>
          </w:p>
        </w:tc>
        <w:tc>
          <w:tcPr>
            <w:tcW w:type="dxa" w:w="1020"/>
            <w:shd w:val="clear" w:color="auto" w:fill="1F3864"/>
          </w:tcPr>
          <w:p>
            <w:pPr>
              <w:spacing w:after="0"/>
            </w:pPr>
            <w:r>
              <w:rPr>
                <w:b/>
                <w:color w:val="FFFFFF"/>
                <w:sz w:val="15"/>
              </w:rPr>
              <w:t>Beneficio</w:t>
            </w:r>
          </w:p>
        </w:tc>
        <w:tc>
          <w:tcPr>
            <w:tcW w:type="dxa" w:w="907"/>
            <w:shd w:val="clear" w:color="auto" w:fill="1F3864"/>
          </w:tcPr>
          <w:p>
            <w:pPr>
              <w:spacing w:after="0"/>
            </w:pPr>
            <w:r>
              <w:rPr>
                <w:b/>
                <w:color w:val="FFFFFF"/>
                <w:sz w:val="15"/>
              </w:rPr>
              <w:t>VP</w:t>
            </w:r>
          </w:p>
        </w:tc>
      </w:tr>
      <w:tr>
        <w:tc>
          <w:tcPr>
            <w:tcW w:type="dxa" w:w="567"/>
          </w:tcPr>
          <w:p>
            <w:pPr>
              <w:spacing w:after="0"/>
            </w:pPr>
            <w:r>
              <w:rPr>
                <w:sz w:val="15"/>
              </w:rPr>
              <w:t>2023</w:t>
            </w:r>
          </w:p>
        </w:tc>
        <w:tc>
          <w:tcPr>
            <w:tcW w:type="dxa" w:w="680"/>
          </w:tcPr>
          <w:p>
            <w:pPr>
              <w:spacing w:after="0"/>
            </w:pPr>
            <w:r>
              <w:rPr>
                <w:sz w:val="15"/>
              </w:rPr>
              <w:t>1,0</w:t>
            </w:r>
          </w:p>
        </w:tc>
        <w:tc>
          <w:tcPr>
            <w:tcW w:type="dxa" w:w="680"/>
          </w:tcPr>
          <w:p>
            <w:pPr>
              <w:spacing w:after="0"/>
            </w:pPr>
            <w:r>
              <w:rPr>
                <w:sz w:val="15"/>
              </w:rPr>
              <w:t>1,0</w:t>
            </w:r>
          </w:p>
        </w:tc>
        <w:tc>
          <w:tcPr>
            <w:tcW w:type="dxa" w:w="794"/>
          </w:tcPr>
          <w:p>
            <w:pPr>
              <w:spacing w:after="0"/>
            </w:pPr>
            <w:r>
              <w:rPr>
                <w:sz w:val="15"/>
              </w:rPr>
              <w:t>1,00</w:t>
            </w:r>
          </w:p>
        </w:tc>
        <w:tc>
          <w:tcPr>
            <w:tcW w:type="dxa" w:w="794"/>
          </w:tcPr>
          <w:p>
            <w:pPr>
              <w:spacing w:after="0"/>
            </w:pPr>
            <w:r>
              <w:rPr>
                <w:sz w:val="15"/>
              </w:rPr>
              <w:t>7</w:t>
            </w:r>
          </w:p>
        </w:tc>
        <w:tc>
          <w:tcPr>
            <w:tcW w:type="dxa" w:w="794"/>
          </w:tcPr>
          <w:p>
            <w:pPr>
              <w:spacing w:after="0"/>
            </w:pPr>
            <w:r>
              <w:rPr>
                <w:sz w:val="15"/>
              </w:rPr>
              <w:t>7</w:t>
            </w:r>
          </w:p>
        </w:tc>
        <w:tc>
          <w:tcPr>
            <w:tcW w:type="dxa" w:w="794"/>
          </w:tcPr>
          <w:p>
            <w:pPr>
              <w:spacing w:after="0"/>
            </w:pPr>
            <w:r>
              <w:rPr>
                <w:sz w:val="15"/>
              </w:rPr>
              <w:t>7</w:t>
            </w:r>
          </w:p>
        </w:tc>
        <w:tc>
          <w:tcPr>
            <w:tcW w:type="dxa" w:w="794"/>
          </w:tcPr>
          <w:p>
            <w:pPr>
              <w:spacing w:after="0"/>
            </w:pPr>
            <w:r>
              <w:rPr>
                <w:sz w:val="15"/>
              </w:rPr>
              <w:t>0</w:t>
            </w:r>
          </w:p>
        </w:tc>
        <w:tc>
          <w:tcPr>
            <w:tcW w:type="dxa" w:w="964"/>
          </w:tcPr>
          <w:p>
            <w:pPr>
              <w:spacing w:after="0"/>
            </w:pPr>
            <w:r>
              <w:rPr>
                <w:sz w:val="15"/>
              </w:rPr>
              <w:t>30</w:t>
            </w:r>
          </w:p>
        </w:tc>
        <w:tc>
          <w:tcPr>
            <w:tcW w:type="dxa" w:w="964"/>
          </w:tcPr>
          <w:p>
            <w:pPr>
              <w:spacing w:after="0"/>
            </w:pPr>
            <w:r>
              <w:rPr>
                <w:sz w:val="15"/>
              </w:rPr>
              <w:t>0</w:t>
            </w:r>
          </w:p>
        </w:tc>
        <w:tc>
          <w:tcPr>
            <w:tcW w:type="dxa" w:w="1020"/>
          </w:tcPr>
          <w:p>
            <w:pPr>
              <w:spacing w:after="0"/>
            </w:pPr>
            <w:r>
              <w:rPr>
                <w:sz w:val="15"/>
              </w:rPr>
              <w:t>30</w:t>
            </w:r>
          </w:p>
        </w:tc>
        <w:tc>
          <w:tcPr>
            <w:tcW w:type="dxa" w:w="907"/>
          </w:tcPr>
          <w:p>
            <w:pPr>
              <w:spacing w:after="0"/>
            </w:pPr>
            <w:r>
              <w:rPr>
                <w:sz w:val="15"/>
              </w:rPr>
              <w:t>30</w:t>
            </w:r>
          </w:p>
        </w:tc>
      </w:tr>
      <w:tr>
        <w:tc>
          <w:tcPr>
            <w:tcW w:type="dxa" w:w="567"/>
          </w:tcPr>
          <w:p>
            <w:pPr>
              <w:spacing w:after="0"/>
            </w:pPr>
            <w:r>
              <w:rPr>
                <w:sz w:val="15"/>
              </w:rPr>
              <w:t>2026</w:t>
            </w:r>
          </w:p>
        </w:tc>
        <w:tc>
          <w:tcPr>
            <w:tcW w:type="dxa" w:w="680"/>
          </w:tcPr>
          <w:p>
            <w:pPr>
              <w:spacing w:after="0"/>
            </w:pPr>
            <w:r>
              <w:rPr>
                <w:sz w:val="15"/>
              </w:rPr>
              <w:t>2,8</w:t>
            </w:r>
          </w:p>
        </w:tc>
        <w:tc>
          <w:tcPr>
            <w:tcW w:type="dxa" w:w="680"/>
          </w:tcPr>
          <w:p>
            <w:pPr>
              <w:spacing w:after="0"/>
            </w:pPr>
            <w:r>
              <w:rPr>
                <w:sz w:val="15"/>
              </w:rPr>
              <w:t>2,8</w:t>
            </w:r>
          </w:p>
        </w:tc>
        <w:tc>
          <w:tcPr>
            <w:tcW w:type="dxa" w:w="794"/>
          </w:tcPr>
          <w:p>
            <w:pPr>
              <w:spacing w:after="0"/>
            </w:pPr>
            <w:r>
              <w:rPr>
                <w:sz w:val="15"/>
              </w:rPr>
              <w:t>2,77</w:t>
            </w:r>
          </w:p>
        </w:tc>
        <w:tc>
          <w:tcPr>
            <w:tcW w:type="dxa" w:w="794"/>
          </w:tcPr>
          <w:p>
            <w:pPr>
              <w:spacing w:after="0"/>
            </w:pPr>
            <w:r>
              <w:rPr>
                <w:sz w:val="15"/>
              </w:rPr>
              <w:t>18</w:t>
            </w:r>
          </w:p>
        </w:tc>
        <w:tc>
          <w:tcPr>
            <w:tcW w:type="dxa" w:w="794"/>
          </w:tcPr>
          <w:p>
            <w:pPr>
              <w:spacing w:after="0"/>
            </w:pPr>
            <w:r>
              <w:rPr>
                <w:sz w:val="15"/>
              </w:rPr>
              <w:t>18</w:t>
            </w:r>
          </w:p>
        </w:tc>
        <w:tc>
          <w:tcPr>
            <w:tcW w:type="dxa" w:w="794"/>
          </w:tcPr>
          <w:p>
            <w:pPr>
              <w:spacing w:after="0"/>
            </w:pPr>
            <w:r>
              <w:rPr>
                <w:sz w:val="15"/>
              </w:rPr>
              <w:t>18</w:t>
            </w:r>
          </w:p>
        </w:tc>
        <w:tc>
          <w:tcPr>
            <w:tcW w:type="dxa" w:w="794"/>
          </w:tcPr>
          <w:p>
            <w:pPr>
              <w:spacing w:after="0"/>
            </w:pPr>
            <w:r>
              <w:rPr>
                <w:sz w:val="15"/>
              </w:rPr>
              <w:t>0</w:t>
            </w:r>
          </w:p>
        </w:tc>
        <w:tc>
          <w:tcPr>
            <w:tcW w:type="dxa" w:w="964"/>
          </w:tcPr>
          <w:p>
            <w:pPr>
              <w:spacing w:after="0"/>
            </w:pPr>
            <w:r>
              <w:rPr>
                <w:sz w:val="15"/>
              </w:rPr>
              <w:t>240</w:t>
            </w:r>
          </w:p>
        </w:tc>
        <w:tc>
          <w:tcPr>
            <w:tcW w:type="dxa" w:w="964"/>
          </w:tcPr>
          <w:p>
            <w:pPr>
              <w:spacing w:after="0"/>
            </w:pPr>
            <w:r>
              <w:rPr>
                <w:sz w:val="15"/>
              </w:rPr>
              <w:t>0</w:t>
            </w:r>
          </w:p>
        </w:tc>
        <w:tc>
          <w:tcPr>
            <w:tcW w:type="dxa" w:w="1020"/>
          </w:tcPr>
          <w:p>
            <w:pPr>
              <w:spacing w:after="0"/>
            </w:pPr>
            <w:r>
              <w:rPr>
                <w:sz w:val="15"/>
              </w:rPr>
              <w:t>240</w:t>
            </w:r>
          </w:p>
        </w:tc>
        <w:tc>
          <w:tcPr>
            <w:tcW w:type="dxa" w:w="907"/>
          </w:tcPr>
          <w:p>
            <w:pPr>
              <w:spacing w:after="0"/>
            </w:pPr>
            <w:r>
              <w:rPr>
                <w:sz w:val="15"/>
              </w:rPr>
              <w:t>180</w:t>
            </w:r>
          </w:p>
        </w:tc>
      </w:tr>
      <w:tr>
        <w:tc>
          <w:tcPr>
            <w:tcW w:type="dxa" w:w="567"/>
          </w:tcPr>
          <w:p>
            <w:pPr>
              <w:spacing w:after="0"/>
            </w:pPr>
            <w:r>
              <w:rPr>
                <w:sz w:val="15"/>
              </w:rPr>
              <w:t>2029</w:t>
            </w:r>
          </w:p>
        </w:tc>
        <w:tc>
          <w:tcPr>
            <w:tcW w:type="dxa" w:w="680"/>
          </w:tcPr>
          <w:p>
            <w:pPr>
              <w:spacing w:after="0"/>
            </w:pPr>
            <w:r>
              <w:rPr>
                <w:sz w:val="15"/>
              </w:rPr>
              <w:t>7,7</w:t>
            </w:r>
          </w:p>
        </w:tc>
        <w:tc>
          <w:tcPr>
            <w:tcW w:type="dxa" w:w="680"/>
          </w:tcPr>
          <w:p>
            <w:pPr>
              <w:spacing w:after="0"/>
            </w:pPr>
            <w:r>
              <w:rPr>
                <w:sz w:val="15"/>
              </w:rPr>
              <w:t>1,0</w:t>
            </w:r>
          </w:p>
        </w:tc>
        <w:tc>
          <w:tcPr>
            <w:tcW w:type="dxa" w:w="794"/>
          </w:tcPr>
          <w:p>
            <w:pPr>
              <w:spacing w:after="0"/>
            </w:pPr>
            <w:r>
              <w:rPr>
                <w:sz w:val="15"/>
              </w:rPr>
              <w:t>7,70</w:t>
            </w:r>
          </w:p>
        </w:tc>
        <w:tc>
          <w:tcPr>
            <w:tcW w:type="dxa" w:w="794"/>
          </w:tcPr>
          <w:p>
            <w:pPr>
              <w:spacing w:after="0"/>
            </w:pPr>
            <w:r>
              <w:rPr>
                <w:sz w:val="15"/>
              </w:rPr>
              <w:t>51</w:t>
            </w:r>
          </w:p>
        </w:tc>
        <w:tc>
          <w:tcPr>
            <w:tcW w:type="dxa" w:w="794"/>
          </w:tcPr>
          <w:p>
            <w:pPr>
              <w:spacing w:after="0"/>
            </w:pPr>
            <w:r>
              <w:rPr>
                <w:sz w:val="15"/>
              </w:rPr>
              <w:t>7</w:t>
            </w:r>
          </w:p>
        </w:tc>
        <w:tc>
          <w:tcPr>
            <w:tcW w:type="dxa" w:w="794"/>
          </w:tcPr>
          <w:p>
            <w:pPr>
              <w:spacing w:after="0"/>
            </w:pPr>
            <w:r>
              <w:rPr>
                <w:sz w:val="15"/>
              </w:rPr>
              <w:t>51</w:t>
            </w:r>
          </w:p>
        </w:tc>
        <w:tc>
          <w:tcPr>
            <w:tcW w:type="dxa" w:w="794"/>
          </w:tcPr>
          <w:p>
            <w:pPr>
              <w:spacing w:after="0"/>
            </w:pPr>
            <w:r>
              <w:rPr>
                <w:sz w:val="15"/>
              </w:rPr>
              <w:t>-44</w:t>
            </w:r>
          </w:p>
        </w:tc>
        <w:tc>
          <w:tcPr>
            <w:tcW w:type="dxa" w:w="964"/>
          </w:tcPr>
          <w:p>
            <w:pPr>
              <w:spacing w:after="0"/>
            </w:pPr>
            <w:r>
              <w:rPr>
                <w:sz w:val="15"/>
              </w:rPr>
              <w:t>360</w:t>
            </w:r>
          </w:p>
        </w:tc>
        <w:tc>
          <w:tcPr>
            <w:tcW w:type="dxa" w:w="964"/>
          </w:tcPr>
          <w:p>
            <w:pPr>
              <w:spacing w:after="0"/>
            </w:pPr>
            <w:r>
              <w:rPr>
                <w:sz w:val="15"/>
              </w:rPr>
              <w:t>10.000</w:t>
            </w:r>
          </w:p>
        </w:tc>
        <w:tc>
          <w:tcPr>
            <w:tcW w:type="dxa" w:w="1020"/>
          </w:tcPr>
          <w:p>
            <w:pPr>
              <w:spacing w:after="0"/>
            </w:pPr>
            <w:r>
              <w:rPr>
                <w:sz w:val="15"/>
              </w:rPr>
              <w:t>10.316</w:t>
            </w:r>
          </w:p>
        </w:tc>
        <w:tc>
          <w:tcPr>
            <w:tcW w:type="dxa" w:w="907"/>
          </w:tcPr>
          <w:p>
            <w:pPr>
              <w:spacing w:after="0"/>
            </w:pPr>
            <w:r>
              <w:rPr>
                <w:sz w:val="15"/>
              </w:rPr>
              <w:t>5.823</w:t>
            </w:r>
          </w:p>
        </w:tc>
      </w:tr>
      <w:tr>
        <w:tc>
          <w:tcPr>
            <w:tcW w:type="dxa" w:w="567"/>
          </w:tcPr>
          <w:p>
            <w:pPr>
              <w:spacing w:after="0"/>
            </w:pPr>
            <w:r>
              <w:rPr>
                <w:sz w:val="15"/>
              </w:rPr>
              <w:t>2030</w:t>
            </w:r>
          </w:p>
        </w:tc>
        <w:tc>
          <w:tcPr>
            <w:tcW w:type="dxa" w:w="680"/>
          </w:tcPr>
          <w:p>
            <w:pPr>
              <w:spacing w:after="0"/>
            </w:pPr>
            <w:r>
              <w:rPr>
                <w:sz w:val="15"/>
              </w:rPr>
              <w:t>10,8</w:t>
            </w:r>
          </w:p>
        </w:tc>
        <w:tc>
          <w:tcPr>
            <w:tcW w:type="dxa" w:w="680"/>
          </w:tcPr>
          <w:p>
            <w:pPr>
              <w:spacing w:after="0"/>
            </w:pPr>
            <w:r>
              <w:rPr>
                <w:sz w:val="15"/>
              </w:rPr>
              <w:t>1,4</w:t>
            </w:r>
          </w:p>
        </w:tc>
        <w:tc>
          <w:tcPr>
            <w:tcW w:type="dxa" w:w="794"/>
          </w:tcPr>
          <w:p>
            <w:pPr>
              <w:spacing w:after="0"/>
            </w:pPr>
            <w:r>
              <w:rPr>
                <w:sz w:val="15"/>
              </w:rPr>
              <w:t>10,81</w:t>
            </w:r>
          </w:p>
        </w:tc>
        <w:tc>
          <w:tcPr>
            <w:tcW w:type="dxa" w:w="794"/>
          </w:tcPr>
          <w:p>
            <w:pPr>
              <w:spacing w:after="0"/>
            </w:pPr>
            <w:r>
              <w:rPr>
                <w:sz w:val="15"/>
              </w:rPr>
              <w:t>71</w:t>
            </w:r>
          </w:p>
        </w:tc>
        <w:tc>
          <w:tcPr>
            <w:tcW w:type="dxa" w:w="794"/>
          </w:tcPr>
          <w:p>
            <w:pPr>
              <w:spacing w:after="0"/>
            </w:pPr>
            <w:r>
              <w:rPr>
                <w:sz w:val="15"/>
              </w:rPr>
              <w:t>9</w:t>
            </w:r>
          </w:p>
        </w:tc>
        <w:tc>
          <w:tcPr>
            <w:tcW w:type="dxa" w:w="794"/>
          </w:tcPr>
          <w:p>
            <w:pPr>
              <w:spacing w:after="0"/>
            </w:pPr>
            <w:r>
              <w:rPr>
                <w:sz w:val="15"/>
              </w:rPr>
              <w:t>71</w:t>
            </w:r>
          </w:p>
        </w:tc>
        <w:tc>
          <w:tcPr>
            <w:tcW w:type="dxa" w:w="794"/>
          </w:tcPr>
          <w:p>
            <w:pPr>
              <w:spacing w:after="0"/>
            </w:pPr>
            <w:r>
              <w:rPr>
                <w:sz w:val="15"/>
              </w:rPr>
              <w:t>-62</w:t>
            </w:r>
          </w:p>
        </w:tc>
        <w:tc>
          <w:tcPr>
            <w:tcW w:type="dxa" w:w="964"/>
          </w:tcPr>
          <w:p>
            <w:pPr>
              <w:spacing w:after="0"/>
            </w:pPr>
            <w:r>
              <w:rPr>
                <w:sz w:val="15"/>
              </w:rPr>
              <w:t>0</w:t>
            </w:r>
          </w:p>
        </w:tc>
        <w:tc>
          <w:tcPr>
            <w:tcW w:type="dxa" w:w="964"/>
          </w:tcPr>
          <w:p>
            <w:pPr>
              <w:spacing w:after="0"/>
            </w:pPr>
            <w:r>
              <w:rPr>
                <w:sz w:val="15"/>
              </w:rPr>
              <w:t>0</w:t>
            </w:r>
          </w:p>
        </w:tc>
        <w:tc>
          <w:tcPr>
            <w:tcW w:type="dxa" w:w="1020"/>
          </w:tcPr>
          <w:p>
            <w:pPr>
              <w:spacing w:after="0"/>
            </w:pPr>
            <w:r>
              <w:rPr>
                <w:sz w:val="15"/>
              </w:rPr>
              <w:t>-62</w:t>
            </w:r>
          </w:p>
        </w:tc>
        <w:tc>
          <w:tcPr>
            <w:tcW w:type="dxa" w:w="907"/>
          </w:tcPr>
          <w:p>
            <w:pPr>
              <w:spacing w:after="0"/>
            </w:pPr>
            <w:r>
              <w:rPr>
                <w:sz w:val="15"/>
              </w:rPr>
              <w:t>-32</w:t>
            </w:r>
          </w:p>
        </w:tc>
      </w:tr>
      <w:tr>
        <w:tc>
          <w:tcPr>
            <w:tcW w:type="dxa" w:w="567"/>
          </w:tcPr>
          <w:p>
            <w:pPr>
              <w:spacing w:after="0"/>
            </w:pPr>
            <w:r>
              <w:rPr>
                <w:sz w:val="15"/>
              </w:rPr>
              <w:t>2032</w:t>
            </w:r>
          </w:p>
        </w:tc>
        <w:tc>
          <w:tcPr>
            <w:tcW w:type="dxa" w:w="680"/>
          </w:tcPr>
          <w:p>
            <w:pPr>
              <w:spacing w:after="0"/>
            </w:pPr>
            <w:r>
              <w:rPr>
                <w:sz w:val="15"/>
              </w:rPr>
              <w:t>21,4</w:t>
            </w:r>
          </w:p>
        </w:tc>
        <w:tc>
          <w:tcPr>
            <w:tcW w:type="dxa" w:w="680"/>
          </w:tcPr>
          <w:p>
            <w:pPr>
              <w:spacing w:after="0"/>
            </w:pPr>
            <w:r>
              <w:rPr>
                <w:sz w:val="15"/>
              </w:rPr>
              <w:t>2,8</w:t>
            </w:r>
          </w:p>
        </w:tc>
        <w:tc>
          <w:tcPr>
            <w:tcW w:type="dxa" w:w="794"/>
          </w:tcPr>
          <w:p>
            <w:pPr>
              <w:spacing w:after="0"/>
            </w:pPr>
            <w:r>
              <w:rPr>
                <w:sz w:val="15"/>
              </w:rPr>
              <w:t>21,35</w:t>
            </w:r>
          </w:p>
        </w:tc>
        <w:tc>
          <w:tcPr>
            <w:tcW w:type="dxa" w:w="794"/>
          </w:tcPr>
          <w:p>
            <w:pPr>
              <w:spacing w:after="0"/>
            </w:pPr>
            <w:r>
              <w:rPr>
                <w:sz w:val="15"/>
              </w:rPr>
              <w:t>140</w:t>
            </w:r>
          </w:p>
        </w:tc>
        <w:tc>
          <w:tcPr>
            <w:tcW w:type="dxa" w:w="794"/>
          </w:tcPr>
          <w:p>
            <w:pPr>
              <w:spacing w:after="0"/>
            </w:pPr>
            <w:r>
              <w:rPr>
                <w:sz w:val="15"/>
              </w:rPr>
              <w:t>18</w:t>
            </w:r>
          </w:p>
        </w:tc>
        <w:tc>
          <w:tcPr>
            <w:tcW w:type="dxa" w:w="794"/>
          </w:tcPr>
          <w:p>
            <w:pPr>
              <w:spacing w:after="0"/>
            </w:pPr>
            <w:r>
              <w:rPr>
                <w:sz w:val="15"/>
              </w:rPr>
              <w:t>140</w:t>
            </w:r>
          </w:p>
        </w:tc>
        <w:tc>
          <w:tcPr>
            <w:tcW w:type="dxa" w:w="794"/>
          </w:tcPr>
          <w:p>
            <w:pPr>
              <w:spacing w:after="0"/>
            </w:pPr>
            <w:r>
              <w:rPr>
                <w:sz w:val="15"/>
              </w:rPr>
              <w:t>-122</w:t>
            </w:r>
          </w:p>
        </w:tc>
        <w:tc>
          <w:tcPr>
            <w:tcW w:type="dxa" w:w="964"/>
          </w:tcPr>
          <w:p>
            <w:pPr>
              <w:spacing w:after="0"/>
            </w:pPr>
            <w:r>
              <w:rPr>
                <w:sz w:val="15"/>
              </w:rPr>
              <w:t>240</w:t>
            </w:r>
          </w:p>
        </w:tc>
        <w:tc>
          <w:tcPr>
            <w:tcW w:type="dxa" w:w="964"/>
          </w:tcPr>
          <w:p>
            <w:pPr>
              <w:spacing w:after="0"/>
            </w:pPr>
            <w:r>
              <w:rPr>
                <w:sz w:val="15"/>
              </w:rPr>
              <w:t>0</w:t>
            </w:r>
          </w:p>
        </w:tc>
        <w:tc>
          <w:tcPr>
            <w:tcW w:type="dxa" w:w="1020"/>
          </w:tcPr>
          <w:p>
            <w:pPr>
              <w:spacing w:after="0"/>
            </w:pPr>
            <w:r>
              <w:rPr>
                <w:sz w:val="15"/>
              </w:rPr>
              <w:t>118</w:t>
            </w:r>
          </w:p>
        </w:tc>
        <w:tc>
          <w:tcPr>
            <w:tcW w:type="dxa" w:w="907"/>
          </w:tcPr>
          <w:p>
            <w:pPr>
              <w:spacing w:after="0"/>
            </w:pPr>
            <w:r>
              <w:rPr>
                <w:sz w:val="15"/>
              </w:rPr>
              <w:t>50</w:t>
            </w:r>
          </w:p>
        </w:tc>
      </w:tr>
      <w:tr>
        <w:tc>
          <w:tcPr>
            <w:tcW w:type="dxa" w:w="567"/>
          </w:tcPr>
          <w:p>
            <w:pPr>
              <w:spacing w:after="0"/>
            </w:pPr>
            <w:r>
              <w:rPr>
                <w:sz w:val="15"/>
              </w:rPr>
              <w:t>2033</w:t>
            </w:r>
          </w:p>
        </w:tc>
        <w:tc>
          <w:tcPr>
            <w:tcW w:type="dxa" w:w="680"/>
          </w:tcPr>
          <w:p>
            <w:pPr>
              <w:spacing w:after="0"/>
            </w:pPr>
            <w:r>
              <w:rPr>
                <w:sz w:val="15"/>
              </w:rPr>
              <w:t>30,0</w:t>
            </w:r>
          </w:p>
        </w:tc>
        <w:tc>
          <w:tcPr>
            <w:tcW w:type="dxa" w:w="680"/>
          </w:tcPr>
          <w:p>
            <w:pPr>
              <w:spacing w:after="0"/>
            </w:pPr>
            <w:r>
              <w:rPr>
                <w:sz w:val="15"/>
              </w:rPr>
              <w:t>3,9</w:t>
            </w:r>
          </w:p>
        </w:tc>
        <w:tc>
          <w:tcPr>
            <w:tcW w:type="dxa" w:w="794"/>
          </w:tcPr>
          <w:p>
            <w:pPr>
              <w:spacing w:after="0"/>
            </w:pPr>
            <w:r>
              <w:rPr>
                <w:sz w:val="15"/>
              </w:rPr>
              <w:t>0,09</w:t>
            </w:r>
          </w:p>
        </w:tc>
        <w:tc>
          <w:tcPr>
            <w:tcW w:type="dxa" w:w="794"/>
          </w:tcPr>
          <w:p>
            <w:pPr>
              <w:spacing w:after="0"/>
            </w:pPr>
            <w:r>
              <w:rPr>
                <w:sz w:val="15"/>
              </w:rPr>
              <w:t>197</w:t>
            </w:r>
          </w:p>
        </w:tc>
        <w:tc>
          <w:tcPr>
            <w:tcW w:type="dxa" w:w="794"/>
          </w:tcPr>
          <w:p>
            <w:pPr>
              <w:spacing w:after="0"/>
            </w:pPr>
            <w:r>
              <w:rPr>
                <w:sz w:val="15"/>
              </w:rPr>
              <w:t>26</w:t>
            </w:r>
          </w:p>
        </w:tc>
        <w:tc>
          <w:tcPr>
            <w:tcW w:type="dxa" w:w="794"/>
          </w:tcPr>
          <w:p>
            <w:pPr>
              <w:spacing w:after="0"/>
            </w:pPr>
            <w:r>
              <w:rPr>
                <w:sz w:val="15"/>
              </w:rPr>
              <w:t>1</w:t>
            </w:r>
          </w:p>
        </w:tc>
        <w:tc>
          <w:tcPr>
            <w:tcW w:type="dxa" w:w="794"/>
          </w:tcPr>
          <w:p>
            <w:pPr>
              <w:spacing w:after="0"/>
            </w:pPr>
            <w:r>
              <w:rPr>
                <w:sz w:val="15"/>
              </w:rPr>
              <w:t>25</w:t>
            </w:r>
          </w:p>
        </w:tc>
        <w:tc>
          <w:tcPr>
            <w:tcW w:type="dxa" w:w="964"/>
          </w:tcPr>
          <w:p>
            <w:pPr>
              <w:spacing w:after="0"/>
            </w:pPr>
            <w:r>
              <w:rPr>
                <w:sz w:val="15"/>
              </w:rPr>
              <w:t>-600</w:t>
            </w:r>
          </w:p>
        </w:tc>
        <w:tc>
          <w:tcPr>
            <w:tcW w:type="dxa" w:w="964"/>
          </w:tcPr>
          <w:p>
            <w:pPr>
              <w:spacing w:after="0"/>
            </w:pPr>
            <w:r>
              <w:rPr>
                <w:sz w:val="15"/>
              </w:rPr>
              <w:t>0</w:t>
            </w:r>
          </w:p>
        </w:tc>
        <w:tc>
          <w:tcPr>
            <w:tcW w:type="dxa" w:w="1020"/>
          </w:tcPr>
          <w:p>
            <w:pPr>
              <w:spacing w:after="0"/>
            </w:pPr>
            <w:r>
              <w:rPr>
                <w:sz w:val="15"/>
              </w:rPr>
              <w:t>-575</w:t>
            </w:r>
          </w:p>
        </w:tc>
        <w:tc>
          <w:tcPr>
            <w:tcW w:type="dxa" w:w="907"/>
          </w:tcPr>
          <w:p>
            <w:pPr>
              <w:spacing w:after="0"/>
            </w:pPr>
            <w:r>
              <w:rPr>
                <w:sz w:val="15"/>
              </w:rPr>
              <w:t>-222</w:t>
            </w:r>
          </w:p>
        </w:tc>
      </w:tr>
      <w:tr>
        <w:tc>
          <w:tcPr>
            <w:tcW w:type="dxa" w:w="567"/>
          </w:tcPr>
          <w:p>
            <w:pPr>
              <w:spacing w:after="0"/>
            </w:pPr>
            <w:r>
              <w:rPr>
                <w:sz w:val="15"/>
              </w:rPr>
              <w:t>2034</w:t>
            </w:r>
          </w:p>
        </w:tc>
        <w:tc>
          <w:tcPr>
            <w:tcW w:type="dxa" w:w="680"/>
          </w:tcPr>
          <w:p>
            <w:pPr>
              <w:spacing w:after="0"/>
            </w:pPr>
            <w:r>
              <w:rPr>
                <w:sz w:val="15"/>
              </w:rPr>
              <w:t>42,2</w:t>
            </w:r>
          </w:p>
        </w:tc>
        <w:tc>
          <w:tcPr>
            <w:tcW w:type="dxa" w:w="680"/>
          </w:tcPr>
          <w:p>
            <w:pPr>
              <w:spacing w:after="0"/>
            </w:pPr>
            <w:r>
              <w:rPr>
                <w:sz w:val="15"/>
              </w:rPr>
              <w:t>5,5</w:t>
            </w:r>
          </w:p>
        </w:tc>
        <w:tc>
          <w:tcPr>
            <w:tcW w:type="dxa" w:w="794"/>
          </w:tcPr>
          <w:p>
            <w:pPr>
              <w:spacing w:after="0"/>
            </w:pPr>
            <w:r>
              <w:rPr>
                <w:sz w:val="15"/>
              </w:rPr>
              <w:t>0,13</w:t>
            </w:r>
          </w:p>
        </w:tc>
        <w:tc>
          <w:tcPr>
            <w:tcW w:type="dxa" w:w="794"/>
          </w:tcPr>
          <w:p>
            <w:pPr>
              <w:spacing w:after="0"/>
            </w:pPr>
            <w:r>
              <w:rPr>
                <w:sz w:val="15"/>
              </w:rPr>
              <w:t>277</w:t>
            </w:r>
          </w:p>
        </w:tc>
        <w:tc>
          <w:tcPr>
            <w:tcW w:type="dxa" w:w="794"/>
          </w:tcPr>
          <w:p>
            <w:pPr>
              <w:spacing w:after="0"/>
            </w:pPr>
            <w:r>
              <w:rPr>
                <w:sz w:val="15"/>
              </w:rPr>
              <w:t>36</w:t>
            </w:r>
          </w:p>
        </w:tc>
        <w:tc>
          <w:tcPr>
            <w:tcW w:type="dxa" w:w="794"/>
          </w:tcPr>
          <w:p>
            <w:pPr>
              <w:spacing w:after="0"/>
            </w:pPr>
            <w:r>
              <w:rPr>
                <w:sz w:val="15"/>
              </w:rPr>
              <w:t>1</w:t>
            </w:r>
          </w:p>
        </w:tc>
        <w:tc>
          <w:tcPr>
            <w:tcW w:type="dxa" w:w="794"/>
          </w:tcPr>
          <w:p>
            <w:pPr>
              <w:spacing w:after="0"/>
            </w:pPr>
            <w:r>
              <w:rPr>
                <w:sz w:val="15"/>
              </w:rPr>
              <w:t>35</w:t>
            </w:r>
          </w:p>
        </w:tc>
        <w:tc>
          <w:tcPr>
            <w:tcW w:type="dxa" w:w="964"/>
          </w:tcPr>
          <w:p>
            <w:pPr>
              <w:spacing w:after="0"/>
            </w:pPr>
            <w:r>
              <w:rPr>
                <w:sz w:val="15"/>
              </w:rPr>
              <w:t>0</w:t>
            </w:r>
          </w:p>
        </w:tc>
        <w:tc>
          <w:tcPr>
            <w:tcW w:type="dxa" w:w="964"/>
          </w:tcPr>
          <w:p>
            <w:pPr>
              <w:spacing w:after="0"/>
            </w:pPr>
            <w:r>
              <w:rPr>
                <w:sz w:val="15"/>
              </w:rPr>
              <w:t>0</w:t>
            </w:r>
          </w:p>
        </w:tc>
        <w:tc>
          <w:tcPr>
            <w:tcW w:type="dxa" w:w="1020"/>
          </w:tcPr>
          <w:p>
            <w:pPr>
              <w:spacing w:after="0"/>
            </w:pPr>
            <w:r>
              <w:rPr>
                <w:sz w:val="15"/>
              </w:rPr>
              <w:t>35</w:t>
            </w:r>
          </w:p>
        </w:tc>
        <w:tc>
          <w:tcPr>
            <w:tcW w:type="dxa" w:w="907"/>
          </w:tcPr>
          <w:p>
            <w:pPr>
              <w:spacing w:after="0"/>
            </w:pPr>
            <w:r>
              <w:rPr>
                <w:sz w:val="15"/>
              </w:rPr>
              <w:t>12</w:t>
            </w:r>
          </w:p>
        </w:tc>
      </w:tr>
      <w:tr>
        <w:tc>
          <w:tcPr>
            <w:tcW w:type="dxa" w:w="567"/>
          </w:tcPr>
          <w:p>
            <w:pPr>
              <w:spacing w:after="0"/>
            </w:pPr>
            <w:r>
              <w:rPr>
                <w:sz w:val="15"/>
              </w:rPr>
              <w:t>2036</w:t>
            </w:r>
          </w:p>
        </w:tc>
        <w:tc>
          <w:tcPr>
            <w:tcW w:type="dxa" w:w="680"/>
          </w:tcPr>
          <w:p>
            <w:pPr>
              <w:spacing w:after="0"/>
            </w:pPr>
            <w:r>
              <w:rPr>
                <w:sz w:val="15"/>
              </w:rPr>
              <w:t>83,2</w:t>
            </w:r>
          </w:p>
        </w:tc>
        <w:tc>
          <w:tcPr>
            <w:tcW w:type="dxa" w:w="680"/>
          </w:tcPr>
          <w:p>
            <w:pPr>
              <w:spacing w:after="0"/>
            </w:pPr>
            <w:r>
              <w:rPr>
                <w:sz w:val="15"/>
              </w:rPr>
              <w:t>10,8</w:t>
            </w:r>
          </w:p>
        </w:tc>
        <w:tc>
          <w:tcPr>
            <w:tcW w:type="dxa" w:w="794"/>
          </w:tcPr>
          <w:p>
            <w:pPr>
              <w:spacing w:after="0"/>
            </w:pPr>
            <w:r>
              <w:rPr>
                <w:sz w:val="15"/>
              </w:rPr>
              <w:t>0,26</w:t>
            </w:r>
          </w:p>
        </w:tc>
        <w:tc>
          <w:tcPr>
            <w:tcW w:type="dxa" w:w="794"/>
          </w:tcPr>
          <w:p>
            <w:pPr>
              <w:spacing w:after="0"/>
            </w:pPr>
            <w:r>
              <w:rPr>
                <w:sz w:val="15"/>
              </w:rPr>
              <w:t>548</w:t>
            </w:r>
          </w:p>
        </w:tc>
        <w:tc>
          <w:tcPr>
            <w:tcW w:type="dxa" w:w="794"/>
          </w:tcPr>
          <w:p>
            <w:pPr>
              <w:spacing w:after="0"/>
            </w:pPr>
            <w:r>
              <w:rPr>
                <w:sz w:val="15"/>
              </w:rPr>
              <w:t>71</w:t>
            </w:r>
          </w:p>
        </w:tc>
        <w:tc>
          <w:tcPr>
            <w:tcW w:type="dxa" w:w="794"/>
          </w:tcPr>
          <w:p>
            <w:pPr>
              <w:spacing w:after="0"/>
            </w:pPr>
            <w:r>
              <w:rPr>
                <w:sz w:val="15"/>
              </w:rPr>
              <w:t>2</w:t>
            </w:r>
          </w:p>
        </w:tc>
        <w:tc>
          <w:tcPr>
            <w:tcW w:type="dxa" w:w="794"/>
          </w:tcPr>
          <w:p>
            <w:pPr>
              <w:spacing w:after="0"/>
            </w:pPr>
            <w:r>
              <w:rPr>
                <w:sz w:val="15"/>
              </w:rPr>
              <w:t>69</w:t>
            </w:r>
          </w:p>
        </w:tc>
        <w:tc>
          <w:tcPr>
            <w:tcW w:type="dxa" w:w="964"/>
          </w:tcPr>
          <w:p>
            <w:pPr>
              <w:spacing w:after="0"/>
            </w:pPr>
            <w:r>
              <w:rPr>
                <w:sz w:val="15"/>
              </w:rPr>
              <w:t>0</w:t>
            </w:r>
          </w:p>
        </w:tc>
        <w:tc>
          <w:tcPr>
            <w:tcW w:type="dxa" w:w="964"/>
          </w:tcPr>
          <w:p>
            <w:pPr>
              <w:spacing w:after="0"/>
            </w:pPr>
            <w:r>
              <w:rPr>
                <w:sz w:val="15"/>
              </w:rPr>
              <w:t>0</w:t>
            </w:r>
          </w:p>
        </w:tc>
        <w:tc>
          <w:tcPr>
            <w:tcW w:type="dxa" w:w="1020"/>
          </w:tcPr>
          <w:p>
            <w:pPr>
              <w:spacing w:after="0"/>
            </w:pPr>
            <w:r>
              <w:rPr>
                <w:sz w:val="15"/>
              </w:rPr>
              <w:t>69</w:t>
            </w:r>
          </w:p>
        </w:tc>
        <w:tc>
          <w:tcPr>
            <w:tcW w:type="dxa" w:w="907"/>
          </w:tcPr>
          <w:p>
            <w:pPr>
              <w:spacing w:after="0"/>
            </w:pPr>
            <w:r>
              <w:rPr>
                <w:sz w:val="15"/>
              </w:rPr>
              <w:t>20</w:t>
            </w:r>
          </w:p>
        </w:tc>
      </w:tr>
    </w:tbl>
    <w:p>
      <w:pPr>
        <w:spacing w:after="0"/>
      </w:pPr>
    </w:p>
    <w:p>
      <w:r>
        <w:rPr>
          <w:b/>
          <w:i w:val="0"/>
        </w:rPr>
        <w:t>Indicadores (r=10 %, supuesto): VAN 1 año=30 $ · VAN 10 años=5.789 $ · ahorro nominal 10 años=9.980 $ (10.270 $ en inspección+producción menos 290 $ de ΔEMV) · SIR=16,2 · ROI=1.522 % · payback 2023 (el ahorro TBI de 2023, 240 $, supera el costo RBI de 210 $) · CEA renta equivalente=942 $/año. Separación pedida: menor inspección 270 $ vs menor pérdida de producción 10.000 $ (nominal, 10 años).</w:t>
      </w:r>
    </w:p>
    <w:p>
      <w:r>
        <w:drawing>
          <wp:inline xmlns:a="http://schemas.openxmlformats.org/drawingml/2006/main" xmlns:pic="http://schemas.openxmlformats.org/drawingml/2006/picture">
            <wp:extent cx="5940000" cy="2046892"/>
            <wp:docPr id="1" name="Picture 1"/>
            <wp:cNvGraphicFramePr>
              <a:graphicFrameLocks noChangeAspect="1"/>
            </wp:cNvGraphicFramePr>
            <a:graphic>
              <a:graphicData uri="http://schemas.openxmlformats.org/drawingml/2006/picture">
                <pic:pic>
                  <pic:nvPicPr>
                    <pic:cNvPr id="0" name="fig_ram.png"/>
                    <pic:cNvPicPr/>
                  </pic:nvPicPr>
                  <pic:blipFill>
                    <a:blip r:embed="rId9"/>
                    <a:stretch>
                      <a:fillRect/>
                    </a:stretch>
                  </pic:blipFill>
                  <pic:spPr>
                    <a:xfrm>
                      <a:off x="0" y="0"/>
                      <a:ext cx="5940000" cy="2046892"/>
                    </a:xfrm>
                    <a:prstGeom prst="rect"/>
                  </pic:spPr>
                </pic:pic>
              </a:graphicData>
            </a:graphic>
          </wp:inline>
        </w:drawing>
      </w:r>
    </w:p>
    <w:p>
      <w:r>
        <w:br w:type="page"/>
      </w:r>
    </w:p>
    <w:p>
      <w:pPr>
        <w:keepNext/>
        <w:spacing w:before="80" w:after="30"/>
      </w:pPr>
      <w:r>
        <w:rPr>
          <w:b/>
          <w:color w:val="1F3864"/>
          <w:sz w:val="23"/>
        </w:rPr>
        <w:t>7. Matriz RAM Ecopetrol antes y después (riesgo cualitativo y $)</w:t>
      </w:r>
    </w:p>
    <w:tbl>
      <w:tblPr>
        <w:tblStyle w:val="TableGrid"/>
        <w:tblW w:type="auto" w:w="0"/>
        <w:tblLook w:firstColumn="1" w:firstRow="1" w:lastColumn="0" w:lastRow="0" w:noHBand="0" w:noVBand="1" w:val="04A0"/>
      </w:tblPr>
      <w:tblGrid>
        <w:gridCol w:w="1054"/>
        <w:gridCol w:w="1054"/>
        <w:gridCol w:w="1054"/>
        <w:gridCol w:w="1054"/>
        <w:gridCol w:w="1054"/>
        <w:gridCol w:w="1054"/>
        <w:gridCol w:w="1054"/>
        <w:gridCol w:w="1054"/>
        <w:gridCol w:w="1054"/>
        <w:gridCol w:w="1054"/>
      </w:tblGrid>
      <w:tr>
        <w:tc>
          <w:tcPr>
            <w:tcW w:type="dxa" w:w="2041"/>
            <w:shd w:val="clear" w:color="auto" w:fill="1F3864"/>
          </w:tcPr>
          <w:p>
            <w:pPr>
              <w:spacing w:after="0"/>
            </w:pPr>
            <w:r>
              <w:rPr>
                <w:b/>
                <w:color w:val="FFFFFF"/>
                <w:sz w:val="16"/>
              </w:rPr>
              <w:t>Posición</w:t>
            </w:r>
          </w:p>
        </w:tc>
        <w:tc>
          <w:tcPr>
            <w:tcW w:type="dxa" w:w="510"/>
            <w:shd w:val="clear" w:color="auto" w:fill="1F3864"/>
          </w:tcPr>
          <w:p>
            <w:pPr>
              <w:spacing w:after="0"/>
            </w:pPr>
            <w:r>
              <w:rPr>
                <w:b/>
                <w:color w:val="FFFFFF"/>
                <w:sz w:val="16"/>
              </w:rPr>
              <w:t>Año</w:t>
            </w:r>
          </w:p>
        </w:tc>
        <w:tc>
          <w:tcPr>
            <w:tcW w:type="dxa" w:w="624"/>
            <w:shd w:val="clear" w:color="auto" w:fill="1F3864"/>
          </w:tcPr>
          <w:p>
            <w:pPr>
              <w:spacing w:after="0"/>
            </w:pPr>
            <w:r>
              <w:rPr>
                <w:b/>
                <w:color w:val="FFFFFF"/>
                <w:sz w:val="16"/>
              </w:rPr>
              <w:t>Df</w:t>
            </w:r>
          </w:p>
        </w:tc>
        <w:tc>
          <w:tcPr>
            <w:tcW w:type="dxa" w:w="510"/>
            <w:shd w:val="clear" w:color="auto" w:fill="1F3864"/>
          </w:tcPr>
          <w:p>
            <w:pPr>
              <w:spacing w:after="0"/>
            </w:pPr>
            <w:r>
              <w:rPr>
                <w:b/>
                <w:color w:val="FFFFFF"/>
                <w:sz w:val="16"/>
              </w:rPr>
              <w:t>PoF</w:t>
            </w:r>
          </w:p>
        </w:tc>
        <w:tc>
          <w:tcPr>
            <w:tcW w:type="dxa" w:w="510"/>
            <w:shd w:val="clear" w:color="auto" w:fill="1F3864"/>
          </w:tcPr>
          <w:p>
            <w:pPr>
              <w:spacing w:after="0"/>
            </w:pPr>
            <w:r>
              <w:rPr>
                <w:b/>
                <w:color w:val="FFFFFF"/>
                <w:sz w:val="16"/>
              </w:rPr>
              <w:t>CoF</w:t>
            </w:r>
          </w:p>
        </w:tc>
        <w:tc>
          <w:tcPr>
            <w:tcW w:type="dxa" w:w="567"/>
            <w:shd w:val="clear" w:color="auto" w:fill="1F3864"/>
          </w:tcPr>
          <w:p>
            <w:pPr>
              <w:spacing w:after="0"/>
            </w:pPr>
            <w:r>
              <w:rPr>
                <w:b/>
                <w:color w:val="FFFFFF"/>
                <w:sz w:val="16"/>
              </w:rPr>
              <w:t>Nivel</w:t>
            </w:r>
          </w:p>
        </w:tc>
        <w:tc>
          <w:tcPr>
            <w:tcW w:type="dxa" w:w="850"/>
            <w:shd w:val="clear" w:color="auto" w:fill="1F3864"/>
          </w:tcPr>
          <w:p>
            <w:pPr>
              <w:spacing w:after="0"/>
            </w:pPr>
            <w:r>
              <w:rPr>
                <w:b/>
                <w:color w:val="FFFFFF"/>
                <w:sz w:val="16"/>
              </w:rPr>
              <w:t>EMV $/a</w:t>
            </w:r>
          </w:p>
        </w:tc>
        <w:tc>
          <w:tcPr>
            <w:tcW w:type="dxa" w:w="850"/>
            <w:shd w:val="clear" w:color="auto" w:fill="1F3864"/>
          </w:tcPr>
          <w:p>
            <w:pPr>
              <w:spacing w:after="0"/>
            </w:pPr>
            <w:r>
              <w:rPr>
                <w:b/>
                <w:color w:val="FFFFFF"/>
                <w:sz w:val="16"/>
              </w:rPr>
              <w:t>Δ cat. PoF</w:t>
            </w:r>
          </w:p>
        </w:tc>
        <w:tc>
          <w:tcPr>
            <w:tcW w:type="dxa" w:w="1701"/>
            <w:shd w:val="clear" w:color="auto" w:fill="1F3864"/>
          </w:tcPr>
          <w:p>
            <w:pPr>
              <w:spacing w:after="0"/>
            </w:pPr>
            <w:r>
              <w:rPr>
                <w:b/>
                <w:color w:val="FFFFFF"/>
                <w:sz w:val="16"/>
              </w:rPr>
              <w:t>Riesgo evitado vs N $/a</w:t>
            </w:r>
          </w:p>
        </w:tc>
        <w:tc>
          <w:tcPr>
            <w:tcW w:type="dxa" w:w="1474"/>
            <w:shd w:val="clear" w:color="auto" w:fill="1F3864"/>
          </w:tcPr>
          <w:p>
            <w:pPr>
              <w:spacing w:after="0"/>
            </w:pPr>
            <w:r>
              <w:rPr>
                <w:b/>
                <w:color w:val="FFFFFF"/>
                <w:sz w:val="16"/>
              </w:rPr>
              <w:t>Costo de la acción $</w:t>
            </w:r>
          </w:p>
        </w:tc>
      </w:tr>
      <w:tr>
        <w:tc>
          <w:tcPr>
            <w:tcW w:type="dxa" w:w="2041"/>
          </w:tcPr>
          <w:p>
            <w:pPr>
              <w:spacing w:after="0"/>
            </w:pPr>
            <w:r>
              <w:rPr>
                <w:sz w:val="16"/>
              </w:rPr>
              <w:t>Inicial (paper) I</w:t>
            </w:r>
          </w:p>
        </w:tc>
        <w:tc>
          <w:tcPr>
            <w:tcW w:type="dxa" w:w="510"/>
          </w:tcPr>
          <w:p>
            <w:pPr>
              <w:spacing w:after="0"/>
            </w:pPr>
            <w:r>
              <w:rPr>
                <w:sz w:val="16"/>
              </w:rPr>
              <w:t>2023</w:t>
            </w:r>
          </w:p>
        </w:tc>
        <w:tc>
          <w:tcPr>
            <w:tcW w:type="dxa" w:w="624"/>
          </w:tcPr>
          <w:p>
            <w:pPr>
              <w:spacing w:after="0"/>
            </w:pPr>
            <w:r>
              <w:rPr>
                <w:sz w:val="16"/>
              </w:rPr>
              <w:t>1,00</w:t>
            </w:r>
          </w:p>
        </w:tc>
        <w:tc>
          <w:tcPr>
            <w:tcW w:type="dxa" w:w="510"/>
          </w:tcPr>
          <w:p>
            <w:pPr>
              <w:spacing w:after="0"/>
            </w:pPr>
            <w:r>
              <w:rPr>
                <w:sz w:val="16"/>
              </w:rPr>
              <w:t>1</w:t>
            </w:r>
          </w:p>
        </w:tc>
        <w:tc>
          <w:tcPr>
            <w:tcW w:type="dxa" w:w="510"/>
          </w:tcPr>
          <w:p>
            <w:pPr>
              <w:spacing w:after="0"/>
            </w:pPr>
            <w:r>
              <w:rPr>
                <w:sz w:val="16"/>
              </w:rPr>
              <w:t>C</w:t>
            </w:r>
          </w:p>
        </w:tc>
        <w:tc>
          <w:tcPr>
            <w:tcW w:type="dxa" w:w="567"/>
          </w:tcPr>
          <w:p>
            <w:pPr>
              <w:spacing w:after="0"/>
            </w:pPr>
            <w:r>
              <w:rPr>
                <w:sz w:val="16"/>
              </w:rPr>
              <w:t>N</w:t>
            </w:r>
          </w:p>
        </w:tc>
        <w:tc>
          <w:tcPr>
            <w:tcW w:type="dxa" w:w="850"/>
          </w:tcPr>
          <w:p>
            <w:pPr>
              <w:spacing w:after="0"/>
            </w:pPr>
            <w:r>
              <w:rPr>
                <w:sz w:val="16"/>
              </w:rPr>
              <w:t>7</w:t>
            </w:r>
          </w:p>
        </w:tc>
        <w:tc>
          <w:tcPr>
            <w:tcW w:type="dxa" w:w="850"/>
          </w:tcPr>
          <w:p>
            <w:pPr>
              <w:spacing w:after="0"/>
            </w:pPr>
            <w:r>
              <w:rPr>
                <w:sz w:val="16"/>
              </w:rPr>
              <w:t>-</w:t>
            </w:r>
          </w:p>
        </w:tc>
        <w:tc>
          <w:tcPr>
            <w:tcW w:type="dxa" w:w="1701"/>
          </w:tcPr>
          <w:p>
            <w:pPr>
              <w:spacing w:after="0"/>
            </w:pPr>
            <w:r>
              <w:rPr>
                <w:sz w:val="16"/>
              </w:rPr>
              <w:t>-</w:t>
            </w:r>
          </w:p>
        </w:tc>
        <w:tc>
          <w:tcPr>
            <w:tcW w:type="dxa" w:w="1474"/>
          </w:tcPr>
          <w:p>
            <w:pPr>
              <w:spacing w:after="0"/>
            </w:pPr>
            <w:r>
              <w:rPr>
                <w:sz w:val="16"/>
              </w:rPr>
              <w:t>0</w:t>
            </w:r>
          </w:p>
        </w:tc>
      </w:tr>
      <w:tr>
        <w:tc>
          <w:tcPr>
            <w:tcW w:type="dxa" w:w="2041"/>
          </w:tcPr>
          <w:p>
            <w:pPr>
              <w:spacing w:after="0"/>
            </w:pPr>
            <w:r>
              <w:rPr>
                <w:sz w:val="16"/>
              </w:rPr>
              <w:t>Sin inspección N</w:t>
            </w:r>
          </w:p>
        </w:tc>
        <w:tc>
          <w:tcPr>
            <w:tcW w:type="dxa" w:w="510"/>
          </w:tcPr>
          <w:p>
            <w:pPr>
              <w:spacing w:after="0"/>
            </w:pPr>
            <w:r>
              <w:rPr>
                <w:sz w:val="16"/>
              </w:rPr>
              <w:t>2036</w:t>
            </w:r>
          </w:p>
        </w:tc>
        <w:tc>
          <w:tcPr>
            <w:tcW w:type="dxa" w:w="624"/>
          </w:tcPr>
          <w:p>
            <w:pPr>
              <w:spacing w:after="0"/>
            </w:pPr>
            <w:r>
              <w:rPr>
                <w:sz w:val="16"/>
              </w:rPr>
              <w:t>83,23</w:t>
            </w:r>
          </w:p>
        </w:tc>
        <w:tc>
          <w:tcPr>
            <w:tcW w:type="dxa" w:w="510"/>
          </w:tcPr>
          <w:p>
            <w:pPr>
              <w:spacing w:after="0"/>
            </w:pPr>
            <w:r>
              <w:rPr>
                <w:sz w:val="16"/>
              </w:rPr>
              <w:t>4</w:t>
            </w:r>
          </w:p>
        </w:tc>
        <w:tc>
          <w:tcPr>
            <w:tcW w:type="dxa" w:w="510"/>
          </w:tcPr>
          <w:p>
            <w:pPr>
              <w:spacing w:after="0"/>
            </w:pPr>
            <w:r>
              <w:rPr>
                <w:sz w:val="16"/>
              </w:rPr>
              <w:t>C</w:t>
            </w:r>
          </w:p>
        </w:tc>
        <w:tc>
          <w:tcPr>
            <w:tcW w:type="dxa" w:w="567"/>
          </w:tcPr>
          <w:p>
            <w:pPr>
              <w:spacing w:after="0"/>
            </w:pPr>
            <w:r>
              <w:rPr>
                <w:sz w:val="16"/>
              </w:rPr>
              <w:t>M</w:t>
            </w:r>
          </w:p>
        </w:tc>
        <w:tc>
          <w:tcPr>
            <w:tcW w:type="dxa" w:w="850"/>
          </w:tcPr>
          <w:p>
            <w:pPr>
              <w:spacing w:after="0"/>
            </w:pPr>
            <w:r>
              <w:rPr>
                <w:sz w:val="16"/>
              </w:rPr>
              <w:t>548</w:t>
            </w:r>
          </w:p>
        </w:tc>
        <w:tc>
          <w:tcPr>
            <w:tcW w:type="dxa" w:w="850"/>
          </w:tcPr>
          <w:p>
            <w:pPr>
              <w:spacing w:after="0"/>
            </w:pPr>
            <w:r>
              <w:rPr>
                <w:sz w:val="16"/>
              </w:rPr>
              <w:t>0</w:t>
            </w:r>
          </w:p>
        </w:tc>
        <w:tc>
          <w:tcPr>
            <w:tcW w:type="dxa" w:w="1701"/>
          </w:tcPr>
          <w:p>
            <w:pPr>
              <w:spacing w:after="0"/>
            </w:pPr>
            <w:r>
              <w:rPr>
                <w:sz w:val="16"/>
              </w:rPr>
              <w:t>0</w:t>
            </w:r>
          </w:p>
        </w:tc>
        <w:tc>
          <w:tcPr>
            <w:tcW w:type="dxa" w:w="1474"/>
          </w:tcPr>
          <w:p>
            <w:pPr>
              <w:spacing w:after="0"/>
            </w:pPr>
            <w:r>
              <w:rPr>
                <w:sz w:val="16"/>
              </w:rPr>
              <w:t>0</w:t>
            </w:r>
          </w:p>
        </w:tc>
      </w:tr>
      <w:tr>
        <w:tc>
          <w:tcPr>
            <w:tcW w:type="dxa" w:w="2041"/>
          </w:tcPr>
          <w:p>
            <w:pPr>
              <w:spacing w:after="0"/>
            </w:pPr>
            <w:r>
              <w:rPr>
                <w:sz w:val="16"/>
              </w:rPr>
              <w:t>TBI T</w:t>
            </w:r>
          </w:p>
        </w:tc>
        <w:tc>
          <w:tcPr>
            <w:tcW w:type="dxa" w:w="510"/>
          </w:tcPr>
          <w:p>
            <w:pPr>
              <w:spacing w:after="0"/>
            </w:pPr>
            <w:r>
              <w:rPr>
                <w:sz w:val="16"/>
              </w:rPr>
              <w:t>2033</w:t>
            </w:r>
          </w:p>
        </w:tc>
        <w:tc>
          <w:tcPr>
            <w:tcW w:type="dxa" w:w="624"/>
          </w:tcPr>
          <w:p>
            <w:pPr>
              <w:spacing w:after="0"/>
            </w:pPr>
            <w:r>
              <w:rPr>
                <w:sz w:val="16"/>
              </w:rPr>
              <w:t>3,90</w:t>
            </w:r>
          </w:p>
        </w:tc>
        <w:tc>
          <w:tcPr>
            <w:tcW w:type="dxa" w:w="510"/>
          </w:tcPr>
          <w:p>
            <w:pPr>
              <w:spacing w:after="0"/>
            </w:pPr>
            <w:r>
              <w:rPr>
                <w:sz w:val="16"/>
              </w:rPr>
              <w:t>2</w:t>
            </w:r>
          </w:p>
        </w:tc>
        <w:tc>
          <w:tcPr>
            <w:tcW w:type="dxa" w:w="510"/>
          </w:tcPr>
          <w:p>
            <w:pPr>
              <w:spacing w:after="0"/>
            </w:pPr>
            <w:r>
              <w:rPr>
                <w:sz w:val="16"/>
              </w:rPr>
              <w:t>C</w:t>
            </w:r>
          </w:p>
        </w:tc>
        <w:tc>
          <w:tcPr>
            <w:tcW w:type="dxa" w:w="567"/>
          </w:tcPr>
          <w:p>
            <w:pPr>
              <w:spacing w:after="0"/>
            </w:pPr>
            <w:r>
              <w:rPr>
                <w:sz w:val="16"/>
              </w:rPr>
              <w:t>L</w:t>
            </w:r>
          </w:p>
        </w:tc>
        <w:tc>
          <w:tcPr>
            <w:tcW w:type="dxa" w:w="850"/>
          </w:tcPr>
          <w:p>
            <w:pPr>
              <w:spacing w:after="0"/>
            </w:pPr>
            <w:r>
              <w:rPr>
                <w:sz w:val="16"/>
              </w:rPr>
              <w:t>26</w:t>
            </w:r>
          </w:p>
        </w:tc>
        <w:tc>
          <w:tcPr>
            <w:tcW w:type="dxa" w:w="850"/>
          </w:tcPr>
          <w:p>
            <w:pPr>
              <w:spacing w:after="0"/>
            </w:pPr>
            <w:r>
              <w:rPr>
                <w:sz w:val="16"/>
              </w:rPr>
              <w:t>2</w:t>
            </w:r>
          </w:p>
        </w:tc>
        <w:tc>
          <w:tcPr>
            <w:tcW w:type="dxa" w:w="1701"/>
          </w:tcPr>
          <w:p>
            <w:pPr>
              <w:spacing w:after="0"/>
            </w:pPr>
            <w:r>
              <w:rPr>
                <w:sz w:val="16"/>
              </w:rPr>
              <w:t>522</w:t>
            </w:r>
          </w:p>
        </w:tc>
        <w:tc>
          <w:tcPr>
            <w:tcW w:type="dxa" w:w="1474"/>
          </w:tcPr>
          <w:p>
            <w:pPr>
              <w:spacing w:after="0"/>
            </w:pPr>
            <w:r>
              <w:rPr>
                <w:sz w:val="16"/>
              </w:rPr>
              <w:t>11.080</w:t>
            </w:r>
          </w:p>
        </w:tc>
      </w:tr>
      <w:tr>
        <w:tc>
          <w:tcPr>
            <w:tcW w:type="dxa" w:w="2041"/>
          </w:tcPr>
          <w:p>
            <w:pPr>
              <w:spacing w:after="0"/>
            </w:pPr>
            <w:r>
              <w:rPr>
                <w:sz w:val="16"/>
              </w:rPr>
              <w:t>RBI-2 (insp. B) R</w:t>
            </w:r>
          </w:p>
        </w:tc>
        <w:tc>
          <w:tcPr>
            <w:tcW w:type="dxa" w:w="510"/>
          </w:tcPr>
          <w:p>
            <w:pPr>
              <w:spacing w:after="0"/>
            </w:pPr>
            <w:r>
              <w:rPr>
                <w:sz w:val="16"/>
              </w:rPr>
              <w:t>2033</w:t>
            </w:r>
          </w:p>
        </w:tc>
        <w:tc>
          <w:tcPr>
            <w:tcW w:type="dxa" w:w="624"/>
          </w:tcPr>
          <w:p>
            <w:pPr>
              <w:spacing w:after="0"/>
            </w:pPr>
            <w:r>
              <w:rPr>
                <w:sz w:val="16"/>
              </w:rPr>
              <w:t>0,09</w:t>
            </w:r>
          </w:p>
        </w:tc>
        <w:tc>
          <w:tcPr>
            <w:tcW w:type="dxa" w:w="510"/>
          </w:tcPr>
          <w:p>
            <w:pPr>
              <w:spacing w:after="0"/>
            </w:pPr>
            <w:r>
              <w:rPr>
                <w:sz w:val="16"/>
              </w:rPr>
              <w:t>1</w:t>
            </w:r>
          </w:p>
        </w:tc>
        <w:tc>
          <w:tcPr>
            <w:tcW w:type="dxa" w:w="510"/>
          </w:tcPr>
          <w:p>
            <w:pPr>
              <w:spacing w:after="0"/>
            </w:pPr>
            <w:r>
              <w:rPr>
                <w:sz w:val="16"/>
              </w:rPr>
              <w:t>C</w:t>
            </w:r>
          </w:p>
        </w:tc>
        <w:tc>
          <w:tcPr>
            <w:tcW w:type="dxa" w:w="567"/>
          </w:tcPr>
          <w:p>
            <w:pPr>
              <w:spacing w:after="0"/>
            </w:pPr>
            <w:r>
              <w:rPr>
                <w:sz w:val="16"/>
              </w:rPr>
              <w:t>N</w:t>
            </w:r>
          </w:p>
        </w:tc>
        <w:tc>
          <w:tcPr>
            <w:tcW w:type="dxa" w:w="850"/>
          </w:tcPr>
          <w:p>
            <w:pPr>
              <w:spacing w:after="0"/>
            </w:pPr>
            <w:r>
              <w:rPr>
                <w:sz w:val="16"/>
              </w:rPr>
              <w:t>1</w:t>
            </w:r>
          </w:p>
        </w:tc>
        <w:tc>
          <w:tcPr>
            <w:tcW w:type="dxa" w:w="850"/>
          </w:tcPr>
          <w:p>
            <w:pPr>
              <w:spacing w:after="0"/>
            </w:pPr>
            <w:r>
              <w:rPr>
                <w:sz w:val="16"/>
              </w:rPr>
              <w:t>3</w:t>
            </w:r>
          </w:p>
        </w:tc>
        <w:tc>
          <w:tcPr>
            <w:tcW w:type="dxa" w:w="1701"/>
          </w:tcPr>
          <w:p>
            <w:pPr>
              <w:spacing w:after="0"/>
            </w:pPr>
            <w:r>
              <w:rPr>
                <w:sz w:val="16"/>
              </w:rPr>
              <w:t>547</w:t>
            </w:r>
          </w:p>
        </w:tc>
        <w:tc>
          <w:tcPr>
            <w:tcW w:type="dxa" w:w="1474"/>
          </w:tcPr>
          <w:p>
            <w:pPr>
              <w:spacing w:after="0"/>
            </w:pPr>
            <w:r>
              <w:rPr>
                <w:sz w:val="16"/>
              </w:rPr>
              <w:t>810</w:t>
            </w:r>
          </w:p>
        </w:tc>
      </w:tr>
      <w:tr>
        <w:tc>
          <w:tcPr>
            <w:tcW w:type="dxa" w:w="2041"/>
          </w:tcPr>
          <w:p>
            <w:pPr>
              <w:spacing w:after="0"/>
            </w:pPr>
            <w:r>
              <w:rPr>
                <w:sz w:val="16"/>
              </w:rPr>
              <w:t>FFS Nivel 2 apto F</w:t>
            </w:r>
          </w:p>
        </w:tc>
        <w:tc>
          <w:tcPr>
            <w:tcW w:type="dxa" w:w="510"/>
          </w:tcPr>
          <w:p>
            <w:pPr>
              <w:spacing w:after="0"/>
            </w:pPr>
            <w:r>
              <w:rPr>
                <w:sz w:val="16"/>
              </w:rPr>
              <w:t>2036</w:t>
            </w:r>
          </w:p>
        </w:tc>
        <w:tc>
          <w:tcPr>
            <w:tcW w:type="dxa" w:w="624"/>
          </w:tcPr>
          <w:p>
            <w:pPr>
              <w:spacing w:after="0"/>
            </w:pPr>
            <w:r>
              <w:rPr>
                <w:sz w:val="16"/>
              </w:rPr>
              <w:t>3,00</w:t>
            </w:r>
          </w:p>
        </w:tc>
        <w:tc>
          <w:tcPr>
            <w:tcW w:type="dxa" w:w="510"/>
          </w:tcPr>
          <w:p>
            <w:pPr>
              <w:spacing w:after="0"/>
            </w:pPr>
            <w:r>
              <w:rPr>
                <w:sz w:val="16"/>
              </w:rPr>
              <w:t>2</w:t>
            </w:r>
          </w:p>
        </w:tc>
        <w:tc>
          <w:tcPr>
            <w:tcW w:type="dxa" w:w="510"/>
          </w:tcPr>
          <w:p>
            <w:pPr>
              <w:spacing w:after="0"/>
            </w:pPr>
            <w:r>
              <w:rPr>
                <w:sz w:val="16"/>
              </w:rPr>
              <w:t>C</w:t>
            </w:r>
          </w:p>
        </w:tc>
        <w:tc>
          <w:tcPr>
            <w:tcW w:type="dxa" w:w="567"/>
          </w:tcPr>
          <w:p>
            <w:pPr>
              <w:spacing w:after="0"/>
            </w:pPr>
            <w:r>
              <w:rPr>
                <w:sz w:val="16"/>
              </w:rPr>
              <w:t>L</w:t>
            </w:r>
          </w:p>
        </w:tc>
        <w:tc>
          <w:tcPr>
            <w:tcW w:type="dxa" w:w="850"/>
          </w:tcPr>
          <w:p>
            <w:pPr>
              <w:spacing w:after="0"/>
            </w:pPr>
            <w:r>
              <w:rPr>
                <w:sz w:val="16"/>
              </w:rPr>
              <w:t>20</w:t>
            </w:r>
          </w:p>
        </w:tc>
        <w:tc>
          <w:tcPr>
            <w:tcW w:type="dxa" w:w="850"/>
          </w:tcPr>
          <w:p>
            <w:pPr>
              <w:spacing w:after="0"/>
            </w:pPr>
            <w:r>
              <w:rPr>
                <w:sz w:val="16"/>
              </w:rPr>
              <w:t>2</w:t>
            </w:r>
          </w:p>
        </w:tc>
        <w:tc>
          <w:tcPr>
            <w:tcW w:type="dxa" w:w="1701"/>
          </w:tcPr>
          <w:p>
            <w:pPr>
              <w:spacing w:after="0"/>
            </w:pPr>
            <w:r>
              <w:rPr>
                <w:sz w:val="16"/>
              </w:rPr>
              <w:t>528</w:t>
            </w:r>
          </w:p>
        </w:tc>
        <w:tc>
          <w:tcPr>
            <w:tcW w:type="dxa" w:w="1474"/>
          </w:tcPr>
          <w:p>
            <w:pPr>
              <w:spacing w:after="0"/>
            </w:pPr>
            <w:r>
              <w:rPr>
                <w:sz w:val="16"/>
              </w:rPr>
              <w:t>15.000</w:t>
            </w:r>
          </w:p>
        </w:tc>
      </w:tr>
      <w:tr>
        <w:tc>
          <w:tcPr>
            <w:tcW w:type="dxa" w:w="2041"/>
          </w:tcPr>
          <w:p>
            <w:pPr>
              <w:spacing w:after="0"/>
            </w:pPr>
            <w:r>
              <w:rPr>
                <w:sz w:val="16"/>
              </w:rPr>
              <w:t>FFS no apto + reparación X</w:t>
            </w:r>
          </w:p>
        </w:tc>
        <w:tc>
          <w:tcPr>
            <w:tcW w:type="dxa" w:w="510"/>
          </w:tcPr>
          <w:p>
            <w:pPr>
              <w:spacing w:after="0"/>
            </w:pPr>
            <w:r>
              <w:rPr>
                <w:sz w:val="16"/>
              </w:rPr>
              <w:t>2036</w:t>
            </w:r>
          </w:p>
        </w:tc>
        <w:tc>
          <w:tcPr>
            <w:tcW w:type="dxa" w:w="624"/>
          </w:tcPr>
          <w:p>
            <w:pPr>
              <w:spacing w:after="0"/>
            </w:pPr>
            <w:r>
              <w:rPr>
                <w:sz w:val="16"/>
              </w:rPr>
              <w:t>1,00</w:t>
            </w:r>
          </w:p>
        </w:tc>
        <w:tc>
          <w:tcPr>
            <w:tcW w:type="dxa" w:w="510"/>
          </w:tcPr>
          <w:p>
            <w:pPr>
              <w:spacing w:after="0"/>
            </w:pPr>
            <w:r>
              <w:rPr>
                <w:sz w:val="16"/>
              </w:rPr>
              <w:t>1</w:t>
            </w:r>
          </w:p>
        </w:tc>
        <w:tc>
          <w:tcPr>
            <w:tcW w:type="dxa" w:w="510"/>
          </w:tcPr>
          <w:p>
            <w:pPr>
              <w:spacing w:after="0"/>
            </w:pPr>
            <w:r>
              <w:rPr>
                <w:sz w:val="16"/>
              </w:rPr>
              <w:t>C</w:t>
            </w:r>
          </w:p>
        </w:tc>
        <w:tc>
          <w:tcPr>
            <w:tcW w:type="dxa" w:w="567"/>
          </w:tcPr>
          <w:p>
            <w:pPr>
              <w:spacing w:after="0"/>
            </w:pPr>
            <w:r>
              <w:rPr>
                <w:sz w:val="16"/>
              </w:rPr>
              <w:t>N</w:t>
            </w:r>
          </w:p>
        </w:tc>
        <w:tc>
          <w:tcPr>
            <w:tcW w:type="dxa" w:w="850"/>
          </w:tcPr>
          <w:p>
            <w:pPr>
              <w:spacing w:after="0"/>
            </w:pPr>
            <w:r>
              <w:rPr>
                <w:sz w:val="16"/>
              </w:rPr>
              <w:t>7</w:t>
            </w:r>
          </w:p>
        </w:tc>
        <w:tc>
          <w:tcPr>
            <w:tcW w:type="dxa" w:w="850"/>
          </w:tcPr>
          <w:p>
            <w:pPr>
              <w:spacing w:after="0"/>
            </w:pPr>
            <w:r>
              <w:rPr>
                <w:sz w:val="16"/>
              </w:rPr>
              <w:t>3</w:t>
            </w:r>
          </w:p>
        </w:tc>
        <w:tc>
          <w:tcPr>
            <w:tcW w:type="dxa" w:w="1701"/>
          </w:tcPr>
          <w:p>
            <w:pPr>
              <w:spacing w:after="0"/>
            </w:pPr>
            <w:r>
              <w:rPr>
                <w:sz w:val="16"/>
              </w:rPr>
              <w:t>541</w:t>
            </w:r>
          </w:p>
        </w:tc>
        <w:tc>
          <w:tcPr>
            <w:tcW w:type="dxa" w:w="1474"/>
          </w:tcPr>
          <w:p>
            <w:pPr>
              <w:spacing w:after="0"/>
            </w:pPr>
            <w:r>
              <w:rPr>
                <w:sz w:val="16"/>
              </w:rPr>
              <w:t>55.000</w:t>
            </w:r>
          </w:p>
        </w:tc>
      </w:tr>
    </w:tbl>
    <w:p>
      <w:pPr>
        <w:spacing w:after="0"/>
      </w:pPr>
    </w:p>
    <w:p>
      <w:r>
        <w:rPr>
          <w:b w:val="0"/>
          <w:i w:val="0"/>
        </w:rPr>
        <w:t>Lectura: sin inspección el equipo pasa de 1C (N) a 4C (M en la matriz Ecopetrol; la matriz API del paper lo excedería). RBI lo devuelve a 1C (−3 categorías, −2 niveles); un FFS apto lo lleva a 2C (L). En $, el riesgo evitado es de ~500 $/año: menos que el costo del FFS (15.000 $). Con consecuencia C, la acción se justifica por cumplir el target y por seguridad, no por ahorro de riesgo. La matriz es la corporativa de Ecopetrol (plantilla VRS); las categorías de probabilidad usan rangos de Df de memoria (PENDIENTE).</w:t>
      </w:r>
    </w:p>
    <w:p>
      <w:pPr>
        <w:keepNext/>
        <w:spacing w:before="80" w:after="30"/>
      </w:pPr>
      <w:r>
        <w:rPr>
          <w:b/>
          <w:color w:val="1F3864"/>
          <w:sz w:val="23"/>
        </w:rPr>
        <w:t>8. Validación contra Oropallo</w:t>
      </w:r>
    </w:p>
    <w:tbl>
      <w:tblPr>
        <w:tblStyle w:val="TableGrid"/>
        <w:tblW w:type="auto" w:w="0"/>
        <w:tblLook w:firstColumn="1" w:firstRow="1" w:lastColumn="0" w:lastRow="0" w:noHBand="0" w:noVBand="1" w:val="04A0"/>
      </w:tblPr>
      <w:tblGrid>
        <w:gridCol w:w="2635"/>
        <w:gridCol w:w="2635"/>
        <w:gridCol w:w="2635"/>
        <w:gridCol w:w="2635"/>
      </w:tblGrid>
      <w:tr>
        <w:tc>
          <w:tcPr>
            <w:tcW w:type="dxa" w:w="3742"/>
            <w:shd w:val="clear" w:color="auto" w:fill="1F3864"/>
          </w:tcPr>
          <w:p>
            <w:pPr>
              <w:spacing w:after="0"/>
            </w:pPr>
            <w:r>
              <w:rPr>
                <w:b/>
                <w:color w:val="FFFFFF"/>
                <w:sz w:val="16"/>
              </w:rPr>
              <w:t>Comprobación</w:t>
            </w:r>
          </w:p>
        </w:tc>
        <w:tc>
          <w:tcPr>
            <w:tcW w:type="dxa" w:w="1928"/>
            <w:shd w:val="clear" w:color="auto" w:fill="1F3864"/>
          </w:tcPr>
          <w:p>
            <w:pPr>
              <w:spacing w:after="0"/>
            </w:pPr>
            <w:r>
              <w:rPr>
                <w:b/>
                <w:color w:val="FFFFFF"/>
                <w:sz w:val="16"/>
              </w:rPr>
              <w:t>Modelo</w:t>
            </w:r>
          </w:p>
        </w:tc>
        <w:tc>
          <w:tcPr>
            <w:tcW w:type="dxa" w:w="1871"/>
            <w:shd w:val="clear" w:color="auto" w:fill="1F3864"/>
          </w:tcPr>
          <w:p>
            <w:pPr>
              <w:spacing w:after="0"/>
            </w:pPr>
            <w:r>
              <w:rPr>
                <w:b/>
                <w:color w:val="FFFFFF"/>
                <w:sz w:val="16"/>
              </w:rPr>
              <w:t>Paper</w:t>
            </w:r>
          </w:p>
        </w:tc>
        <w:tc>
          <w:tcPr>
            <w:tcW w:type="dxa" w:w="2948"/>
            <w:shd w:val="clear" w:color="auto" w:fill="1F3864"/>
          </w:tcPr>
          <w:p>
            <w:pPr>
              <w:spacing w:after="0"/>
            </w:pPr>
            <w:r>
              <w:rPr>
                <w:b/>
                <w:color w:val="FFFFFF"/>
                <w:sz w:val="16"/>
              </w:rPr>
              <w:t>Estado</w:t>
            </w:r>
          </w:p>
        </w:tc>
      </w:tr>
      <w:tr>
        <w:tc>
          <w:tcPr>
            <w:tcW w:type="dxa" w:w="3742"/>
          </w:tcPr>
          <w:p>
            <w:pPr>
              <w:spacing w:after="0"/>
            </w:pPr>
            <w:r>
              <w:rPr>
                <w:sz w:val="16"/>
              </w:rPr>
              <w:t>1C dentro del target (matriz Ecopetrol)</w:t>
            </w:r>
          </w:p>
        </w:tc>
        <w:tc>
          <w:tcPr>
            <w:tcW w:type="dxa" w:w="1928"/>
          </w:tcPr>
          <w:p>
            <w:pPr>
              <w:spacing w:after="0"/>
            </w:pPr>
            <w:r>
              <w:rPr>
                <w:sz w:val="16"/>
              </w:rPr>
              <w:t>N</w:t>
            </w:r>
          </w:p>
        </w:tc>
        <w:tc>
          <w:tcPr>
            <w:tcW w:type="dxa" w:w="1871"/>
          </w:tcPr>
          <w:p>
            <w:pPr>
              <w:spacing w:after="0"/>
            </w:pPr>
            <w:r>
              <w:rPr>
                <w:sz w:val="16"/>
              </w:rPr>
              <w:t>Medio</w:t>
            </w:r>
          </w:p>
        </w:tc>
        <w:tc>
          <w:tcPr>
            <w:tcW w:type="dxa" w:w="2948"/>
          </w:tcPr>
          <w:p>
            <w:pPr>
              <w:spacing w:after="0"/>
            </w:pPr>
            <w:r>
              <w:rPr>
                <w:sz w:val="16"/>
              </w:rPr>
              <w:t>OK</w:t>
            </w:r>
          </w:p>
        </w:tc>
      </w:tr>
      <w:tr>
        <w:tc>
          <w:tcPr>
            <w:tcW w:type="dxa" w:w="3742"/>
          </w:tcPr>
          <w:p>
            <w:pPr>
              <w:spacing w:after="0"/>
            </w:pPr>
            <w:r>
              <w:rPr>
                <w:sz w:val="16"/>
              </w:rPr>
              <w:t>3C en la matriz Ecopetrol</w:t>
            </w:r>
          </w:p>
        </w:tc>
        <w:tc>
          <w:tcPr>
            <w:tcW w:type="dxa" w:w="1928"/>
          </w:tcPr>
          <w:p>
            <w:pPr>
              <w:spacing w:after="0"/>
            </w:pPr>
            <w:r>
              <w:rPr>
                <w:sz w:val="16"/>
              </w:rPr>
              <w:t>M</w:t>
            </w:r>
          </w:p>
        </w:tc>
        <w:tc>
          <w:tcPr>
            <w:tcW w:type="dxa" w:w="1871"/>
          </w:tcPr>
          <w:p>
            <w:pPr>
              <w:spacing w:after="0"/>
            </w:pPr>
            <w:r>
              <w:rPr>
                <w:sz w:val="16"/>
              </w:rPr>
              <w:t>M (límite)</w:t>
            </w:r>
          </w:p>
        </w:tc>
        <w:tc>
          <w:tcPr>
            <w:tcW w:type="dxa" w:w="2948"/>
          </w:tcPr>
          <w:p>
            <w:pPr>
              <w:spacing w:after="0"/>
            </w:pPr>
            <w:r>
              <w:rPr>
                <w:sz w:val="16"/>
              </w:rPr>
              <w:t>OK</w:t>
            </w:r>
          </w:p>
        </w:tc>
      </w:tr>
      <w:tr>
        <w:tc>
          <w:tcPr>
            <w:tcW w:type="dxa" w:w="3742"/>
          </w:tcPr>
          <w:p>
            <w:pPr>
              <w:spacing w:after="0"/>
            </w:pPr>
            <w:r>
              <w:rPr>
                <w:sz w:val="16"/>
              </w:rPr>
              <w:t>4C: Ecopetrol M; matriz API del paper lo excede</w:t>
            </w:r>
          </w:p>
        </w:tc>
        <w:tc>
          <w:tcPr>
            <w:tcW w:type="dxa" w:w="1928"/>
          </w:tcPr>
          <w:p>
            <w:pPr>
              <w:spacing w:after="0"/>
            </w:pPr>
            <w:r>
              <w:rPr>
                <w:sz w:val="16"/>
              </w:rPr>
              <w:t>M</w:t>
            </w:r>
          </w:p>
        </w:tc>
        <w:tc>
          <w:tcPr>
            <w:tcW w:type="dxa" w:w="1871"/>
          </w:tcPr>
          <w:p>
            <w:pPr>
              <w:spacing w:after="0"/>
            </w:pPr>
            <w:r>
              <w:rPr>
                <w:sz w:val="16"/>
              </w:rPr>
              <w:t>excede</w:t>
            </w:r>
          </w:p>
        </w:tc>
        <w:tc>
          <w:tcPr>
            <w:tcW w:type="dxa" w:w="2948"/>
          </w:tcPr>
          <w:p>
            <w:pPr>
              <w:spacing w:after="0"/>
            </w:pPr>
            <w:r>
              <w:rPr>
                <w:sz w:val="16"/>
              </w:rPr>
              <w:t>DIFERENCIA DE MATRIZ</w:t>
            </w:r>
          </w:p>
        </w:tc>
      </w:tr>
      <w:tr>
        <w:tc>
          <w:tcPr>
            <w:tcW w:type="dxa" w:w="3742"/>
          </w:tcPr>
          <w:p>
            <w:pPr>
              <w:spacing w:after="0"/>
            </w:pPr>
            <w:r>
              <w:rPr>
                <w:sz w:val="16"/>
              </w:rPr>
              <w:t>FC en categoría C</w:t>
            </w:r>
          </w:p>
        </w:tc>
        <w:tc>
          <w:tcPr>
            <w:tcW w:type="dxa" w:w="1928"/>
          </w:tcPr>
          <w:p>
            <w:pPr>
              <w:spacing w:after="0"/>
            </w:pPr>
            <w:r>
              <w:rPr>
                <w:sz w:val="16"/>
              </w:rPr>
              <w:t>C</w:t>
            </w:r>
          </w:p>
        </w:tc>
        <w:tc>
          <w:tcPr>
            <w:tcW w:type="dxa" w:w="1871"/>
          </w:tcPr>
          <w:p>
            <w:pPr>
              <w:spacing w:after="0"/>
            </w:pPr>
            <w:r>
              <w:rPr>
                <w:sz w:val="16"/>
              </w:rPr>
              <w:t>C</w:t>
            </w:r>
          </w:p>
        </w:tc>
        <w:tc>
          <w:tcPr>
            <w:tcW w:type="dxa" w:w="2948"/>
          </w:tcPr>
          <w:p>
            <w:pPr>
              <w:spacing w:after="0"/>
            </w:pPr>
            <w:r>
              <w:rPr>
                <w:sz w:val="16"/>
              </w:rPr>
              <w:t>OK</w:t>
            </w:r>
          </w:p>
        </w:tc>
      </w:tr>
      <w:tr>
        <w:tc>
          <w:tcPr>
            <w:tcW w:type="dxa" w:w="3742"/>
          </w:tcPr>
          <w:p>
            <w:pPr>
              <w:spacing w:after="0"/>
            </w:pPr>
            <w:r>
              <w:rPr>
                <w:sz w:val="16"/>
              </w:rPr>
              <w:t>6 h de paro = 10.000 $</w:t>
            </w:r>
          </w:p>
        </w:tc>
        <w:tc>
          <w:tcPr>
            <w:tcW w:type="dxa" w:w="1928"/>
          </w:tcPr>
          <w:p>
            <w:pPr>
              <w:spacing w:after="0"/>
            </w:pPr>
            <w:r>
              <w:rPr>
                <w:sz w:val="16"/>
              </w:rPr>
              <w:t>10.000</w:t>
            </w:r>
          </w:p>
        </w:tc>
        <w:tc>
          <w:tcPr>
            <w:tcW w:type="dxa" w:w="1871"/>
          </w:tcPr>
          <w:p>
            <w:pPr>
              <w:spacing w:after="0"/>
            </w:pPr>
            <w:r>
              <w:rPr>
                <w:sz w:val="16"/>
              </w:rPr>
              <w:t>10.000</w:t>
            </w:r>
          </w:p>
        </w:tc>
        <w:tc>
          <w:tcPr>
            <w:tcW w:type="dxa" w:w="2948"/>
          </w:tcPr>
          <w:p>
            <w:pPr>
              <w:spacing w:after="0"/>
            </w:pPr>
            <w:r>
              <w:rPr>
                <w:sz w:val="16"/>
              </w:rPr>
              <w:t>OK</w:t>
            </w:r>
          </w:p>
        </w:tc>
      </w:tr>
      <w:tr>
        <w:tc>
          <w:tcPr>
            <w:tcW w:type="dxa" w:w="3742"/>
          </w:tcPr>
          <w:p>
            <w:pPr>
              <w:spacing w:after="0"/>
            </w:pPr>
            <w:r>
              <w:rPr>
                <w:sz w:val="16"/>
              </w:rPr>
              <w:t>TBI intrusiva / no intrusiva</w:t>
            </w:r>
          </w:p>
        </w:tc>
        <w:tc>
          <w:tcPr>
            <w:tcW w:type="dxa" w:w="1928"/>
          </w:tcPr>
          <w:p>
            <w:pPr>
              <w:spacing w:after="0"/>
            </w:pPr>
            <w:r>
              <w:rPr>
                <w:sz w:val="16"/>
              </w:rPr>
              <w:t>43.360 / 3.840</w:t>
            </w:r>
          </w:p>
        </w:tc>
        <w:tc>
          <w:tcPr>
            <w:tcW w:type="dxa" w:w="1871"/>
          </w:tcPr>
          <w:p>
            <w:pPr>
              <w:spacing w:after="0"/>
            </w:pPr>
            <w:r>
              <w:rPr>
                <w:sz w:val="16"/>
              </w:rPr>
              <w:t>43.360 / 3.840</w:t>
            </w:r>
          </w:p>
        </w:tc>
        <w:tc>
          <w:tcPr>
            <w:tcW w:type="dxa" w:w="2948"/>
          </w:tcPr>
          <w:p>
            <w:pPr>
              <w:spacing w:after="0"/>
            </w:pPr>
            <w:r>
              <w:rPr>
                <w:sz w:val="16"/>
              </w:rPr>
              <w:t>OK</w:t>
            </w:r>
          </w:p>
        </w:tc>
      </w:tr>
      <w:tr>
        <w:tc>
          <w:tcPr>
            <w:tcW w:type="dxa" w:w="3742"/>
          </w:tcPr>
          <w:p>
            <w:pPr>
              <w:spacing w:after="0"/>
            </w:pPr>
            <w:r>
              <w:rPr>
                <w:sz w:val="16"/>
              </w:rPr>
              <w:t>RBI-1 intrusiva</w:t>
            </w:r>
          </w:p>
        </w:tc>
        <w:tc>
          <w:tcPr>
            <w:tcW w:type="dxa" w:w="1928"/>
          </w:tcPr>
          <w:p>
            <w:pPr>
              <w:spacing w:after="0"/>
            </w:pPr>
            <w:r>
              <w:rPr>
                <w:sz w:val="16"/>
              </w:rPr>
              <w:t>11.650</w:t>
            </w:r>
          </w:p>
        </w:tc>
        <w:tc>
          <w:tcPr>
            <w:tcW w:type="dxa" w:w="1871"/>
          </w:tcPr>
          <w:p>
            <w:pPr>
              <w:spacing w:after="0"/>
            </w:pPr>
            <w:r>
              <w:rPr>
                <w:sz w:val="16"/>
              </w:rPr>
              <w:t>11.650</w:t>
            </w:r>
          </w:p>
        </w:tc>
        <w:tc>
          <w:tcPr>
            <w:tcW w:type="dxa" w:w="2948"/>
          </w:tcPr>
          <w:p>
            <w:pPr>
              <w:spacing w:after="0"/>
            </w:pPr>
            <w:r>
              <w:rPr>
                <w:sz w:val="16"/>
              </w:rPr>
              <w:t>OK</w:t>
            </w:r>
          </w:p>
        </w:tc>
      </w:tr>
      <w:tr>
        <w:tc>
          <w:tcPr>
            <w:tcW w:type="dxa" w:w="3742"/>
          </w:tcPr>
          <w:p>
            <w:pPr>
              <w:spacing w:after="0"/>
            </w:pPr>
            <w:r>
              <w:rPr>
                <w:sz w:val="16"/>
              </w:rPr>
              <w:t>RBI-2 intrusiva</w:t>
            </w:r>
          </w:p>
        </w:tc>
        <w:tc>
          <w:tcPr>
            <w:tcW w:type="dxa" w:w="1928"/>
          </w:tcPr>
          <w:p>
            <w:pPr>
              <w:spacing w:after="0"/>
            </w:pPr>
            <w:r>
              <w:rPr>
                <w:sz w:val="16"/>
              </w:rPr>
              <w:t>1.410</w:t>
            </w:r>
          </w:p>
        </w:tc>
        <w:tc>
          <w:tcPr>
            <w:tcW w:type="dxa" w:w="1871"/>
          </w:tcPr>
          <w:p>
            <w:pPr>
              <w:spacing w:after="0"/>
            </w:pPr>
            <w:r>
              <w:rPr>
                <w:sz w:val="16"/>
              </w:rPr>
              <w:t>1.170</w:t>
            </w:r>
          </w:p>
        </w:tc>
        <w:tc>
          <w:tcPr>
            <w:tcW w:type="dxa" w:w="2948"/>
          </w:tcPr>
          <w:p>
            <w:pPr>
              <w:spacing w:after="0"/>
            </w:pPr>
            <w:r>
              <w:rPr>
                <w:sz w:val="16"/>
              </w:rPr>
              <w:t>INCONSISTENTE</w:t>
            </w:r>
          </w:p>
        </w:tc>
      </w:tr>
      <w:tr>
        <w:tc>
          <w:tcPr>
            <w:tcW w:type="dxa" w:w="3742"/>
          </w:tcPr>
          <w:p>
            <w:pPr>
              <w:spacing w:after="0"/>
            </w:pPr>
            <w:r>
              <w:rPr>
                <w:sz w:val="16"/>
              </w:rPr>
              <w:t>RBI-1 no intrusiva</w:t>
            </w:r>
          </w:p>
        </w:tc>
        <w:tc>
          <w:tcPr>
            <w:tcW w:type="dxa" w:w="1928"/>
          </w:tcPr>
          <w:p>
            <w:pPr>
              <w:spacing w:after="0"/>
            </w:pPr>
            <w:r>
              <w:rPr>
                <w:sz w:val="16"/>
              </w:rPr>
              <w:t>2.010</w:t>
            </w:r>
          </w:p>
        </w:tc>
        <w:tc>
          <w:tcPr>
            <w:tcW w:type="dxa" w:w="1871"/>
          </w:tcPr>
          <w:p>
            <w:pPr>
              <w:spacing w:after="0"/>
            </w:pPr>
            <w:r>
              <w:rPr>
                <w:sz w:val="16"/>
              </w:rPr>
              <w:t>1.080</w:t>
            </w:r>
          </w:p>
        </w:tc>
        <w:tc>
          <w:tcPr>
            <w:tcW w:type="dxa" w:w="2948"/>
          </w:tcPr>
          <w:p>
            <w:pPr>
              <w:spacing w:after="0"/>
            </w:pPr>
            <w:r>
              <w:rPr>
                <w:sz w:val="16"/>
              </w:rPr>
              <w:t>INCONSISTENTE</w:t>
            </w:r>
          </w:p>
        </w:tc>
      </w:tr>
      <w:tr>
        <w:tc>
          <w:tcPr>
            <w:tcW w:type="dxa" w:w="3742"/>
          </w:tcPr>
          <w:p>
            <w:pPr>
              <w:spacing w:after="0"/>
            </w:pPr>
            <w:r>
              <w:rPr>
                <w:sz w:val="16"/>
              </w:rPr>
              <w:t>Tasa de corrosión</w:t>
            </w:r>
          </w:p>
        </w:tc>
        <w:tc>
          <w:tcPr>
            <w:tcW w:type="dxa" w:w="1928"/>
          </w:tcPr>
          <w:p>
            <w:pPr>
              <w:spacing w:after="0"/>
            </w:pPr>
            <w:r>
              <w:rPr>
                <w:sz w:val="16"/>
              </w:rPr>
              <w:t>0,202</w:t>
            </w:r>
          </w:p>
        </w:tc>
        <w:tc>
          <w:tcPr>
            <w:tcW w:type="dxa" w:w="1871"/>
          </w:tcPr>
          <w:p>
            <w:pPr>
              <w:spacing w:after="0"/>
            </w:pPr>
            <w:r>
              <w:rPr>
                <w:sz w:val="16"/>
              </w:rPr>
              <w:t>0,132</w:t>
            </w:r>
          </w:p>
        </w:tc>
        <w:tc>
          <w:tcPr>
            <w:tcW w:type="dxa" w:w="2948"/>
          </w:tcPr>
          <w:p>
            <w:pPr>
              <w:spacing w:after="0"/>
            </w:pPr>
            <w:r>
              <w:rPr>
                <w:sz w:val="16"/>
              </w:rPr>
              <w:t>INCONSISTENTE</w:t>
            </w:r>
          </w:p>
        </w:tc>
      </w:tr>
      <w:tr>
        <w:tc>
          <w:tcPr>
            <w:tcW w:type="dxa" w:w="3742"/>
          </w:tcPr>
          <w:p>
            <w:pPr>
              <w:spacing w:after="0"/>
            </w:pPr>
            <w:r>
              <w:rPr>
                <w:sz w:val="16"/>
              </w:rPr>
              <w:t>Motor Df (t_min 4 mm supuesto): Df 2023 → cat. 1</w:t>
            </w:r>
          </w:p>
        </w:tc>
        <w:tc>
          <w:tcPr>
            <w:tcW w:type="dxa" w:w="1928"/>
          </w:tcPr>
          <w:p>
            <w:pPr>
              <w:spacing w:after="0"/>
            </w:pPr>
            <w:r>
              <w:rPr>
                <w:sz w:val="16"/>
              </w:rPr>
              <w:t>0,7</w:t>
            </w:r>
          </w:p>
        </w:tc>
        <w:tc>
          <w:tcPr>
            <w:tcW w:type="dxa" w:w="1871"/>
          </w:tcPr>
          <w:p>
            <w:pPr>
              <w:spacing w:after="0"/>
            </w:pPr>
            <w:r>
              <w:rPr>
                <w:sz w:val="16"/>
              </w:rPr>
              <w:t>1C</w:t>
            </w:r>
          </w:p>
        </w:tc>
        <w:tc>
          <w:tcPr>
            <w:tcW w:type="dxa" w:w="2948"/>
          </w:tcPr>
          <w:p>
            <w:pPr>
              <w:spacing w:after="0"/>
            </w:pPr>
            <w:r>
              <w:rPr>
                <w:sz w:val="16"/>
              </w:rPr>
              <w:t>OK (parcial)</w:t>
            </w:r>
          </w:p>
        </w:tc>
      </w:tr>
      <w:tr>
        <w:tc>
          <w:tcPr>
            <w:tcW w:type="dxa" w:w="3742"/>
          </w:tcPr>
          <w:p>
            <w:pPr>
              <w:spacing w:after="0"/>
            </w:pPr>
            <w:r>
              <w:rPr>
                <w:sz w:val="16"/>
              </w:rPr>
              <w:t>Df CUI cruza 30 / 1.ª insp. CUI</w:t>
            </w:r>
          </w:p>
        </w:tc>
        <w:tc>
          <w:tcPr>
            <w:tcW w:type="dxa" w:w="1928"/>
          </w:tcPr>
          <w:p>
            <w:pPr>
              <w:spacing w:after="0"/>
            </w:pPr>
            <w:r>
              <w:rPr>
                <w:sz w:val="16"/>
              </w:rPr>
              <w:t>2028</w:t>
            </w:r>
          </w:p>
        </w:tc>
        <w:tc>
          <w:tcPr>
            <w:tcW w:type="dxa" w:w="1871"/>
          </w:tcPr>
          <w:p>
            <w:pPr>
              <w:spacing w:after="0"/>
            </w:pPr>
            <w:r>
              <w:rPr>
                <w:sz w:val="16"/>
              </w:rPr>
              <w:t>2032–2033</w:t>
            </w:r>
          </w:p>
        </w:tc>
        <w:tc>
          <w:tcPr>
            <w:tcW w:type="dxa" w:w="2948"/>
          </w:tcPr>
          <w:p>
            <w:pPr>
              <w:spacing w:after="0"/>
            </w:pPr>
            <w:r>
              <w:rPr>
                <w:sz w:val="16"/>
              </w:rPr>
              <w:t>DIFERENCIA (t_min, recubrimiento)</w:t>
            </w:r>
          </w:p>
        </w:tc>
      </w:tr>
    </w:tbl>
    <w:p>
      <w:pPr>
        <w:spacing w:after="0"/>
      </w:pPr>
    </w:p>
    <w:p>
      <w:pPr>
        <w:keepNext/>
        <w:spacing w:before="80" w:after="30"/>
      </w:pPr>
      <w:r>
        <w:rPr>
          <w:b/>
          <w:color w:val="1F3864"/>
          <w:sz w:val="23"/>
        </w:rPr>
        <w:t>9. Extrapolación a recipientes de Barrancabermeja (250.000 bbl/d y 52 unidades: datos suyos)</w:t>
      </w:r>
    </w:p>
    <w:p>
      <w:r>
        <w:rPr>
          <w:b w:val="0"/>
          <w:i w:val="0"/>
        </w:rPr>
        <w:t>Producción promedio por unidad = 4.808 bbl/d; con 8 $/bbl (supuesto) son ≈38.462 $/día, del orden de los 40.000 $/día del paper (relación 0,96): el orden de magnitud de FC_prod es razonable. Mecanismos: sulfidación y corrosión nafténica entran por adelgazamiento (§4) con velocidades de un estudio de corrosión (no hay tabla); CUI por §16 (según tablas del paper); NDE: UT/PAUT, radiografía de perfil, PEC. Ilustrativo con 2 equipos (U-200 agregado, V-220): VAN 1 año=-314.883 $, 10 años=4.106.476 $, SIR=3,09, ROI=209 %, payback 2029; solo 16 % es riesgo evitado. Escalar N vasijas es una cota superior ingenua.</w:t>
      </w:r>
    </w:p>
    <w:p>
      <w:r>
        <w:drawing>
          <wp:inline xmlns:a="http://schemas.openxmlformats.org/drawingml/2006/main" xmlns:pic="http://schemas.openxmlformats.org/drawingml/2006/picture">
            <wp:extent cx="3096000" cy="1720000"/>
            <wp:docPr id="2" name="Picture 2"/>
            <wp:cNvGraphicFramePr>
              <a:graphicFrameLocks noChangeAspect="1"/>
            </wp:cNvGraphicFramePr>
            <a:graphic>
              <a:graphicData uri="http://schemas.openxmlformats.org/drawingml/2006/picture">
                <pic:pic>
                  <pic:nvPicPr>
                    <pic:cNvPr id="0" name="fig_tor.png"/>
                    <pic:cNvPicPr/>
                  </pic:nvPicPr>
                  <pic:blipFill>
                    <a:blip r:embed="rId10"/>
                    <a:stretch>
                      <a:fillRect/>
                    </a:stretch>
                  </pic:blipFill>
                  <pic:spPr>
                    <a:xfrm>
                      <a:off x="0" y="0"/>
                      <a:ext cx="3096000" cy="1720000"/>
                    </a:xfrm>
                    <a:prstGeom prst="rect"/>
                  </pic:spPr>
                </pic:pic>
              </a:graphicData>
            </a:graphic>
          </wp:inline>
        </w:drawing>
      </w:r>
    </w:p>
    <w:p>
      <w:r>
        <w:br w:type="page"/>
      </w:r>
    </w:p>
    <w:p>
      <w:pPr>
        <w:keepNext/>
        <w:spacing w:before="80" w:after="30"/>
      </w:pPr>
      <w:r>
        <w:rPr>
          <w:b/>
          <w:color w:val="1F3864"/>
          <w:sz w:val="23"/>
        </w:rPr>
        <w:t>10. Respuestas clave</w:t>
      </w:r>
    </w:p>
    <w:p>
      <w:r>
        <w:rPr>
          <w:b/>
        </w:rPr>
        <w:t xml:space="preserve">¿Qué es α en la Eq. 2.16? </w:t>
      </w:r>
      <w:r>
        <w:t>En Oropallo no existe 'Eq. 2.16': el ratio de resistencia está en la Eq. 6 (p.5): SR_P = P·D/(α·FS·t_rd), donde α es el factor de forma geométrica del componente (2 para cilindro, p.5). Es consistente con σ_aro = P·D/(2t). La numeración '2.x' corresponde a la Parte 2 de API 581; allí SR_P aparece en el paso de resistencia del Df…</w:t>
      </w:r>
    </w:p>
    <w:p>
      <w:r>
        <w:rPr>
          <w:b/>
        </w:rPr>
        <w:t xml:space="preserve">¿Cómo actualiza una inspección NDE el DF? </w:t>
      </w:r>
      <w:r>
        <w:t>(1) Se definen 3 estados de daño (factores 1, 2, 4 sobre la tasa esperada, p.5). (2) Cada inspección, según su efectividad A–E (Tabla 1), actualiza las probabilidades a priori de cada estado con probabilidades condicionales → probabilidades posteriores Po_p1–3 (p.6). (3) Con el ratio A_rt y SR_P se calcula el índice β de cada es…</w:t>
      </w:r>
    </w:p>
    <w:p>
      <w:r>
        <w:rPr>
          <w:b/>
        </w:rPr>
        <w:t xml:space="preserve">¿Qué elementos son indispensables en RBI para evaluar beneficios? </w:t>
      </w:r>
      <w:r>
        <w:t>Mínimo para cuantificar beneficio económico: (a) POF = gff·Df·FMS por mecanismo de daño; (b) CoF financiera FC (5 componentes, Eq. 13); (c) efectividad y costo de cada inspección/mitigación (Tablas 1, 4, 5); (d) plan en el tiempo y risk target (Fig. 5, p.9); (e) evergreening; (f) costos de paro planificado; (g) tasa de descuento…</w:t>
      </w:r>
    </w:p>
    <w:p>
      <w:r>
        <w:rPr>
          <w:b/>
        </w:rPr>
        <w:t xml:space="preserve">¿Cuál es el continuum de enfoques RBI? </w:t>
      </w:r>
      <w:r>
        <w:t>API 580 describe RBI como un continuo de cualitativo → semicuantitativo → cuantitativo (no tres cajas aisladas); API 581 es el extremo cuantitativo. Oropallo (p.4) describe los mismos tres tipos: cualitativo (puntajes subjetivos), semicuantitativo (intermedio) y cuantitativo (modelos numéricos). Un programa corporativo suele mez…</w:t>
      </w:r>
    </w:p>
    <w:p>
      <w:r>
        <w:rPr>
          <w:b/>
        </w:rPr>
        <w:t xml:space="preserve">¿Qué cambia con el Addendum 2019 sobre CA? </w:t>
      </w:r>
      <w:r>
        <w:t>No pude abrir el texto. Fuentes públicas reportan que las adendas de API 581 3.ª ed. modifican definiciones, ecuaciones y tablas, y que se eliminó el límite de 10.000 ft² en el área de consecuencia de COF Nivel 1 y 2 (límite pensado para derrames de líquido inflamable que propagaban fuego en charco). Existe un documento público …</w:t>
      </w:r>
    </w:p>
    <w:p>
      <w:r>
        <w:rPr>
          <w:b/>
        </w:rPr>
        <w:t xml:space="preserve">Diferencias Level 1 vs Level 2 de COF </w:t>
      </w:r>
      <w:r>
        <w:t>Level 1: método simplificado con fluidos representativos tabulados y ecuaciones cerradas de CA según tasa de fuga; adecuado para cribado de muchos equipos. Level 2: cálculo detallado con propiedades del fluido/mezcla, tasas y duraciones de fuga, mitigación y (para toxicidad) dispersión más rigurosa; para equipos críticos o donde…</w:t>
      </w:r>
    </w:p>
    <w:p>
      <w:r>
        <w:rPr>
          <w:b/>
        </w:rPr>
        <w:t xml:space="preserve">¿Qué significa GFF para riesgo 1C? </w:t>
      </w:r>
      <w:r>
        <w:t>1C = categoría de probabilidad 1 (la más baja) y de consecuencia financiera C. Con Df≈1, POF = gff·Df·FMS ≈ gff·FMS: el riesgo está en el piso definido por la frecuencia genérica y el sistema de gestión, no por daño activo. Implicación económica: en 1C casi no hay ΔEMV que capturar; el beneficio de RBI viene de inspeccionar meno…</w:t>
      </w:r>
    </w:p>
    <w:p>
      <w:r>
        <w:rPr>
          <w:b/>
        </w:rPr>
        <w:t xml:space="preserve">¿Cómo simular U-200? </w:t>
      </w:r>
      <w:r>
        <w:t>U-200 se trata como unidad agregada (modelo ILUSTRATIVO en Excel): 1) dividir en circuitos/equipos con Df propio (aquí: 25 componentes equivalentes, supuesto); 2) por cada uno gff, Df0(t) sin plan (TBI) y Df1(t) con plan RBI (NDE en operación, reparación dirigida); 3) CoF de unidad: FC_prod con el margen de toda la unidad (Eq. 1…</w:t>
      </w:r>
    </w:p>
    <w:p>
      <w:r>
        <w:rPr>
          <w:b/>
        </w:rPr>
        <w:t xml:space="preserve">¿Cómo aplicar FFS Nivel 3 a V-220? </w:t>
      </w:r>
      <w:r>
        <w:t>Secuencia: 1) identificar mecanismo (API 571) y medir (mapeo PAUT/UT de espesores, propiedades del material); 2) Niveles 1 y 2 (API 579-1 Partes 4/5/6 según el tipo de pérdida) – si no pasan, 3) Nivel 3: FEA elasto-plástico 3D del recipiente con la geometría degradada, criterio de colapso plástico y factor de resistencia remanen…</w:t>
      </w:r>
    </w:p>
    <w:p>
      <w:pPr>
        <w:keepNext/>
        <w:spacing w:before="80" w:after="30"/>
      </w:pPr>
      <w:r>
        <w:rPr>
          <w:b/>
          <w:color w:val="1F3864"/>
          <w:sz w:val="23"/>
        </w:rPr>
        <w:t>11. Literatura para integrar el VAN (DOI)</w:t>
      </w:r>
    </w:p>
    <w:tbl>
      <w:tblPr>
        <w:tblStyle w:val="TableGrid"/>
        <w:tblW w:type="auto" w:w="0"/>
        <w:tblLook w:firstColumn="1" w:firstRow="1" w:lastColumn="0" w:lastRow="0" w:noHBand="0" w:noVBand="1" w:val="04A0"/>
      </w:tblPr>
      <w:tblGrid>
        <w:gridCol w:w="3513"/>
        <w:gridCol w:w="3513"/>
        <w:gridCol w:w="3513"/>
      </w:tblGrid>
      <w:tr>
        <w:tc>
          <w:tcPr>
            <w:tcW w:type="dxa" w:w="3969"/>
            <w:shd w:val="clear" w:color="auto" w:fill="1F3864"/>
          </w:tcPr>
          <w:p>
            <w:pPr>
              <w:spacing w:after="0"/>
            </w:pPr>
            <w:r>
              <w:rPr>
                <w:b/>
                <w:color w:val="FFFFFF"/>
                <w:sz w:val="16"/>
              </w:rPr>
              <w:t>Referencia</w:t>
            </w:r>
          </w:p>
        </w:tc>
        <w:tc>
          <w:tcPr>
            <w:tcW w:type="dxa" w:w="3685"/>
            <w:shd w:val="clear" w:color="auto" w:fill="1F3864"/>
          </w:tcPr>
          <w:p>
            <w:pPr>
              <w:spacing w:after="0"/>
            </w:pPr>
            <w:r>
              <w:rPr>
                <w:b/>
                <w:color w:val="FFFFFF"/>
                <w:sz w:val="16"/>
              </w:rPr>
              <w:t>DOI / enlace</w:t>
            </w:r>
          </w:p>
        </w:tc>
        <w:tc>
          <w:tcPr>
            <w:tcW w:type="dxa" w:w="2835"/>
            <w:shd w:val="clear" w:color="auto" w:fill="1F3864"/>
          </w:tcPr>
          <w:p>
            <w:pPr>
              <w:spacing w:after="0"/>
            </w:pPr>
            <w:r>
              <w:rPr>
                <w:b/>
                <w:color w:val="FFFFFF"/>
                <w:sz w:val="16"/>
              </w:rPr>
              <w:t>Estado</w:t>
            </w:r>
          </w:p>
        </w:tc>
      </w:tr>
      <w:tr>
        <w:tc>
          <w:tcPr>
            <w:tcW w:type="dxa" w:w="3969"/>
          </w:tcPr>
          <w:p>
            <w:pPr>
              <w:spacing w:after="0"/>
            </w:pPr>
            <w:r>
              <w:rPr>
                <w:sz w:val="16"/>
              </w:rPr>
              <w:t>Khan &amp; Haddara (2004) Process Saf. Prog. 23(4):252–265</w:t>
            </w:r>
          </w:p>
        </w:tc>
        <w:tc>
          <w:tcPr>
            <w:tcW w:type="dxa" w:w="3685"/>
          </w:tcPr>
          <w:p>
            <w:pPr>
              <w:spacing w:after="0"/>
            </w:pPr>
            <w:r>
              <w:rPr>
                <w:sz w:val="16"/>
              </w:rPr>
              <w:t>https://doi.org/10.1002/prs.10010</w:t>
            </w:r>
          </w:p>
        </w:tc>
        <w:tc>
          <w:tcPr>
            <w:tcW w:type="dxa" w:w="2835"/>
          </w:tcPr>
          <w:p>
            <w:pPr>
              <w:spacing w:after="0"/>
            </w:pPr>
            <w:r>
              <w:rPr>
                <w:sz w:val="16"/>
              </w:rPr>
              <w:t>DOI del PDF de Oropallo; contenido NO leído</w:t>
            </w:r>
          </w:p>
        </w:tc>
      </w:tr>
      <w:tr>
        <w:tc>
          <w:tcPr>
            <w:tcW w:type="dxa" w:w="3969"/>
          </w:tcPr>
          <w:p>
            <w:pPr>
              <w:spacing w:after="0"/>
            </w:pPr>
            <w:r>
              <w:rPr>
                <w:sz w:val="16"/>
              </w:rPr>
              <w:t>Straub &amp; Faber (2005) Struct. Saf. 27(4):335–355</w:t>
            </w:r>
          </w:p>
        </w:tc>
        <w:tc>
          <w:tcPr>
            <w:tcW w:type="dxa" w:w="3685"/>
          </w:tcPr>
          <w:p>
            <w:pPr>
              <w:spacing w:after="0"/>
            </w:pPr>
            <w:r>
              <w:rPr>
                <w:sz w:val="16"/>
              </w:rPr>
              <w:t>https://doi.org/10.1016/j.strusafe.2005.04.001</w:t>
            </w:r>
          </w:p>
        </w:tc>
        <w:tc>
          <w:tcPr>
            <w:tcW w:type="dxa" w:w="2835"/>
          </w:tcPr>
          <w:p>
            <w:pPr>
              <w:spacing w:after="0"/>
            </w:pPr>
            <w:r>
              <w:rPr>
                <w:sz w:val="16"/>
              </w:rPr>
              <w:t>DOI del PDF de Oropallo; contenido NO leído</w:t>
            </w:r>
          </w:p>
        </w:tc>
      </w:tr>
      <w:tr>
        <w:tc>
          <w:tcPr>
            <w:tcW w:type="dxa" w:w="3969"/>
          </w:tcPr>
          <w:p>
            <w:pPr>
              <w:spacing w:after="0"/>
            </w:pPr>
            <w:r>
              <w:rPr>
                <w:sz w:val="16"/>
              </w:rPr>
              <w:t>Kallen &amp; van Noortwijk (2005) Reliab. Eng. Syst. Saf. 90(2–3):177–185</w:t>
            </w:r>
          </w:p>
        </w:tc>
        <w:tc>
          <w:tcPr>
            <w:tcW w:type="dxa" w:w="3685"/>
          </w:tcPr>
          <w:p>
            <w:pPr>
              <w:spacing w:after="0"/>
            </w:pPr>
            <w:r>
              <w:rPr>
                <w:sz w:val="16"/>
              </w:rPr>
              <w:t>https://doi.org/10.1016/j.ress.2004.10.004</w:t>
            </w:r>
          </w:p>
        </w:tc>
        <w:tc>
          <w:tcPr>
            <w:tcW w:type="dxa" w:w="2835"/>
          </w:tcPr>
          <w:p>
            <w:pPr>
              <w:spacing w:after="0"/>
            </w:pPr>
            <w:r>
              <w:rPr>
                <w:sz w:val="16"/>
              </w:rPr>
              <w:t>Existencia/DOI confirmados por búsqueda web; texto NO leído</w:t>
            </w:r>
          </w:p>
        </w:tc>
      </w:tr>
      <w:tr>
        <w:tc>
          <w:tcPr>
            <w:tcW w:type="dxa" w:w="3969"/>
          </w:tcPr>
          <w:p>
            <w:pPr>
              <w:spacing w:after="0"/>
            </w:pPr>
            <w:r>
              <w:rPr>
                <w:sz w:val="16"/>
              </w:rPr>
              <w:t>Inspection Value Method (ECNDT 1998)</w:t>
            </w:r>
          </w:p>
        </w:tc>
        <w:tc>
          <w:tcPr>
            <w:tcW w:type="dxa" w:w="3685"/>
          </w:tcPr>
          <w:p>
            <w:pPr>
              <w:spacing w:after="0"/>
            </w:pPr>
            <w:r>
              <w:rPr>
                <w:sz w:val="16"/>
              </w:rPr>
              <w:t>https://www.ndt.net/article/ecndt98/reliabil/318/318.htm</w:t>
            </w:r>
          </w:p>
        </w:tc>
        <w:tc>
          <w:tcPr>
            <w:tcW w:type="dxa" w:w="2835"/>
          </w:tcPr>
          <w:p>
            <w:pPr>
              <w:spacing w:after="0"/>
            </w:pPr>
            <w:r>
              <w:rPr>
                <w:sz w:val="16"/>
              </w:rPr>
              <w:t>Resumen de búsqueda; página NO abierta (sin DOI)</w:t>
            </w:r>
          </w:p>
        </w:tc>
      </w:tr>
      <w:tr>
        <w:tc>
          <w:tcPr>
            <w:tcW w:type="dxa" w:w="3969"/>
          </w:tcPr>
          <w:p>
            <w:pPr>
              <w:spacing w:after="0"/>
            </w:pPr>
            <w:r>
              <w:rPr>
                <w:sz w:val="16"/>
              </w:rPr>
              <w:t>ISO 15663 (Partes 1–3) – Life cycle costing</w:t>
            </w:r>
          </w:p>
        </w:tc>
        <w:tc>
          <w:tcPr>
            <w:tcW w:type="dxa" w:w="3685"/>
          </w:tcPr>
          <w:p>
            <w:pPr>
              <w:spacing w:after="0"/>
            </w:pPr>
            <w:r>
              <w:rPr>
                <w:sz w:val="16"/>
              </w:rPr>
              <w:t>(norma de pago)</w:t>
            </w:r>
          </w:p>
        </w:tc>
        <w:tc>
          <w:tcPr>
            <w:tcW w:type="dxa" w:w="2835"/>
          </w:tcPr>
          <w:p>
            <w:pPr>
              <w:spacing w:after="0"/>
            </w:pPr>
            <w:r>
              <w:rPr>
                <w:sz w:val="16"/>
              </w:rPr>
              <w:t>PENDIENTE de lectura</w:t>
            </w:r>
          </w:p>
        </w:tc>
      </w:tr>
    </w:tbl>
    <w:p>
      <w:pPr>
        <w:spacing w:after="0"/>
      </w:pPr>
    </w:p>
    <w:p>
      <w:pPr>
        <w:keepNext/>
        <w:spacing w:before="80" w:after="30"/>
      </w:pPr>
      <w:r>
        <w:rPr>
          <w:b/>
          <w:color w:val="1F3864"/>
          <w:sz w:val="23"/>
        </w:rPr>
        <w:t>12. Pendientes</w:t>
      </w:r>
    </w:p>
    <w:p>
      <w:pPr>
        <w:pStyle w:val="ListBullet"/>
        <w:spacing w:after="10"/>
      </w:pPr>
      <w:r>
        <w:t>Datos de Ecopetrol: Df por equipo/año (software RBI), COF, costos, horas de paro, margen, precio, tasa de descuento, matriz y risk target.</w:t>
      </w:r>
    </w:p>
    <w:p>
      <w:pPr>
        <w:pStyle w:val="ListBullet"/>
        <w:spacing w:after="10"/>
      </w:pPr>
      <w:r>
        <w:t>Verificar en API 581 (3.ª ed. + adendas), PCC-3, API 579-1, ISO 15663: ubicación de POF, gff, FMS, Df, NDE, COF (Niveles 1–2, adenda sobre CA), categorías RAM; numeración §15–17; "12 pasos" de COF.</w:t>
      </w:r>
    </w:p>
    <w:p>
      <w:pPr>
        <w:pStyle w:val="ListBullet"/>
        <w:spacing w:after="10"/>
      </w:pPr>
      <w:r>
        <w:t>Leer las referencias (solo se confirmaron DOI). Normativa colombiana aplicable (el paper usa RD 2060/2008, España).</w:t>
      </w:r>
    </w:p>
    <w:sectPr w:rsidR="00FC693F" w:rsidRPr="0006063C" w:rsidSect="00034616">
      <w:pgSz w:w="12240" w:h="15840"/>
      <w:pgMar w:top="680" w:right="850" w:bottom="62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before="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