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Metodología RBI + FFS + RAM para monetizar la reducción de riesgo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Recipientes a presión y equipos estáticos (reactores, intercambiadores, torres, hornos, drums) – Refinería de Barrancabermeja, Colombia</w:t>
      </w:r>
    </w:p>
    <w:p>
      <w:pPr>
        <w:spacing w:after="40" w:before="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Alcance.</w:t>
      </w:r>
      <w:r>
        <w:rPr>
          <w:rFonts w:ascii="Arial" w:cs="Arial" w:eastAsia="Arial" w:hAnsi="Arial"/>
          <w:sz w:val="19"/>
          <w:szCs w:val="19"/>
        </w:rPr>
        <w:t xml:space="preserve"> Base costo-beneficio: Oropallo, Piscopo, Centobelli, Cerchione, Nuevo y Rodríguez-Prieto, Safety Science 177 (2024) 106570, doi:10.1016/j.ssci.2024.106570 (en adelante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[P]</w:t>
      </w:r>
      <w:r>
        <w:rPr>
          <w:rFonts w:ascii="Arial" w:cs="Arial" w:eastAsia="Arial" w:hAnsi="Arial"/>
          <w:sz w:val="19"/>
          <w:szCs w:val="19"/>
        </w:rPr>
        <w:t xml:space="preserve">). El paper solo evalúa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un intercambiador de tubo y coraza</w:t>
      </w:r>
      <w:r>
        <w:rPr>
          <w:rFonts w:ascii="Arial" w:cs="Arial" w:eastAsia="Arial" w:hAnsi="Arial"/>
          <w:sz w:val="19"/>
          <w:szCs w:val="19"/>
        </w:rPr>
        <w:t xml:space="preserve"> 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tres mecanismos</w:t>
      </w:r>
      <w:r>
        <w:rPr>
          <w:rFonts w:ascii="Arial" w:cs="Arial" w:eastAsia="Arial" w:hAnsi="Arial"/>
          <w:sz w:val="19"/>
          <w:szCs w:val="19"/>
        </w:rPr>
        <w:t xml:space="preserve"> (adelgazamiento, corrosión externa, CUI) [P §1, §4]; aquí se extiende a otros equipos y mecanismos con API 581, API 579-1/ASME FFS-1, ASME PCC-3, ISO 55001/55010 e ISO 15663. Las cifras de las filas de ejemplo del Excel y de la web son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ilustrativas</w:t>
      </w:r>
      <w:r>
        <w:rPr>
          <w:rFonts w:ascii="Arial" w:cs="Arial" w:eastAsia="Arial" w:hAnsi="Arial"/>
          <w:sz w:val="19"/>
          <w:szCs w:val="19"/>
        </w:rPr>
        <w:t xml:space="preserve">, no datos reales de GRB. Archivos: RBI_Barrancabermeja_ModeloEconomico.xlsx (una hoja) y dashboard_RBI_Barrancabermeja.html (artefacto web).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1. De dónde sale cada elemento (trazabilidad al paper [P])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900"/>
        <w:gridCol w:w="4012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Ubicación en [P]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Aplicación en esta metodología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POF = GFF·Df·FMS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(1) (API RP 581, 2016)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(1); GFF por tipo de equipo; FMS con score 750 [P §2.3]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Tasa de corrosión futura, Art = Cr·edad/trd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(2)–(4)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(3): Art es la entrada del DF simplificado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Flow stress, strength ratio, Df (Bayes)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(5)–(8)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piden al usuario: se sustituyen por el DF ingresado o por la Tabla T2 del Excel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Efectividad de inspección A–E (80–100 %, 60–80 %, 40–60 %, 20–40 %, &lt;20 %)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Tabla 1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(5): fracción de DF que se conserva = 1 − confianza media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 = FCcmd+FCaffa+FCprod+FCinj+FCenviron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(13); áreas CA: Ec. (9)–(12)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(6)–(7); el Excel pide FC en USD por fila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4.000 USD/m² reposición; 40.000 USD/día producción; 10.000 USD/persona; 0,1 pers/m²; 210 USD RBI/activo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§2.3 (texto)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Calculadora de FC del Excel.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Ojo: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el paper rotula 40.000 como "$/m²" pero es USD/día (Tabla 9: 6 h ⇒ 10.000 USD); 4.000 USD/m² es la reposición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Costos y horas de parada por tipo/efectividad de inspección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§2.3, Tablas 4 y 5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 de inspección y pérdida por parada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Matriz de riesgo, riesgo inicial 1C, objetivo = riesgo medio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§3, Fig. 5; §2.3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Matriz RAM 5×5 y colores; objetivo de riesgo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TBI vs RBI: costos acumulados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§3, Tablas 6–10, Fig. 6–8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Ahorro por diferimiento, Ec. (10); validación (sección 7)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Evergreening y reevaluación tras cada inspección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 (final), §4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10 y horizonte N del beneficio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2. Ecuaciones numeradas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POF = GFF · DF · FMS      [P Ec.1; API 581 P.2 §3]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FMS = 10^(1 − 0,02·score/10)      [API 581 P.2 Anexo 2.A; score 750 ⇒ FMS = 0,316]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(2)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Art = CR · (Año_eval − Año_última_inspección) / t_medido      [P Ec.4]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(3)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DF_ini = DF ingresado por el usuario; si está vacío: DF = T2(Art) (adelgazamiento, sulfidación, corrosión externa, CUI) o T3(susceptibilidad) (HIC/SOHIC, SCC, HTHA)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(4)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DF_post = máx[1 ; DF_ini · (1 − conf_A–E) · f_FFS];  si FFS = No apto ⇒ reparar ⇒ DF_post = 1       [conf: P Tabla 1; f_FFS = 0,05 si Apto y FAD Pasa]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(5)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FC = FCcmd + FCaffa + FCprod + FCinj + FCenviron      [P Ec.13]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(6)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FCinj = CA_inj · ρ · VSL;  LSE = POF · CA_inj · ρ (personas/año);  DPN = FC · (1 − f_mit);  Riesgo de vida = LSE · VSL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(7)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Riesgo = POF · FC   (o DPN)        [P §2.2; API 581 P.1]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(8)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Reducción de riesgo RR = Riesgo_inicial − Riesgo_posterior   (USD/año)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(9)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Ahorro por diferimiento AD = (C_insp + L_parada) · (1/T_TBI − 1/T_RBI)   [P Tablas 9–10 vs 7–8]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(10)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I0 = C_insp + C_FFS(nivel) + C_reparación (solo si No apto) + C_implantación RBI (210 USD, [P §2.3])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(11)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A = RR + AD;  FA = [1 − (1+r)^−N]/r;  VP = A·FA;  **SIR = VP / I0** (aceptable si &gt; 1);  VAN = VP − I0;  ROI = (N·A − I0)/I0;  Recuperación = I0/A;  Recuperación descontada = −ln(1 − I0·r/A)/ln(1+r);  Beneficio neto anual = A − I0/FA;  Costo evitado anualizado CAA = A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(12)</w:t>
      </w:r>
    </w:p>
    <w:p>
      <w:pPr>
        <w:spacing w:after="50" w:before="3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Separación pedida:</w:t>
      </w:r>
      <w:r>
        <w:rPr>
          <w:rFonts w:ascii="Arial" w:cs="Arial" w:eastAsia="Arial" w:hAnsi="Arial"/>
          <w:sz w:val="19"/>
          <w:szCs w:val="19"/>
        </w:rPr>
        <w:t xml:space="preserve"> RR se reparte entre producción (RR·%FC producción) y otras consecuencias; AD se separa en ahorro por menor inspección (C_insp·(1/T_TBI−1/T_RBI)) y por menor pérdida de producción (L_parada·(1/T_TBI−1/T_RBI)). El flujo neto descontado acumulado en el año t es −I0 + A·[1−(1+r)^−min(t,N)]/r.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VSL:</w:t>
      </w:r>
      <w:r>
        <w:rPr>
          <w:rFonts w:ascii="Arial" w:cs="Arial" w:eastAsia="Arial" w:hAnsi="Arial"/>
          <w:sz w:val="19"/>
          <w:szCs w:val="19"/>
        </w:rPr>
        <w:t xml:space="preserve"> el paper usa 10.000 USD/persona; para sensibilidad use el VSL local aprobado por la empresa.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3. Paso a paso de implementación (Bloques 3, 4, 5 y 7)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3000"/>
        <w:gridCol w:w="3500"/>
        <w:gridCol w:w="3492"/>
      </w:tblGrid>
      <w:tr>
        <w:trPr>
          <w:cantSplit/>
          <w:tblHeader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Norma / sección (verificar numeración en su edición)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Salida en el Excel / web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Inventario por planta: tag, tipo, fluido, P, T, espesor, CR, año última inspección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580 y API 581 P.1 (planificación y objetivo de riesgo); ISO 55001 (inventario de activos)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Columnas B–L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Asignar mecanismo(s) de daño y susceptibilidad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571; API 581 P.2 (adelgazamiento: §4; corrosión externa y CUI ferríticos: secciones 15 y 16 según las Tablas 15.2M y 16.2M citadas en [P §2.2]; su guía indica 16 y 17, confirme); ASME PCC-3 (mecanismos)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Lista de mecanismo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 (usuario) o DF sugerido; POF inicial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 Ec.1–4]; API 581 P.2 §3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DF, POF (Ec. 1–4)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 en USD (12 pasos del análisis de consecuencia, componente + lesiones + producción + ambiente)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581 P.3 (12 pasos, ecuaciones de FC y lesiones); [P Ec.9–13]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FC, calculadora (Ec. 6–7)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Ubicar riesgo inicial en la matriz RAM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581 P.1 Tablas 4.1 y 4.2 (categorías); [P Fig.5]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Categoría inicial, nivel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 el riesgo excede el objetivo: plan de inspección (efectividad A–E) y, si hay pérdida de espesor o fisuras, FFS nivel 1/2/3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ASME PCC-3 (secciones 7 a 10 según su guía); API 581 P.2 §3 (efectividad); API 579-1/ASME FFS-1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Efectividad, nivel FFS, Apto/No apto, FAD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Recalcular DF y POF posteriores; RAM posterior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(5); actualización bayesiana de API 581 P.2 §3 (aquí simplificada)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DF/POF/riesgo posteriores, RAM después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Monetizar: RR, AD, I0, SIR, VAN, ROI, recuperación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 Tablas 7–10]; ISO 15663 (costo de ciclo de vida); ISO 55010 (alinear finanzas y gestión de activos)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(9)–(12), panel resumen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Priorizar por SIR y por objetivo de riesgo; SIR&lt;1 con riesgo alto se decide por seguridad, no solo por economía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ISO 55001 (decisiones basadas en riesgo y valor)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Columna Decisión, "Excede"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Ejecutar, reevaluar tras cada inspección (evergreening) y actualizar el año siguiente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 §2.2 final]; API 581 P.1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Nueva fila por equipo cada año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4. Ejemplo numérico completo: intercambiador de tubo y coraza E-101 (datos del paper + supuestos marcados)</w:t>
      </w:r>
    </w:p>
    <w:p>
      <w:pPr>
        <w:spacing w:after="30" w:before="0" w:line="250"/>
      </w:pPr>
      <w:r>
        <w:rPr>
          <w:rFonts w:ascii="Arial" w:cs="Arial" w:eastAsia="Arial" w:hAnsi="Arial"/>
          <w:sz w:val="19"/>
          <w:szCs w:val="19"/>
        </w:rPr>
        <w:t xml:space="preserve">Datos [P Tabla 2 y §2.3]: coraza de acero al carbono A-106 Gr. B, vapor, 120 °C, 114 bar, t = 8,3 mm (2018), CR total 0,132 mm/año, score SGA 750, inspecciones previas de alcance reducido (efectividad E).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Supuestos míos (no del paper):</w:t>
      </w:r>
      <w:r>
        <w:rPr>
          <w:rFonts w:ascii="Arial" w:cs="Arial" w:eastAsia="Arial" w:hAnsi="Arial"/>
          <w:sz w:val="19"/>
          <w:szCs w:val="19"/>
        </w:rPr>
        <w:t xml:space="preserve"> CA = 60 m², 3 días de parada, FCaffa = 25 % de FCcmd, FCenviron = 20.000 USD, f_mit = 10 %, FFS nivel 1 = 3.000 USD, r = 10 %, N = 10 años, inspección efectividad A = 720 USD [P Tabla 4, CUIF-A], TBI cada 9 años y RBI cada 17 años [P Tablas 6 y 9], parada evitada = 10.000 USD [P Tabla 9].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00"/>
        <w:gridCol w:w="3112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Magnitud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FMS (Ec. 2); GFF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10^(1−0,02·75) ; API 581 P.2 Tabla 3.1 (recipiente)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0,316 ; 3,06E-05 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 (Ec. 6–7)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FCcmd 60·4.000 = 240.000; FCaffa 60.000; FCprod 3·40.000 = 120.000; FCinj 60·0,1·10.000 = 60.000; FCenv 20.000 → bruto 500.000; DPN = 500.000·0,9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450.000 USD ⇒ categoría C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A. Validación de [P Fig.5] (2023, edad 5 años)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 = 0,132·5/8,3 = 0,080 → DF = 2 (T2); POF = 3,06E-05·2·0,316 = 1,9E-05 → prob. 1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(riesgo 8,7 USD/año) ✓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B. Degradación: 22 años sin inspección efectiva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 = 0,132·22/8,3 = 0,350 → DF = 250; POF = 9,68E-06·250 = 2,42E-03; R = 2,42E-03·450.000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R₀ = 1.088,6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C. RBI (inspección A, Ec. 5)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 = 250·(1−0,9) = 25 → prob. 3; R = 9,68E-06·25·450.000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R = 108,9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D. FFS nivel 1: Apto y FAD Pasa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 = 25·0,05 = 1,25 → prob. 1; R = 9,68E-06·1,25·450.000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R₁ = 5,4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Reducción de riesgo (Ec. 9)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1.088,6 − 5,4 (3 categorías de probabilidad; nivel RAM 3 → 1)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RR = 1.083,2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Diferimiento (Ec. 10)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Inspección: 720·(1/9−1/17) = 37,6; producción: 10.000·(1/9−1/17) = 522,9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 = 560,5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y I0 (Ec. 11–12)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= 1.083,2 + 560,5; I0 = 720 + 3.000 + 0 + 210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= 1.643,7 ; I0 = 3.930 USD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SIR, VAN, ROI, recuperación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FA(10 %,10) = 6,1446; VP = 10.099,8; SIR = 10.099,8/3.930; VAN; ROI = (10·1.643,7−3.930)/3.930; 3.930/1.643,7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SIR 2,57 (&gt;1, aceptable)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VAN 6.170 USD; ROI 318 %; recuperación 2,4 años (descontada 2,9)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Beneficio neto anual; CAA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1.643,7 − 3.930/6,1446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1.004 USD/año ; CAA 1.643,7 USD/año</w:t>
            </w:r>
          </w:p>
        </w:tc>
      </w:tr>
    </w:tbl>
    <w:p>
      <w:pPr>
        <w:spacing w:after="20" w:before="30" w:line="250"/>
      </w:pPr>
      <w:r>
        <w:rPr>
          <w:rFonts w:ascii="Arial" w:cs="Arial" w:eastAsia="Arial" w:hAnsi="Arial"/>
          <w:sz w:val="19"/>
          <w:szCs w:val="19"/>
        </w:rPr>
        <w:t xml:space="preserve">El Excel reproduce este ejemplo en la fila E-101 (año de última inspección 2004 para obtener edad 22). Con el mismo recorrido 4C → 3C → 1C el riesgo se mueve de nivel RAM medio-alto a bajo; la diferencia financiera entre 4C y 1C (≈1.083 USD/año) es la reducción de riesgo monetizada.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5. Integración con API 581, ASME PCC-3 y API 579 (Bloques 3–5)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API 581 (POF y COF).</w:t>
      </w:r>
      <w:r>
        <w:rPr>
          <w:rFonts w:ascii="Arial" w:cs="Arial" w:eastAsia="Arial" w:hAnsi="Arial"/>
          <w:sz w:val="19"/>
          <w:szCs w:val="19"/>
        </w:rPr>
        <w:t xml:space="preserve"> Parte 1: planificación, objetivo de riesgo y categorías de la matriz (Tablas 4.1 y 4.2). Parte 2: DF por adelgazamiento (§4), corrosión externa y CUI (secciones 15–16 o 16–17, según edición; ver Paso 2), tablas de efectividad A–E y actualización de la POF tras inspección. Parte 3: 12 pasos de consecuencia, FC y lesiones.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Actualización tras inspección:</w:t>
      </w:r>
      <w:r>
        <w:rPr>
          <w:rFonts w:ascii="Arial" w:cs="Arial" w:eastAsia="Arial" w:hAnsi="Arial"/>
          <w:sz w:val="19"/>
          <w:szCs w:val="19"/>
        </w:rPr>
        <w:t xml:space="preserve"> con efectividad A–E la incertidumbre del DF se reduce (posterior bayesiano); aquí se aproxima con DF·(1−confianza) (Ec. 5); el hallazgo real debe recalcular Art con el espesor medido (evergreening).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ASME PCC-3 (planificación).</w:t>
      </w:r>
      <w:r>
        <w:rPr>
          <w:rFonts w:ascii="Arial" w:cs="Arial" w:eastAsia="Arial" w:hAnsi="Arial"/>
          <w:sz w:val="19"/>
          <w:szCs w:val="19"/>
        </w:rPr>
        <w:t xml:space="preserve"> Complementa a API 581 con la gestión del riesgo mediante actividades de inspección (qué, dónde, cómo y cuándo), la elección de técnicas por mecanismo y una matriz de riesgo de ejemplo; se usa en los Pasos 2 y 6. Las secciones 7–10 son las indicadas por su guía; confirme su alcance exacto en su edición licenciada.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API 579-1/ASME FFS-1 (FFS).</w:t>
      </w:r>
      <w:r>
        <w:rPr>
          <w:rFonts w:ascii="Arial" w:cs="Arial" w:eastAsia="Arial" w:hAnsi="Arial"/>
          <w:sz w:val="19"/>
          <w:szCs w:val="19"/>
        </w:rPr>
        <w:t xml:space="preserve"> Se activa cuando el riesgo excede el objetivo o la inspección halla daño. Nivel 1: criterios simples (p. ej. pérdida general de espesor vs t_mín); Nivel 2: cálculo detallado; Nivel 3: análisis avanzado (elementos finitos). Para fisuras se usa el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FAD</w:t>
      </w:r>
      <w:r>
        <w:rPr>
          <w:rFonts w:ascii="Arial" w:cs="Arial" w:eastAsia="Arial" w:hAnsi="Arial"/>
          <w:sz w:val="19"/>
          <w:szCs w:val="19"/>
        </w:rPr>
        <w:t xml:space="preserve"> (Kr vs Lr): punto dentro de la curva ⇒ Pasa. Regla del modelo: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Apto + FAD Pasa</w:t>
      </w:r>
      <w:r>
        <w:rPr>
          <w:rFonts w:ascii="Arial" w:cs="Arial" w:eastAsia="Arial" w:hAnsi="Arial"/>
          <w:sz w:val="19"/>
          <w:szCs w:val="19"/>
        </w:rPr>
        <w:t xml:space="preserve"> ⇒ el estado verificado permite recalcular DF/POF (f_FFS = 0,05) y cuantificar RR;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No apto / FAD No pasa</w:t>
      </w:r>
      <w:r>
        <w:rPr>
          <w:rFonts w:ascii="Arial" w:cs="Arial" w:eastAsia="Arial" w:hAnsi="Arial"/>
          <w:sz w:val="19"/>
          <w:szCs w:val="19"/>
        </w:rPr>
        <w:t xml:space="preserve"> ⇒ reparar, reemplazar o rebajar condiciones: su costo entra en I0 y tras reparar DF = 1;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Apto con FAD No pasa</w:t>
      </w:r>
      <w:r>
        <w:rPr>
          <w:rFonts w:ascii="Arial" w:cs="Arial" w:eastAsia="Arial" w:hAnsi="Arial"/>
          <w:sz w:val="19"/>
          <w:szCs w:val="19"/>
        </w:rPr>
        <w:t xml:space="preserve"> ⇒ "REVISAR" (inconsistente, sin crédito de riesgo). Los resultados FFS no los calcula la hoja: el usuario los ingresa.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ISO 55001/55010 e ISO 15663.</w:t>
      </w:r>
      <w:r>
        <w:rPr>
          <w:rFonts w:ascii="Arial" w:cs="Arial" w:eastAsia="Arial" w:hAnsi="Arial"/>
          <w:sz w:val="19"/>
          <w:szCs w:val="19"/>
        </w:rPr>
        <w:t xml:space="preserve"> 55001/55010: decisiones de activos por valor y alineación de indicadores financieros y técnicos (SIR, VAN, ROI). ISO 15663: costo de ciclo de vida; aquí I0 = costos de adquisición/intervención y A = costos evitados (riesgo + operación) descontados a N años.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6. Matriz RAM 5×5, riesgo antes y después; cualitativo vs cuantitativo (Bloque 6)</w:t>
      </w:r>
    </w:p>
    <w:p>
      <w:pPr>
        <w:spacing w:after="30" w:before="0" w:line="250"/>
      </w:pPr>
      <w:r>
        <w:rPr>
          <w:rFonts w:ascii="Arial" w:cs="Arial" w:eastAsia="Arial" w:hAnsi="Arial"/>
          <w:sz w:val="19"/>
          <w:szCs w:val="19"/>
        </w:rPr>
        <w:t xml:space="preserve">La matriz combina probabilidad 1–5 (filas) y consecuencia A–E (columnas); la celda define un nivel: bajo (verde), medio (amarillo), medio-alto (naranja), alto (rojo), según [P Fig. 5]. El paper ubica su equipo en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1C</w:t>
      </w:r>
      <w:r>
        <w:rPr>
          <w:rFonts w:ascii="Arial" w:cs="Arial" w:eastAsia="Arial" w:hAnsi="Arial"/>
          <w:sz w:val="19"/>
          <w:szCs w:val="19"/>
        </w:rPr>
        <w:t xml:space="preserve"> y fija el objetivo en riesgo medio (probabilidad máxima admitida 3 para la categoría C) [P §3].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Cualitativo (RAM):</w:t>
      </w:r>
      <w:r>
        <w:rPr>
          <w:rFonts w:ascii="Arial" w:cs="Arial" w:eastAsia="Arial" w:hAnsi="Arial"/>
          <w:sz w:val="19"/>
          <w:szCs w:val="19"/>
        </w:rPr>
        <w:t xml:space="preserve"> categorías para gestión y visibilidad; en el Excel el usuario elige P y C inicial/posterior y la hoja calcula un riesgo con valores representativos (DF 1, 6, 45, 316, 2000; FC 5E3 … 3,16E7 USD).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Cuantitativo (API 581):</w:t>
      </w:r>
      <w:r>
        <w:rPr>
          <w:rFonts w:ascii="Arial" w:cs="Arial" w:eastAsia="Arial" w:hAnsi="Arial"/>
          <w:sz w:val="19"/>
          <w:szCs w:val="19"/>
        </w:rPr>
        <w:t xml:space="preserve"> USD/año = POF·FC. Se complementan: el número justifica el movimiento en la matriz y la matriz comunica prioridad; la hoja marca "REVISAR" si la categoría elegida no coincide con la calculada. Interruptor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Base económica</w:t>
      </w:r>
      <w:r>
        <w:rPr>
          <w:rFonts w:ascii="Arial" w:cs="Arial" w:eastAsia="Arial" w:hAnsi="Arial"/>
          <w:sz w:val="19"/>
          <w:szCs w:val="19"/>
        </w:rPr>
        <w:t xml:space="preserve">: CUANT o RAM. Movimiento del ejemplo: 4C → 3C (tras RBI, −1 nivel de riesgo) → 1C (tras FFS, −2 niveles más) ≈ −1.083 USD/año.</w:t>
      </w:r>
    </w:p>
    <w:p>
      <w:pPr>
        <w:keepNext/>
        <w:spacing w:after="20" w:before="4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Extrapolación por tipo de equipo (más allá del alcance de [P]):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2600"/>
        <w:gridCol w:w="2612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Equipo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Mecanismos típicos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Cómo entra a la hoja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Complemento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Intercambiador tubo y coraza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Adelgazamiento, corrosión externa, CUI (los tres de [P])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 desde espesor y CR (Ec. 3–4)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nivel 1 (pérdida general/local)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Reactor (HDT, FCC)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Sulfidación, HTHA, HIC/SOHIC, SCC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 por Art; HTHA y fisuración por susceptibilidad (T3) o DF del usuario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nivel 2–3, FAD para fisuras; API 941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Torre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Sulfidación, adelgazamiento (ácidos nafténicos), CUI, HIC/SOHIC en cabeza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Mecanismo dominante por fila; repetir fila por mecanismo crítico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nivel 1–2 (pérdida local)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Horno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 y adelgazamiento en tubos, fluencia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GFF de recipiente como proxy; DF del usuario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573/530; FFS nivel 2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Drum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HIC/SOHIC (agua ácida), SCC, adelgazamiento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Susceptibilidad Alta/Media/Baja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de ampollas y HIC/SOHIC; FAD si hay fisuras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7. Metodología final y validación contra [P]</w:t>
      </w:r>
    </w:p>
    <w:p>
      <w:pPr>
        <w:spacing w:after="30" w:before="0" w:line="250"/>
      </w:pPr>
      <w:r>
        <w:rPr>
          <w:rFonts w:ascii="Arial" w:cs="Arial" w:eastAsia="Arial" w:hAnsi="Arial"/>
          <w:sz w:val="19"/>
          <w:szCs w:val="19"/>
        </w:rPr>
        <w:t xml:space="preserve">Aplicar los Pasos 1–10 por planta (Crudo/Topping, Hidrotratamiento, Cracking FCC, Coquización, servicios), una fila por equipo y año; sumar en la fila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AHORROS TOTALES</w:t>
      </w:r>
      <w:r>
        <w:rPr>
          <w:rFonts w:ascii="Arial" w:cs="Arial" w:eastAsia="Arial" w:hAnsi="Arial"/>
          <w:sz w:val="19"/>
          <w:szCs w:val="19"/>
        </w:rPr>
        <w:t xml:space="preserve">; priorizar por SIR y por exceso del objetivo.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Extrapolación de mecanismos:</w:t>
      </w:r>
      <w:r>
        <w:rPr>
          <w:rFonts w:ascii="Arial" w:cs="Arial" w:eastAsia="Arial" w:hAnsi="Arial"/>
          <w:sz w:val="19"/>
          <w:szCs w:val="19"/>
        </w:rPr>
        <w:t xml:space="preserve"> sulfidación = corrosión por Art (CR de API 939-C/API 581 P.2); HIC/SOHIC, SCC y HTHA = por susceptibilidad (T3, valores orientativos que debe sustituir por su DF de API 581 o API 941 para HTHA); hornos: la hoja usa el GFF de recipiente como aproximación, verifique con API 573/530.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012"/>
      </w:tblGrid>
      <w:tr>
        <w:trPr>
          <w:cantSplit/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Valor en [P]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Recalculado aquí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Riesgo inicial 1C (§3, Fig. 5)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Edad 5 años, CR 0,132, t 8,3 → DF 2; FC 450.000 → 1C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 (con supuestos de CA)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TBI intrusivo 43.360 USD (Tabla 9)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8·240 + 4·360 + 4·10.000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TBI no intrusivo 3.840 USD (Tabla 10)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8·240 + 4·480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estrategia 1 intrusiva 11.650 USD (Tabla 7)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210 + 720 + 720 + 10.000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estrategia 2 intrusiva 1.170 USD (Tabla 7)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210 + 600 + 600 = 1.410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 coincide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(total impreso 1.170)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estrategia 1 no intrusiva 1.080 USD (Tabla 8)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210 + 720 + 1.080 = 2.010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 coincide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entonces la estrategia 2 (1.170) sería la mejor, no la 1 como dice §3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Tabla 6, nota: CUIF-C = "efectividad B"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Debe ser C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Error tipográfico en [P]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 total 0,132 mm/año (§2.3)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0,05 + 0,025 + 0,127 = 0,202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reproducible; se usó 0,132 tal cual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Ahorro TBI → RBI-2 (derivado, 2023–2056)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43.360 − 1.410 = 41.950 USD nominal; VP al 10 %: 10.532 − 487 = 10.045; SIR = 10.045/487 = 20,6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Referencia de validación de la hoja</w:t>
            </w:r>
          </w:p>
        </w:tc>
      </w:tr>
    </w:tbl>
    <w:p>
      <w:pPr>
        <w:spacing w:after="20" w:before="30" w:line="250"/>
      </w:pPr>
      <w:r>
        <w:rPr>
          <w:rFonts w:ascii="Arial" w:cs="Arial" w:eastAsia="Arial" w:hAnsi="Arial"/>
          <w:sz w:val="19"/>
          <w:szCs w:val="19"/>
        </w:rPr>
        <w:t xml:space="preserve">Al validar, use estos casos como pruebas: la hoja debe reproducir 1C y el orden de magnitud del ahorro TBI vs RBI; las diferencias marcadas provienen del paper.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8. Fuentes con DOI y aplicación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300"/>
        <w:gridCol w:w="3212"/>
      </w:tblGrid>
      <w:tr>
        <w:trPr>
          <w:cantSplit/>
          <w:tblHeader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Fuente (DOI)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Sección/parte usada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Aplicación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Oropallo et al. (2024) Safety Science 177, 106570. doi:10.1016/j.ssci.2024.106570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 Ec.1–13; §2.3; §3 Tablas 1–10, Fig. 5–8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Base costo-beneficio y validación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Bertolini, Bevilacqua, Ciarapica, Giacchetta (2009) J. Loss Prev. Process Ind. 22(2), 244–253. doi:10.1016/j.jlp.2009.01.003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 (beneficios RBI en refinería)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Benchmark RBI en refinería, intervalos y costos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Khan &amp; Haddara (2004) Process Saf. Prog. 23(4), 252–265. doi:10.1002/prs.10010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RBM cuantitativo POF×COF; intervalos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Rodríguez-Prieto, Camacho, Callejas, Sebastián (2020) IEEE Access 8, 92275–92286. doi:10.1109/ACCESS.2020.2994619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y confiabilidad en petroquímica (Paso 6, FFS)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Bhatia, Khan, Patel, Abbassi (2019) J. Loss Prev. Process Ind. 62. doi:10.1016/j.jlp.2019.103974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dinámico; reevaluación (evergreening)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Straub &amp; Faber (2005) Struct. Saf. 27(4), 335–355. doi:10.1016/j.strusafe.2005.04.001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Planificación de inspección por riesgo; actualización tras inspección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Normas sin DOI: API RP 581 (2016), API RP 580, API 579-1/ASME FFS-1, ASME PCC-3, ISO 55001, ISO 55010:2019, ISO 15663 (LCC)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Numeración de secciones según su guía; verifique en edición licenciada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Pasos 1–10 (ISO 51001 y "14663" en su texto se interpretaron como ISO 55001 e ISO 15663)</w:t>
            </w:r>
          </w:p>
        </w:tc>
      </w:tr>
    </w:tbl>
    <w:p>
      <w:pPr>
        <w:spacing w:after="20" w:before="20" w:line="250"/>
      </w:pPr>
      <w:r>
        <w:rPr>
          <w:rFonts w:ascii="Arial" w:cs="Arial" w:eastAsia="Arial" w:hAnsi="Arial"/>
          <w:sz w:val="14"/>
          <w:szCs w:val="14"/>
        </w:rPr>
        <w:t xml:space="preserve">Las referencias 2–6 se toman de la lista de [P]; no se consultó su texto completo, solo su cita en [P].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9. Glosario</w:t>
      </w:r>
    </w:p>
    <w:p>
      <w:pPr>
        <w:spacing w:after="50" w:before="0" w:line="25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AAE/A–E:</w:t>
      </w:r>
      <w:r>
        <w:rPr>
          <w:rFonts w:ascii="Arial" w:cs="Arial" w:eastAsia="Arial" w:hAnsi="Arial"/>
          <w:sz w:val="16"/>
          <w:szCs w:val="16"/>
        </w:rPr>
        <w:t xml:space="preserve"> efectividad de inspección (A alta … E ineficaz) y categorías de consecuencia.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Art:</w:t>
      </w:r>
      <w:r>
        <w:rPr>
          <w:rFonts w:ascii="Arial" w:cs="Arial" w:eastAsia="Arial" w:hAnsi="Arial"/>
          <w:sz w:val="16"/>
          <w:szCs w:val="16"/>
        </w:rPr>
        <w:t xml:space="preserve"> fracción de pérdida de espesor esperada.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CA:</w:t>
      </w:r>
      <w:r>
        <w:rPr>
          <w:rFonts w:ascii="Arial" w:cs="Arial" w:eastAsia="Arial" w:hAnsi="Arial"/>
          <w:sz w:val="16"/>
          <w:szCs w:val="16"/>
        </w:rPr>
        <w:t xml:space="preserve"> área de consecuencia.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CAA:</w:t>
      </w:r>
      <w:r>
        <w:rPr>
          <w:rFonts w:ascii="Arial" w:cs="Arial" w:eastAsia="Arial" w:hAnsi="Arial"/>
          <w:sz w:val="16"/>
          <w:szCs w:val="16"/>
        </w:rPr>
        <w:t xml:space="preserve"> costo evitado anualizado.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CR:</w:t>
      </w:r>
      <w:r>
        <w:rPr>
          <w:rFonts w:ascii="Arial" w:cs="Arial" w:eastAsia="Arial" w:hAnsi="Arial"/>
          <w:sz w:val="16"/>
          <w:szCs w:val="16"/>
        </w:rPr>
        <w:t xml:space="preserve"> tasa de corrosión.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CUI:</w:t>
      </w:r>
      <w:r>
        <w:rPr>
          <w:rFonts w:ascii="Arial" w:cs="Arial" w:eastAsia="Arial" w:hAnsi="Arial"/>
          <w:sz w:val="16"/>
          <w:szCs w:val="16"/>
        </w:rPr>
        <w:t xml:space="preserve"> corrosión bajo aislamiento.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DF:</w:t>
      </w:r>
      <w:r>
        <w:rPr>
          <w:rFonts w:ascii="Arial" w:cs="Arial" w:eastAsia="Arial" w:hAnsi="Arial"/>
          <w:sz w:val="16"/>
          <w:szCs w:val="16"/>
        </w:rPr>
        <w:t xml:space="preserve"> factor de daño.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DPN:</w:t>
      </w:r>
      <w:r>
        <w:rPr>
          <w:rFonts w:ascii="Arial" w:cs="Arial" w:eastAsia="Arial" w:hAnsi="Arial"/>
          <w:sz w:val="16"/>
          <w:szCs w:val="16"/>
        </w:rPr>
        <w:t xml:space="preserve"> daño potencial neto (FC tras mitigación).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FAD:</w:t>
      </w:r>
      <w:r>
        <w:rPr>
          <w:rFonts w:ascii="Arial" w:cs="Arial" w:eastAsia="Arial" w:hAnsi="Arial"/>
          <w:sz w:val="16"/>
          <w:szCs w:val="16"/>
        </w:rPr>
        <w:t xml:space="preserve"> diagrama de evaluación de falla (Kr–Lr).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FC:</w:t>
      </w:r>
      <w:r>
        <w:rPr>
          <w:rFonts w:ascii="Arial" w:cs="Arial" w:eastAsia="Arial" w:hAnsi="Arial"/>
          <w:sz w:val="16"/>
          <w:szCs w:val="16"/>
        </w:rPr>
        <w:t xml:space="preserve"> consecuencia financiera.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FFS:</w:t>
      </w:r>
      <w:r>
        <w:rPr>
          <w:rFonts w:ascii="Arial" w:cs="Arial" w:eastAsia="Arial" w:hAnsi="Arial"/>
          <w:sz w:val="16"/>
          <w:szCs w:val="16"/>
        </w:rPr>
        <w:t xml:space="preserve"> aptitud para el servicio.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FMS:</w:t>
      </w:r>
      <w:r>
        <w:rPr>
          <w:rFonts w:ascii="Arial" w:cs="Arial" w:eastAsia="Arial" w:hAnsi="Arial"/>
          <w:sz w:val="16"/>
          <w:szCs w:val="16"/>
        </w:rPr>
        <w:t xml:space="preserve"> factor del sistema de gestión.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GFF:</w:t>
      </w:r>
      <w:r>
        <w:rPr>
          <w:rFonts w:ascii="Arial" w:cs="Arial" w:eastAsia="Arial" w:hAnsi="Arial"/>
          <w:sz w:val="16"/>
          <w:szCs w:val="16"/>
        </w:rPr>
        <w:t xml:space="preserve"> frecuencia genérica de falla.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HIC/SOHIC:</w:t>
      </w:r>
      <w:r>
        <w:rPr>
          <w:rFonts w:ascii="Arial" w:cs="Arial" w:eastAsia="Arial" w:hAnsi="Arial"/>
          <w:sz w:val="16"/>
          <w:szCs w:val="16"/>
        </w:rPr>
        <w:t xml:space="preserve"> agrietamiento inducido por hidrógeno / orientado por esfuerzo.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HTHA:</w:t>
      </w:r>
      <w:r>
        <w:rPr>
          <w:rFonts w:ascii="Arial" w:cs="Arial" w:eastAsia="Arial" w:hAnsi="Arial"/>
          <w:sz w:val="16"/>
          <w:szCs w:val="16"/>
        </w:rPr>
        <w:t xml:space="preserve"> ataque por hidrógeno a alta temperatura.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I0:</w:t>
      </w:r>
      <w:r>
        <w:rPr>
          <w:rFonts w:ascii="Arial" w:cs="Arial" w:eastAsia="Arial" w:hAnsi="Arial"/>
          <w:sz w:val="16"/>
          <w:szCs w:val="16"/>
        </w:rPr>
        <w:t xml:space="preserve"> inversión inicial.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LSE:</w:t>
      </w:r>
      <w:r>
        <w:rPr>
          <w:rFonts w:ascii="Arial" w:cs="Arial" w:eastAsia="Arial" w:hAnsi="Arial"/>
          <w:sz w:val="16"/>
          <w:szCs w:val="16"/>
        </w:rPr>
        <w:t xml:space="preserve"> exposición esperada de vidas (personas/año).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N:</w:t>
      </w:r>
      <w:r>
        <w:rPr>
          <w:rFonts w:ascii="Arial" w:cs="Arial" w:eastAsia="Arial" w:hAnsi="Arial"/>
          <w:sz w:val="16"/>
          <w:szCs w:val="16"/>
        </w:rPr>
        <w:t xml:space="preserve"> horizonte.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POF:</w:t>
      </w:r>
      <w:r>
        <w:rPr>
          <w:rFonts w:ascii="Arial" w:cs="Arial" w:eastAsia="Arial" w:hAnsi="Arial"/>
          <w:sz w:val="16"/>
          <w:szCs w:val="16"/>
        </w:rPr>
        <w:t xml:space="preserve"> probabilidad de falla.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RAM:</w:t>
      </w:r>
      <w:r>
        <w:rPr>
          <w:rFonts w:ascii="Arial" w:cs="Arial" w:eastAsia="Arial" w:hAnsi="Arial"/>
          <w:sz w:val="16"/>
          <w:szCs w:val="16"/>
        </w:rPr>
        <w:t xml:space="preserve"> matriz de evaluación de riesgo.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RBI/TBI:</w:t>
      </w:r>
      <w:r>
        <w:rPr>
          <w:rFonts w:ascii="Arial" w:cs="Arial" w:eastAsia="Arial" w:hAnsi="Arial"/>
          <w:sz w:val="16"/>
          <w:szCs w:val="16"/>
        </w:rPr>
        <w:t xml:space="preserve"> inspección basada en riesgo / en tiempo.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ROI:</w:t>
      </w:r>
      <w:r>
        <w:rPr>
          <w:rFonts w:ascii="Arial" w:cs="Arial" w:eastAsia="Arial" w:hAnsi="Arial"/>
          <w:sz w:val="16"/>
          <w:szCs w:val="16"/>
        </w:rPr>
        <w:t xml:space="preserve"> retorno de la inversión.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RR:</w:t>
      </w:r>
      <w:r>
        <w:rPr>
          <w:rFonts w:ascii="Arial" w:cs="Arial" w:eastAsia="Arial" w:hAnsi="Arial"/>
          <w:sz w:val="16"/>
          <w:szCs w:val="16"/>
        </w:rPr>
        <w:t xml:space="preserve"> reducción de riesgo.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SIR:</w:t>
      </w:r>
      <w:r>
        <w:rPr>
          <w:rFonts w:ascii="Arial" w:cs="Arial" w:eastAsia="Arial" w:hAnsi="Arial"/>
          <w:sz w:val="16"/>
          <w:szCs w:val="16"/>
        </w:rPr>
        <w:t xml:space="preserve"> índice ahorro-inversión (VP ahorros / VP inversión).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VAN:</w:t>
      </w:r>
      <w:r>
        <w:rPr>
          <w:rFonts w:ascii="Arial" w:cs="Arial" w:eastAsia="Arial" w:hAnsi="Arial"/>
          <w:sz w:val="16"/>
          <w:szCs w:val="16"/>
        </w:rPr>
        <w:t xml:space="preserve"> valor actual neto.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VP:</w:t>
      </w:r>
      <w:r>
        <w:rPr>
          <w:rFonts w:ascii="Arial" w:cs="Arial" w:eastAsia="Arial" w:hAnsi="Arial"/>
          <w:sz w:val="16"/>
          <w:szCs w:val="16"/>
        </w:rPr>
        <w:t xml:space="preserve"> valor presente.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VSL:</w:t>
      </w:r>
      <w:r>
        <w:rPr>
          <w:rFonts w:ascii="Arial" w:cs="Arial" w:eastAsia="Arial" w:hAnsi="Arial"/>
          <w:sz w:val="16"/>
          <w:szCs w:val="16"/>
        </w:rPr>
        <w:t xml:space="preserve"> valor de la vida estadística.</w:t>
      </w:r>
    </w:p>
    <w:sectPr>
      <w:footerReference w:type="default" r:id="rId6"/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3"/>
        <w:szCs w:val="13"/>
      </w:rPr>
      <w:t xml:space="preserve">RBI Barrancabermeja – metodología – pág. </w:t>
    </w:r>
    <w:r>
      <w:rPr>
        <w:rFonts w:ascii="Arial" w:cs="Arial" w:eastAsia="Arial" w:hAnsi="Arial"/>
        <w:color w:val="7F7F7F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2026-09-29T19:00:53.043Z</dcterms:created>
  <dcterms:modified xsi:type="dcterms:W3CDTF">2026-09-29T19:00:53.044Z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