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DSS técnico-financiero RBI + FFS: reducción de riesgo monetizada en recipientes a presión – Refinería de Barrancabermeja</w:t>
      </w:r>
    </w:p>
    <w:p>
      <w:pPr>
        <w:spacing w:after="40" w:before="0" w:line="276"/>
      </w:pPr>
      <w:r>
        <w:rPr>
          <w:rFonts w:ascii="Arial" w:cs="Arial" w:eastAsia="Arial" w:hAnsi="Arial"/>
          <w:sz w:val="17"/>
          <w:szCs w:val="17"/>
        </w:rPr>
        <w:t xml:space="preserve">Etiquetas: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[P]</w:t>
      </w:r>
      <w:r>
        <w:rPr>
          <w:rFonts w:ascii="Arial" w:cs="Arial" w:eastAsia="Arial" w:hAnsi="Arial"/>
          <w:sz w:val="17"/>
          <w:szCs w:val="17"/>
        </w:rPr>
        <w:t xml:space="preserve"> paper;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[N]</w:t>
      </w:r>
      <w:r>
        <w:rPr>
          <w:rFonts w:ascii="Arial" w:cs="Arial" w:eastAsia="Arial" w:hAnsi="Arial"/>
          <w:sz w:val="17"/>
          <w:szCs w:val="17"/>
        </w:rPr>
        <w:t xml:space="preserve"> norma citada por [P] o recordada sin acceso al texto (verificar);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[M]</w:t>
      </w:r>
      <w:r>
        <w:rPr>
          <w:rFonts w:ascii="Arial" w:cs="Arial" w:eastAsia="Arial" w:hAnsi="Arial"/>
          <w:sz w:val="17"/>
          <w:szCs w:val="17"/>
        </w:rPr>
        <w:t xml:space="preserve"> modelo propio;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[S]</w:t>
      </w:r>
      <w:r>
        <w:rPr>
          <w:rFonts w:ascii="Arial" w:cs="Arial" w:eastAsia="Arial" w:hAnsi="Arial"/>
          <w:sz w:val="17"/>
          <w:szCs w:val="17"/>
        </w:rPr>
        <w:t xml:space="preserve"> supuesto ilustrativo;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[V]</w:t>
      </w:r>
      <w:r>
        <w:rPr>
          <w:rFonts w:ascii="Arial" w:cs="Arial" w:eastAsia="Arial" w:hAnsi="Arial"/>
          <w:sz w:val="17"/>
          <w:szCs w:val="17"/>
        </w:rPr>
        <w:t xml:space="preserve"> pendiente de validación. Archivos: Excel de una hoja y tablero web (mismas fórmulas; sus KPI coinciden). Datos de las filas de ejemplo: ilustrativos, no de GRB.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1. El paper y qué es API 581 frente al modelo del paper</w:t>
      </w:r>
    </w:p>
    <w:p>
      <w:pPr>
        <w:spacing w:after="20" w:before="0" w:line="276"/>
      </w:pPr>
      <w:r>
        <w:rPr>
          <w:rFonts w:ascii="Arial" w:cs="Arial" w:eastAsia="Arial" w:hAnsi="Arial"/>
          <w:sz w:val="21"/>
          <w:szCs w:val="21"/>
        </w:rPr>
        <w:t xml:space="preserve">Oropallo, Piscopo, Centobelli, Cerchione, Nuevo y Rodríguez-Prieto, Safety Science 177 (2024) 106570, doi:10.1016/j.ssci.2024.106570, construyen un DSS basado en RBI de API RP 581 (2016) y comparan inspección por tiempo (TBI: externa cada 3 años, interna cada 9) con cuatro estrategias RBI (Tablas 3 y 6)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 intercambiador de coraza y tubos</w:t>
      </w:r>
      <w:r>
        <w:rPr>
          <w:rFonts w:ascii="Arial" w:cs="Arial" w:eastAsia="Arial" w:hAnsi="Arial"/>
          <w:sz w:val="21"/>
          <w:szCs w:val="21"/>
        </w:rPr>
        <w:t xml:space="preserve"> de una planta petroquímica de España (datos SGS), para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tres mecanismos</w:t>
      </w:r>
      <w:r>
        <w:rPr>
          <w:rFonts w:ascii="Arial" w:cs="Arial" w:eastAsia="Arial" w:hAnsi="Arial"/>
          <w:sz w:val="21"/>
          <w:szCs w:val="21"/>
        </w:rPr>
        <w:t xml:space="preserve"> (adelgazamiento, corrosión externa, CUI), plan 2023–2056 y objetivo de riesgo "medio". Datos [P Tabla 2, §2.3]: A-106 Gr. B, 120 °C, 114 bar, Di 203 mm, t = 8,3 mm (2018), CR interna 0,05, externa 0,025 y CUI 0,127 mm/año, score 750, inspecciones previas ineficaces; riesgo inicial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1C</w:t>
      </w:r>
      <w:r>
        <w:rPr>
          <w:rFonts w:ascii="Arial" w:cs="Arial" w:eastAsia="Arial" w:hAnsi="Arial"/>
          <w:sz w:val="21"/>
          <w:szCs w:val="21"/>
        </w:rPr>
        <w:t xml:space="preserve"> [P Fig. 5]. Inversión = 210 USD de implantación RBI + inspecciones (Tablas 4–5, 7–8); ahorro = costo TBI − costo RBI (Tablas 9–10); resultado: RBI más barato y con ventaja creciente [P Fig. 7–8].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 paper no calcula SIR, VAN ni ROI: los calculo yo [M].</w:t>
      </w:r>
    </w:p>
    <w:tbl>
      <w:tblPr>
        <w:tblW w:type="dxa" w:w="105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7"/>
        <w:gridCol w:w="3075"/>
        <w:gridCol w:w="3429"/>
      </w:tblGrid>
      <w:tr>
        <w:trPr>
          <w:cantSplit/>
          <w:tblHeader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rPr>
          <w:cantSplit/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POF = GFF·DF·FMS; DF por mecanismo; FC = ΣFC; categorías y matriz de riesgo</w:t>
            </w:r>
          </w:p>
        </w:tc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581 (según [P])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§2.2 Ec.1–13, Fig. 3, Fig. 5]</w:t>
            </w:r>
          </w:p>
        </w:tc>
      </w:tr>
      <w:tr>
        <w:trPr>
          <w:cantSplit/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Ec. 2–8 (Cr, Art, FS, SRP, Df) y Ec. 9–12 (áreas de consecuencia)</w:t>
            </w:r>
          </w:p>
        </w:tc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Adaptación de API 581 P.2 y P.3 descrita por el paper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§2.2]; constantes internas no publicadas [V]</w:t>
            </w:r>
          </w:p>
        </w:tc>
      </w:tr>
      <w:tr>
        <w:trPr>
          <w:cantSplit/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Estrategias 1–4, prioridad de efectividad, costos de inspección, 210 USD, TBI 3/9 años, objetivo "medio"</w:t>
            </w:r>
          </w:p>
        </w:tc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del paper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§2.3, Tablas 3–10]</w:t>
            </w:r>
          </w:p>
        </w:tc>
      </w:tr>
      <w:tr>
        <w:trPr>
          <w:cantSplit/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RR, ahorro por diferimiento, I0, SIR, VAN, ROI, LCC, DPN, LSE, RUL, decisión FFS, sensibilidades</w:t>
            </w:r>
          </w:p>
        </w:tc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propio [M]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Este documento, Excel y tablero</w:t>
            </w:r>
          </w:p>
        </w:tc>
      </w:tr>
    </w:tbl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2. Ecuaciones numeradas y fórmula del DF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POF = GFF · DF · FMS   [P Ec.1; GFF en 1/año; DF, FMS adimensionales]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(1)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FMS = 10^(1 − 0,02·score/10)   [N: API 581 P.2 Anexo 2.A, fórmula recordada, V; score 750 → 0,316]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(2)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Art = CR · edad / t   [P Ec.4; CR mm/año, edad años, t mm]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(3)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DF_ini = DF del cálculo previo (usuario); si vacío: T2(Art) (corrosión/adelgazamiento) o T3(susceptibilidad) (fisuración)   [M]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(4)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DF_post = máx[1; DF_ini·(1 − conf_A–E)·f_FFS]; No apto ⇒ DF_post = 1   [conf: punto medio de P Tabla 1; f_FFS M/S: 0,05 apto, 0,30 con limitaciones]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(5)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FC = FCcmd + FCaffa + FCprod + FCinj + FCenviron   [P Ec.13; USD]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(6)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FCinj = CA_inj·ρ·VSL; LSE = POF·CA_inj·ρ (personas/año); DPN = FC·(1 − f_mit); FC_ef = FC·[(1−%prod) + %prod·K_prod]   [M, valores de P §2.3]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(7)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EMV₀ = POF₀·COF₀; EMV₁ = POF₁·COF₁ (COF₁ = COF₀); ΔEMV = EMV₀ − EMV₁ (USD/año, esperado)   [POF, COF: P/API 581; EMV: M]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(8)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AD = (C_insp·K_insp + L_parada·K_prod)·(1/T_TBI − 1/T_RBI)   [M con datos P Tablas 4–5, 9–10]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(9)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I0 = C_insp·K_insp + C_FFS(nivel) + C_rep·K_rep (si No apto o con limitaciones) + 210   [M; 210: P §2.3]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(10)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A_esp = ΔEMV + AD − OPEX; A_caja = AD − OPEX; FA = [1−(1+r)^−N]/r; VP = A·FA; SIR = VP/I0 (aceptable si &gt; 1); VAN_N = VP − I0 (N = 1 y 10 años); ROI = (N·A − I0)/I0; payback = I0/A; desc. = −ln(1 − I0·r/A)/ln(1+r); VAN y SIR de caja real con A_caja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(11)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LCC_TBI = (C_TBI + R_ini)·FA; LCC_RBI = (C_RBI + R_res)·FA + I0; LCC_TBI − LCC_RBI = VAN (chequeo sin doble conteo)   [M; ISO 15663]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(12)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VP_FFS = (R_solo-inspección − R_FFS)·FA − C_FFS − C_limitaciones; rechazar FFS = 0   [M]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(13)</w:t>
      </w:r>
    </w:p>
    <w:p>
      <w:pPr>
        <w:shd w:fill="F1F5FA" w:val="clear"/>
        <w:spacing w:after="30" w:before="8"/>
        <w:ind w:left="250"/>
      </w:pPr>
      <w:r>
        <w:rPr>
          <w:rFonts w:ascii="Arial" w:cs="Arial" w:eastAsia="Arial" w:hAnsi="Arial"/>
          <w:sz w:val="21"/>
          <w:szCs w:val="21"/>
        </w:rPr>
        <w:t xml:space="preserve">RUL = (t − t_mín)/CR − edad (años); extensión de vida: C_reemplazo·[1 − (1+r)^−ΔRUL] (propuesta, no implementada)   [M]</w:t>
      </w:r>
      <w:r>
        <w:rPr>
          <w:rFonts w:ascii="Arial" w:cs="Arial" w:eastAsia="Arial" w:hAnsi="Arial"/>
          <w:b/>
          <w:bCs/>
          <w:color w:val="1F3A5F"/>
          <w:sz w:val="17"/>
          <w:szCs w:val="17"/>
        </w:rPr>
        <w:t xml:space="preserve">   (14)</w:t>
      </w:r>
    </w:p>
    <w:p>
      <w:pPr>
        <w:spacing w:after="20" w:before="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DF de API 581 y qué usa esta hoja.</w:t>
      </w:r>
      <w:r>
        <w:rPr>
          <w:rFonts w:ascii="Arial" w:cs="Arial" w:eastAsia="Arial" w:hAnsi="Arial"/>
          <w:sz w:val="21"/>
          <w:szCs w:val="21"/>
        </w:rPr>
        <w:t xml:space="preserve"> El paper publica: Art (Ec.4), flow stress FS = (YS+TS)/2·E·1,1 (Ec.5), SRP = P·D/(α·FS·t_rd) con α = 2 en cilindro (Ec.6), Df = [ΣPop_i·Φ(−β_i)]/1,56E-04 para tres estados de daño con factores de CR 1, 2 y 4 (Ec.7) y, en adelgazamiento, Df = máx[Df_B·F_IP·F_DL; 0,1] (Ec.8). Las Pop_i son posteriores bayesianas que dependen del número y efectividad (A–D) de inspecciones; los β_i dependen de Art, del factor del estado, del coeficiente de variación del espesor y de SRP.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 paper no publica</w:t>
      </w:r>
      <w:r>
        <w:rPr>
          <w:rFonts w:ascii="Arial" w:cs="Arial" w:eastAsia="Arial" w:hAnsi="Arial"/>
          <w:sz w:val="21"/>
          <w:szCs w:val="21"/>
        </w:rPr>
        <w:t xml:space="preserve"> las probabilidades previas y condicionales, los coeficientes de variación ni la expresión de β: deben tomarse de API RP 581 3.ª ed. Parte 2 (sección de adelgazamiento)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[V]</w:t>
      </w:r>
      <w:r>
        <w:rPr>
          <w:rFonts w:ascii="Arial" w:cs="Arial" w:eastAsia="Arial" w:hAnsi="Arial"/>
          <w:sz w:val="21"/>
          <w:szCs w:val="21"/>
        </w:rPr>
        <w:t xml:space="preserve">. Por eso el DF de esta hoja 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modelo propio [M]</w:t>
      </w:r>
      <w:r>
        <w:rPr>
          <w:rFonts w:ascii="Arial" w:cs="Arial" w:eastAsia="Arial" w:hAnsi="Arial"/>
          <w:sz w:val="21"/>
          <w:szCs w:val="21"/>
        </w:rPr>
        <w:t xml:space="preserve">: se ingresa el DF de su cálculo API 581 o se estima con T2/T3 (valores orientativos que debe sustituir); no reproduce el DF de API 581.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3. Lógica financiera: escenario base vs escenario RBI/FFS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Tres planos que no se mezclan.</w:t>
      </w:r>
      <w:r>
        <w:rPr>
          <w:rFonts w:ascii="Arial" w:cs="Arial" w:eastAsia="Arial" w:hAnsi="Arial"/>
          <w:sz w:val="21"/>
          <w:szCs w:val="21"/>
        </w:rPr>
        <w:t xml:space="preserve"> (a)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Riesgo técnico:</w:t>
      </w:r>
      <w:r>
        <w:rPr>
          <w:rFonts w:ascii="Arial" w:cs="Arial" w:eastAsia="Arial" w:hAnsi="Arial"/>
          <w:sz w:val="21"/>
          <w:szCs w:val="21"/>
        </w:rPr>
        <w:t xml:space="preserve"> POF y COF (API 581 y paper). (b)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Beneficio económico esperado:</w:t>
      </w:r>
      <w:r>
        <w:rPr>
          <w:rFonts w:ascii="Arial" w:cs="Arial" w:eastAsia="Arial" w:hAnsi="Arial"/>
          <w:sz w:val="21"/>
          <w:szCs w:val="21"/>
        </w:rPr>
        <w:t xml:space="preserve"> EMV = POF × COF, valor esperado probabilístico; ΔEMV no es caja, es la pérdida esperada que se evita. (c)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Flujo de caja real:</w:t>
      </w:r>
      <w:r>
        <w:rPr>
          <w:rFonts w:ascii="Arial" w:cs="Arial" w:eastAsia="Arial" w:hAnsi="Arial"/>
          <w:sz w:val="21"/>
          <w:szCs w:val="21"/>
        </w:rPr>
        <w:t xml:space="preserve"> ahorros y costos efectivos (inspección, FFS, reparación, OPEX, paradas). Se reportan dos VAN: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esperado</w:t>
      </w:r>
      <w:r>
        <w:rPr>
          <w:rFonts w:ascii="Arial" w:cs="Arial" w:eastAsia="Arial" w:hAnsi="Arial"/>
          <w:sz w:val="21"/>
          <w:szCs w:val="21"/>
        </w:rPr>
        <w:t xml:space="preserve"> (incluye ΔEMV)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 caja real</w:t>
      </w:r>
      <w:r>
        <w:rPr>
          <w:rFonts w:ascii="Arial" w:cs="Arial" w:eastAsia="Arial" w:hAnsi="Arial"/>
          <w:sz w:val="21"/>
          <w:szCs w:val="21"/>
        </w:rPr>
        <w:t xml:space="preserve"> (excluye ΔEMV). El COF no cambia con la inspección ni el FFS (COF₁ = COF₀); cambia la POF.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Sin doble conteo:</w:t>
      </w:r>
      <w:r>
        <w:rPr>
          <w:rFonts w:ascii="Arial" w:cs="Arial" w:eastAsia="Arial" w:hAnsi="Arial"/>
          <w:sz w:val="21"/>
          <w:szCs w:val="21"/>
        </w:rPr>
        <w:t xml:space="preserve"> ΔEMV producción es la pérdida por falla; el downtime evitado es la pérdida por paradas planificadas de inspección (eventos distintos); la inspección inicial va en I0 y el ahorro por diferimiento solo cuenta la diferencia de frecuencia; el OPEX se resta una vez.</w:t>
      </w:r>
    </w:p>
    <w:tbl>
      <w:tblPr>
        <w:tblW w:type="dxa" w:w="10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3"/>
        <w:gridCol w:w="1501"/>
        <w:gridCol w:w="1501"/>
        <w:gridCol w:w="2502"/>
        <w:gridCol w:w="1701"/>
      </w:tblGrid>
      <w:tr>
        <w:trPr>
          <w:cantSplit/>
          <w:tblHeader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(flujo incremental)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¿Depende del barril?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Portafolio (USD)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EMV₀ → EMV₁ (POF·COF)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Técnico/esperado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581 / [P Ec.1, 13]; DF post: [M]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35.034 → 5.114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ΔEMV producción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Esperado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 + FCprod ([P §2.3]; días [S])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14.999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ΔEMV otras consecuencias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Esperado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§2.3]: 4.000 USD/m², 10.000 USD/persona, 0,1 pers/m²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14.921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Downtime evitado (diferimiento)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Caja real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(margen)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Tablas 9–10] + margen [S]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159.190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Ahorro por menor inspección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Caja real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Tablas 4–5, 9–10]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10.077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OPEX incremental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Caja real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[S]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−7.500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Inspección inicial; FFS + implantación; reparación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Caja real (t=0)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Tabla 4], 210 USD [P §2.3]; FFS y reparación [S]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−149.720; −43.470; −270.000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esperado = ΔEMV + ahorros − OPEX; A caja real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Esperado / caja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191.686 / 161.766 /año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VAN 10 años; VAN 1 año; SIR; ROI; payback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Esperado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[M], r = 10 %, N = 10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714.640; −288.930; 2,54; 314 %; 2,4 a</w:t>
            </w:r>
          </w:p>
        </w:tc>
      </w:tr>
      <w:tr>
        <w:trPr>
          <w:cantSplit/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VAN de caja real; SIR; payback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Caja real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530.793; 2,15; 2,9 a</w:t>
            </w:r>
          </w:p>
        </w:tc>
      </w:tr>
    </w:tbl>
    <w:p>
      <w:pPr>
        <w:spacing w:after="30" w:before="3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Lectura:</w:t>
      </w:r>
      <w:r>
        <w:rPr>
          <w:rFonts w:ascii="Arial" w:cs="Arial" w:eastAsia="Arial" w:hAnsi="Arial"/>
          <w:sz w:val="21"/>
          <w:szCs w:val="21"/>
        </w:rPr>
        <w:t xml:space="preserve"> solo 30.000 de los 192.000 USD/año de beneficio esperado son ΔEMV; el grueso (159.000) es downtime evitado por diferir inspecciones, que sí es caja pero depende del margen supuesto. Si ese supuesto falla, el caso económico cambia (sección 9).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Precio del barril:</w:t>
      </w:r>
      <w:r>
        <w:rPr>
          <w:rFonts w:ascii="Arial" w:cs="Arial" w:eastAsia="Arial" w:hAnsi="Arial"/>
          <w:sz w:val="21"/>
          <w:szCs w:val="21"/>
        </w:rPr>
        <w:t xml:space="preserve"> solo afecta ΔEMV producción y downtime evitado, vía lucro cesante = barriles × margen neto; aquí margen = precio × margen % (simplificación propia [S]; precio 80 USD/bbl y 10 % son supuestos). No dependen del barril: inspección, FFS, reparación, OPEX, ΔEMV de otras consecuencias.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4. Cadena integrada y trazabilidad de normas</w:t>
      </w:r>
    </w:p>
    <w:tbl>
      <w:tblPr>
        <w:tblW w:type="dxa" w:w="105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3634"/>
        <w:gridCol w:w="2422"/>
        <w:gridCol w:w="2590"/>
      </w:tblGrid>
      <w:tr>
        <w:trPr>
          <w:cantSplit/>
          <w:tblHeader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 / tablero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NDE → mecanismo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Técnica por mecanismo (UT/AUT, radiografía de perfil, corrientes de Foucault pulsadas, PAUT/TOFD); opción no intrusiva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§2.3, Tabla 5]; PCC-3 (edición 2022 según usted; no verificada)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Efectividad A–E, mecanismo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 → POF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Ec. 1–5; sulfidación y nafténica como adelgazamiento con CR propia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581 P.2 [N/V]; [P Ec.1–8]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DF, POF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COF → riesgo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Ec. 6–8; categorías C(A–E); posición inicial en RAM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581 P.3 (12 pasos) y P.1 (Tablas 4.1/4.2 según usted) [V]; [P Ec.9–13, Fig. 5]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FC, riesgo, RAM antes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RBI/inspección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 de riesgo, intervalo, efectividad; DF posterior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581 P.1; PCC-3 §7–10 según usted [V]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Intervalos, Ec. 5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FFS/RUL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Nivel 1 cribado, 2 detallado, 3 avanzado; APTO / CON LIMITACIONES / NO APTO; FAD pasa/no pasa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579-1/ASME FFS-1 (ed. 2016 o 2021, V); resultado ingresado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FFS, RUL, alerta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Riesgo residual → ΔEMV → downtime evitado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DF_post, POF₁, RAM después; ΔEMV; AD por menor inspección y menor parada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Ec. 5, 8, 9; [P Tablas 9–10]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 después, ΔEMV, ahorros</w:t>
            </w:r>
          </w:p>
        </w:tc>
      </w:tr>
      <w:tr>
        <w:trPr>
          <w:cantSplit/>
          <w:tblHeader w:val="off"/>
        </w:trPr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Flujo → VAN → SIR → ROI → payback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VAN a 1 y 10 años, LCC, decisión FFS, sensibilidades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Ec. 10–13; ISO 15663 y ISO 55010 (sin DOI)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Totales, KPI, FNDA</w:t>
            </w:r>
          </w:p>
        </w:tc>
      </w:tr>
    </w:tbl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5. Ejemplo numérico: intercambiador de coraza y tubos E-101 (datos [P] + supuestos [S])</w:t>
      </w:r>
    </w:p>
    <w:p>
      <w:pPr>
        <w:spacing w:after="14" w:before="0" w:line="276"/>
      </w:pPr>
      <w:r>
        <w:rPr>
          <w:rFonts w:ascii="Arial" w:cs="Arial" w:eastAsia="Arial" w:hAnsi="Arial"/>
          <w:sz w:val="21"/>
          <w:szCs w:val="21"/>
        </w:rPr>
        <w:t xml:space="preserve">Supuestos [S]: CA = 60 m², 3 días de parada, FCaffa = 25 % de FCcmd, FCenviron = 20.000 USD, f_mit = 10 %, FFS nivel 1 = 3.000 USD, r = 10 %, N = 10, inspección A = 720 USD [P Tabla 4], TBI 9 años y RBI 17 años [P Tablas 6, 9], parada evitada 10.000 USD [P Tabla 9] (6 h × 40.000 USD/día).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2143"/>
        <w:gridCol w:w="1584"/>
        <w:gridCol w:w="2143"/>
        <w:gridCol w:w="2311"/>
      </w:tblGrid>
      <w:tr>
        <w:trPr>
          <w:cantSplit/>
          <w:tblHeader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Ecuación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económico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 = 8,3 mm; CR 0,132; 22 años sin inspección efectiva [S]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Ec.4]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 = 0,350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Art; tabla T2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(4)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 = 250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GFF 3,06E-05 [N/V]; score 750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(1),(2)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FMS 0,316; POF 2,42E-03/año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 USD/m², 40.000 USD/día×3, 10.000 USD/pers, ρ = 0,1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(6),(7)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§2.3]+[S]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 = 450.000 USD (C)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Riesgo 4C: 1.088,6 USD/año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Inspección A (conf. 80–100 %)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(5)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Tabla 1]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 25 → 3C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108,9 USD/año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FFS nivel 1 Apto/Pasa (resultado supuesto)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(5)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[M/S]; API 579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 1,25 → 1C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 USD/año; RR = 1.083,2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TBI 9 / RBI 17 años; 720 y 10.000 USD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(9)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 Tablas 6, 9]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 = 560,5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+560,5 USD/año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I0 = 720 + 3.000 + 210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(10),(11)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I0 = 3.930; A = 1.643,7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SIR 2,57; VAN10 = +6.170; VAN1 = −2.436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ROI, payback, LCC, FFS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(11)–(13)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[M]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ROI 318 %; payback 2,4 a (desc. 2,9); LCC 14.008 → 7.838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Aprobar FFS: 636 − 3.000 = −2.365 USD</w:t>
            </w:r>
          </w:p>
        </w:tc>
      </w:tr>
    </w:tbl>
    <w:p>
      <w:pPr>
        <w:spacing w:after="14" w:before="14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Lectura:</w:t>
      </w:r>
      <w:r>
        <w:rPr>
          <w:rFonts w:ascii="Arial" w:cs="Arial" w:eastAsia="Arial" w:hAnsi="Arial"/>
          <w:sz w:val="21"/>
          <w:szCs w:val="21"/>
        </w:rPr>
        <w:t xml:space="preserve"> el riesgo se mueve 4C → 3C con RBI y → 1C con FFS (nivel RAM medio-alto → bajo). Para E-101 la inspección se justifica (SIR 2,57) pero aprobar el FFS, por sí solo, no (−2.365 USD): con FC de 450.000 USD el riesgo evitado es pequeño; el FFS se justifica por seguridad, cumplimiento o para evitar reemplazo, no incluidos.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Aviso [V]:</w:t>
      </w:r>
      <w:r>
        <w:rPr>
          <w:rFonts w:ascii="Arial" w:cs="Arial" w:eastAsia="Arial" w:hAnsi="Arial"/>
          <w:sz w:val="21"/>
          <w:szCs w:val="21"/>
        </w:rPr>
        <w:t xml:space="preserve"> con los datos del paper (114 bar, Di 203 mm, S = 151 MPa) t_req = 11,4·101,5/(151 − 6,84) = 8,03 mm frente a 8,3 mm medidos en 2018; el escenario de 22 años da RUL &lt; 0 y la hoja alerta "RUL&lt;0 con FFS apto". El "Apto" de E-101 es un supuesto para ilustrar la mecánica; un FFS real (API 579) con esos datos no daría margen.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6. Validación contra el paper</w:t>
      </w:r>
    </w:p>
    <w:tbl>
      <w:tblPr>
        <w:tblW w:type="dxa" w:w="105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4"/>
        <w:gridCol w:w="3448"/>
        <w:gridCol w:w="3429"/>
      </w:tblGrid>
      <w:tr>
        <w:trPr>
          <w:cantSplit/>
          <w:tblHeader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en [P]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Recalculado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Riesgo inicial 1C (§3, Fig. 5)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Edad 5 años (2018→2023), CR 0,132, t 8,3 ⇒ Art 0,080 ⇒ DF 2 ⇒ prob. 1; FC 450.000 ⇒ C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Coincide [S en FC]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TBI intrusivo 43.360 USD (Tabla 9); no intrusivo 3.840 (Tabla 10)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8·240+4·360+4·10.000; 8·240+4·480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Coincide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RBI estrategia 1 intrusiva 11.650 (Tabla 7)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210+720+720+10.000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Coincide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RBI estrategia 2 intrusiva 1.170 (Tabla 7)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210+600+600 = 1.410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coincide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RBI estrategia 1 no intrusiva 1.080 (Tabla 8)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210+720+1.080 = 2.010; la estrategia 2 (1.170) sería la mejor, no la 1 (§3)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coincide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 total 0,132 mm/año (§2.3); Tabla 6, nota CUIF-C = "efectividad B"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0,05+0,025+0,127 = 0,202; debe decir C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reproducible / error tipográfico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40.000 "$/m²" (§2.3)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9: 6 h ⇒ 10.000 USD ⇒ 40.000 USD/día; reposición 4.000 USD/m²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Rótulo erróneo en [P]</w:t>
            </w:r>
          </w:p>
        </w:tc>
      </w:tr>
      <w:tr>
        <w:trPr>
          <w:cantSplit/>
          <w:tblHeader w:val="off"/>
        </w:trPr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TBI vs RBI-2 (2023–2056)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Intrusiva 43.360 → 1.410 (−96,7 %); no intrusiva 3.840 → 1.170 (−69,5 %); VP 10 %: 10.532 vs 487 ⇒ SIR = 20,6 [M]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</w:t>
            </w:r>
          </w:p>
        </w:tc>
      </w:tr>
    </w:tbl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7. API 581, PCC-3, API 579 y matriz RAM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581.</w:t>
      </w:r>
      <w:r>
        <w:rPr>
          <w:rFonts w:ascii="Arial" w:cs="Arial" w:eastAsia="Arial" w:hAnsi="Arial"/>
          <w:sz w:val="21"/>
          <w:szCs w:val="21"/>
        </w:rPr>
        <w:t xml:space="preserve"> P.1: planificación y objetivo de riesgo; P.2: DF (adelgazamiento; corrosión externa y CUI: [P] cita las Tablas 15.2M y 16.2M, es decir secciones 15 y 16, no 16 y 17 [V]) y efectividad A–E; P.3: consecuencia (12 pasos, áreas, FC, lesiones) y categorías. La POF posterior a una inspección se actualiza con la efectividad: [P] la calcula bayesiana (Ec.7); aquí se aproxima con Ec. 5 [M].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ASME PCC-3</w:t>
      </w:r>
      <w:r>
        <w:rPr>
          <w:rFonts w:ascii="Arial" w:cs="Arial" w:eastAsia="Arial" w:hAnsi="Arial"/>
          <w:sz w:val="21"/>
          <w:szCs w:val="21"/>
        </w:rPr>
        <w:t xml:space="preserve"> aporta lo que API 581 no organiza: gestión del riesgo mediante actividades de inspección (qué, dónde, cómo, cuándo), selección de técnicas por mecanismo y una matriz de riesgo de ejemplo (secciones 7–10 según usted [V]).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579-1/ASME FFS-1</w:t>
      </w:r>
      <w:r>
        <w:rPr>
          <w:rFonts w:ascii="Arial" w:cs="Arial" w:eastAsia="Arial" w:hAnsi="Arial"/>
          <w:sz w:val="21"/>
          <w:szCs w:val="21"/>
        </w:rPr>
        <w:t xml:space="preserve"> se inserta cuando el riesgo supera el objetivo o hay daño: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Apto</w:t>
      </w:r>
      <w:r>
        <w:rPr>
          <w:rFonts w:ascii="Arial" w:cs="Arial" w:eastAsia="Arial" w:hAnsi="Arial"/>
          <w:sz w:val="21"/>
          <w:szCs w:val="21"/>
        </w:rPr>
        <w:t xml:space="preserve"> ⇒ recalcular DF/POF y RR;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Apto con limitaciones</w:t>
      </w:r>
      <w:r>
        <w:rPr>
          <w:rFonts w:ascii="Arial" w:cs="Arial" w:eastAsia="Arial" w:hAnsi="Arial"/>
          <w:sz w:val="21"/>
          <w:szCs w:val="21"/>
        </w:rPr>
        <w:t xml:space="preserve"> ⇒ crédito parcial más costo de limitación;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apto</w:t>
      </w:r>
      <w:r>
        <w:rPr>
          <w:rFonts w:ascii="Arial" w:cs="Arial" w:eastAsia="Arial" w:hAnsi="Arial"/>
          <w:sz w:val="21"/>
          <w:szCs w:val="21"/>
        </w:rPr>
        <w:t xml:space="preserve"> ⇒ costo de reparación/reemplazo en I0 y DF = 1 tras reparar. Aprobar o rechazar se valora con Ec. 13.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Bayes y Weibull.</w:t>
      </w:r>
      <w:r>
        <w:rPr>
          <w:rFonts w:ascii="Arial" w:cs="Arial" w:eastAsia="Arial" w:hAnsi="Arial"/>
          <w:sz w:val="21"/>
          <w:szCs w:val="21"/>
        </w:rPr>
        <w:t xml:space="preserve"> La actualización bayesiana del DF de adelgazamiento es de [P Ec.7] y API 581 (posteriores según efectividad y número de inspecciones); no se reproduce aquí. Weibull, F(t) = 1 − exp[−(t/η)^β] con datos de falla estructurados según ISO 14224, es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modelo complementario</w:t>
      </w:r>
      <w:r>
        <w:rPr>
          <w:rFonts w:ascii="Arial" w:cs="Arial" w:eastAsia="Arial" w:hAnsi="Arial"/>
          <w:sz w:val="21"/>
          <w:szCs w:val="21"/>
        </w:rPr>
        <w:t xml:space="preserve"> [M] para contrastar el GFF genérico; no está implementado ni en [P] ni en API 581.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RAM cualitativa vs API 581 cuantitativa.</w:t>
      </w:r>
      <w:r>
        <w:rPr>
          <w:rFonts w:ascii="Arial" w:cs="Arial" w:eastAsia="Arial" w:hAnsi="Arial"/>
          <w:sz w:val="21"/>
          <w:szCs w:val="21"/>
        </w:rPr>
        <w:t xml:space="preserve"> RAM 5×5 (probabilidad 1–5 × consecuencia A–E; colores de [P Fig. 5]; umbrales DF y FC editables [V]) comunica prioridad y objetivo; API 581 da USD/año. El Excel calcula riesgo desde categorías (valores representativos) o desde POF·FC (interruptor) y marca "REVISAR" si no coinciden; se usa un solo riesgo por corrida para no duplicar conteo.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8. Gráficos del portafolio de ejemplo: RAM antes/después y flujo descontado</w:t>
      </w:r>
    </w:p>
    <w:p>
      <w:pPr>
        <w:spacing w:after="40"/>
        <w:jc w:val="center"/>
      </w:pPr>
      <w:r>
        <w:drawing>
          <wp:inline distT="0" distB="0" distL="0" distR="0">
            <wp:extent cx="4953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>Matriz RAM 5×5 (colores de [P Fig. 5]) con los 7 equipos ilustrativos: E-101 pasa de 4C a 1C; R-2101 de 3E a 1E; T-1101 de 3D a 1D (tras reparar); H-2201 de 3D a 2D; D-3301 queda en 4D (FFS "Revisar": sin crédito) y sigue sobre el objetivo. Cualitativo: la posición en la matriz; cuantitativo: los USD/año del gráfico inferior.</w:t>
      </w:r>
    </w:p>
    <w:p>
      <w:pPr>
        <w:spacing w:after="40"/>
        <w:jc w:val="center"/>
      </w:pPr>
      <w:r>
        <w:drawing>
          <wp:inline distT="0" distB="0" distL="0" distR="0">
            <wp:extent cx="4953000" cy="1876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76"/>
      </w:pPr>
      <w:r>
        <w:rPr>
          <w:rFonts w:ascii="Arial" w:cs="Arial" w:eastAsia="Arial" w:hAnsi="Arial"/>
          <w:sz w:val="19"/>
          <w:szCs w:val="19"/>
        </w:rPr>
        <w:t xml:space="preserve">Portafolio de 7 equipos: EMV₀ 35.034 USD/año, EMV₁ 5.114, ΔEMV 29.920; inversión 463.190 USD; VAN a 1 año −288.930 y a 10 años +714.640 USD (caja real +530.793); payback simple 2,4 años; SIR agregado 2,54 (promedio por equipo 4,44); payback descontado en el año 3 (caja real: año 4). Cifras ilustrativas, no resultados de GRB.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9. Escenarios y sensibilidades (7 filas de ejemplo, N = 10; base SIR 2,54, VAN 0,71 M USD)</w:t>
      </w:r>
    </w:p>
    <w:tbl>
      <w:tblPr>
        <w:tblW w:type="dxa" w:w="105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3541"/>
        <w:gridCol w:w="3895"/>
      </w:tblGrid>
      <w:tr>
        <w:trPr>
          <w:cantSplit/>
          <w:tblHeader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 (multiplicador; [S] editables)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SIR esperado (VAN esperado) · SIR caja (VAN caja)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 o margen bajo 0,75 / alto 1,25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1,97 (0,45 M) · 1,62 (0,29 M) / 3,12 (0,98 M) · 2,67 (0,78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 y margen entran como producto: mismo efecto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Downtime bajo 0,75 / alto 1,5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1,97 (0,45 M) / 3,70 (1,25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mayor apalancamiento: es el ahorro dominante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Costo de inspección 0,85 / 1,25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2,65 (0,73 M) / 2,38 (0,69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Poco sensible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Costo de reparación 0,85 / 1,5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2,79 (0,76 M) / 1,97 (0,58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Sensible por T-1101 (250.000 USD)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COMBINADO beneficio bajo (precio, margen, downtime bajos; inspección y reparación altas)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0,90 (−0,06 M) · 0,70 (−0,19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programa no se paga en el peor caso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COMBINADO beneficio alto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6,51 (2,21 M) · 5,74 (1,90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WACC 6 / 10 / 20 %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3,05 (0,95 M) / 2,54 (0,71 M) / 1,74 (0,34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SIR &gt; 1 en todo el rango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Precio, margen o downtime × 0,5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1,39 (0,18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Aún &gt; 1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Efectividad NDE A / D en todos los equipos (costo relativo [P Tabla 4])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2,40 (0,70 M) / 2,81 (0,73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deja 11.411 vs 1.804 USD/año de riesgo residual: elegir con el objetivo de riesgo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Vida extendida ΔRUL 2 / 5 / 10 años [M]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VAN 0,76 M / 0,82 M / 0,88 M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8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Reemplazo diferido: C·[1 − (1+r)^−ΔRUL], C = 270.000 USD</w:t>
            </w:r>
          </w:p>
        </w:tc>
      </w:tr>
      <w:tr>
        <w:trPr>
          <w:cantSplit/>
          <w:tblHeader w:val="off"/>
        </w:trPr>
        <w:tc>
          <w:tcPr>
            <w:tcW w:type="dxa" w:w="3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Tasa de corrosión/CUI × 0,8 / 1,25 / 1,5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2,52 (0,70 M) / 2,85 (0,86 M) / 2,93 (0,89 M)</w:t>
            </w:r>
          </w:p>
        </w:tc>
        <w:tc>
          <w:tcPr>
            <w:tcW w:type="dxa" w:w="3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Más CR ⇒ más ΔEMV; equipos sobre objetivo 1 → 2</w:t>
            </w:r>
          </w:p>
        </w:tc>
      </w:tr>
    </w:tbl>
    <w:p>
      <w:pPr>
        <w:spacing w:after="14" w:before="14" w:line="276"/>
      </w:pPr>
      <w:r>
        <w:rPr>
          <w:rFonts w:ascii="Arial" w:cs="Arial" w:eastAsia="Arial" w:hAnsi="Arial"/>
          <w:sz w:val="21"/>
          <w:szCs w:val="21"/>
        </w:rPr>
        <w:t xml:space="preserve">Por planta y por unidad, el Excel y el tablero consolidan riesgo inicial y residual, ahorros, costos de inspección/FFS/reparación, VAN a 1 y 10 años, SIR y payback. No calculé totales de la refinería: no hay inventario real. Verificado en prensa (no auditado): capacidad máxima 250.000 bpd (246.000 en 2024; otra fuente cita 225.000 bpd procesados en promedio), 54 unidades de refinación y 32 de servicios industriales; su cifra de 52 no coincide, y no hallé fuentes públicas sobre U130/U150/U200/U250/U2000/U2100, 45 intercambiadores ni el uso de API 579 en GRB [V]. Margen 8 USD/bbl (precio 80 × 10 %) es [S].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Alertas</w:t>
      </w:r>
      <w:r>
        <w:rPr>
          <w:rFonts w:ascii="Arial" w:cs="Arial" w:eastAsia="Arial" w:hAnsi="Arial"/>
          <w:sz w:val="21"/>
          <w:szCs w:val="21"/>
        </w:rPr>
        <w:t xml:space="preserve"> de nuevos DOI, ecuaciones o guías API/ASME: no pueden ejecutarse desde este documento; requieren una tarea programada (indíqueme frecuencia y canal).</w:t>
      </w:r>
    </w:p>
    <w:p>
      <w:pPr>
        <w:pStyle w:val="Heading2"/>
        <w:keepNext/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10. Fuentes y glosario</w:t>
      </w:r>
    </w:p>
    <w:p>
      <w:pPr>
        <w:spacing w:after="90" w:before="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Con DOI:</w:t>
      </w:r>
      <w:r>
        <w:rPr>
          <w:rFonts w:ascii="Arial" w:cs="Arial" w:eastAsia="Arial" w:hAnsi="Arial"/>
          <w:sz w:val="18"/>
          <w:szCs w:val="18"/>
        </w:rPr>
        <w:t xml:space="preserve"> [1] Oropallo et al. (2024) doi:10.1016/j.ssci.2024.106570 (base). [2] Bertolini et al. (2009) J. Loss Prev. Process Ind. 22(2) 244–253, doi:10.1016/j.jlp.2009.01.003 (RBI en refinería). [3] Khan y Haddara (2004) Process Saf. Prog. 23(4) 252–265, doi:10.1002/prs.10010 (RBM POF×COF). [4] Rodríguez-Prieto et al. (2020) IEEE Access 8 92275–92286, doi:10.1109/ACCESS.2020.2994619 (FFS petroquímica). [5] Bhatia et al. (2019) J. Loss Prev. Process Ind. 62, doi:10.1016/j.jlp.2019.103974 (RBI dinámico). [6] Straub y Faber (2005) Struct. Saf. 27(4) 335–355, doi:10.1016/j.strusafe.2005.04.001 (planificación por riesgo). [2]–[6] se tomaron de la lista de [1], sin leer su texto.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Sin DOI (identificador normativo, ediciones a confirmar):</w:t>
      </w:r>
      <w:r>
        <w:rPr>
          <w:rFonts w:ascii="Arial" w:cs="Arial" w:eastAsia="Arial" w:hAnsi="Arial"/>
          <w:sz w:val="18"/>
          <w:szCs w:val="18"/>
        </w:rPr>
        <w:t xml:space="preserve"> API RP 581 (3.ª ed., 2016), API RP 580, API 579-1/ASME FFS-1, ASME PCC-3 (usted indica 2022), ISO 14224, ISO 15663, ISO 55001, ISO 55010. Corregido: "Cerquione" → Cerchione; ISO 51001/14663 → ISO 55001/15663.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Glosario:</w:t>
      </w:r>
      <w:r>
        <w:rPr>
          <w:rFonts w:ascii="Arial" w:cs="Arial" w:eastAsia="Arial" w:hAnsi="Arial"/>
          <w:sz w:val="18"/>
          <w:szCs w:val="18"/>
        </w:rPr>
        <w:t xml:space="preserve"> AD ahorro por diferimiento; CA área de consecuencia; CUI corrosión bajo aislamiento; DF factor de daño; DPN daño potencial neto; FAD diagrama de evaluación de falla; FC consecuencia financiera; FFS aptitud para el servicio; FMS factor del sistema de gestión; GFF frecuencia genérica de falla; I0 inversión inicial; LCC costo de ciclo de vida; LSE exposición esperada de vidas (personas/año); NDE ensayo no destructivo; POF probabilidad de falla; RAM matriz de riesgo; RR reducción de riesgo; RUL vida remanente; SIR índice ahorro-inversión; TBI/RBI inspección por tiempo/por riesgo; VAN valor actual neto; VSL valor de la vida estadística; WACC costo promedio de capital.</w:t>
      </w:r>
    </w:p>
    <w:sectPr>
      <w:footerReference w:type="default" r:id="rId6"/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3"/>
        <w:szCs w:val="13"/>
      </w:rPr>
      <w:t xml:space="preserve">DSS RBI + FFS Barrancabermeja – pág. </w:t>
    </w:r>
    <w:r>
      <w:rPr>
        <w:rFonts w:ascii="Arial" w:cs="Arial" w:eastAsia="Arial" w:hAnsi="Arial"/>
        <w:color w:val="7F7F7F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6ddfede292985152e1ec06579e93f82eee4ad0b.png"/><Relationship Id="rId9" Type="http://schemas.openxmlformats.org/officeDocument/2006/relationships/image" Target="media/2ce82e45adeccd550935365161b9bc795ebe5a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2026-09-30T03:08:43.873Z</dcterms:created>
  <dcterms:modified xsi:type="dcterms:W3CDTF">2026-09-30T03:08:43.873Z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