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864"/>
          <w:sz w:val="32"/>
        </w:rPr>
        <w:t>DSS de beneficios económicos por RBI – Barrancabermeja</w:t>
      </w:r>
    </w:p>
    <w:p>
      <w:r>
        <w:rPr>
          <w:b w:val="0"/>
          <w:i/>
        </w:rPr>
        <w:t>Metodología auditable basada en Oropallo et al., Safety Science 177 (2024) 106570, DOI 10.1016/j.ssci.2024.106570 · API RP 581 · API 580 · API 579-1/ASME FFS-1 · ASME PCC-2/PCC-3 · API 571 · ISO 14224 · ISO 15663 · ISO/TS 55010 · Fecha: 30-09-2026</w:t>
      </w:r>
    </w:p>
    <w:p>
      <w:r>
        <w:rPr>
          <w:b/>
          <w:i w:val="0"/>
          <w:color w:val="C00000"/>
        </w:rPr>
        <w:t>AVISO DE HONESTIDAD: (1) Todo lo de Barrancabermeja (U-200, V-220) son cifras ILUSTRATIVAS para que el modelo corra; no hay datos de Ecopetrol. (2) Las normas API/ASME/ISO no estaban disponibles: la ubicación exacta de ecuaciones en la edición aplicable queda PENDIENTE; solo se da por verificado lo que cita el PDF de Oropallo (leído completo, 15 pp.). (3) Un intento propio de reconstruir el Df (Eqs. 4–7 con tablas recordadas) NO reprodujo la categoría 1C del paper y fue descartado.</w:t>
      </w:r>
    </w:p>
    <w:p>
      <w:pPr>
        <w:spacing w:before="100" w:after="40"/>
      </w:pPr>
      <w:r>
        <w:rPr>
          <w:b/>
          <w:color w:val="1F3864"/>
          <w:sz w:val="24"/>
        </w:rPr>
        <w:t>1. Hallazgos principales</w:t>
      </w:r>
    </w:p>
    <w:p>
      <w:pPr>
        <w:pStyle w:val="ListBullet"/>
        <w:spacing w:after="20"/>
      </w:pPr>
      <w:r>
        <w:t>Oropallo demuestra, con datos reales de un intercambiador, que RBI cuesta menos que TBI (inspección + paro planificado) y que la NDE no intrusiva ahorra paro. Pero NO calcula EMV, ni descuenta, ni da VAN/SIR/ROI/payback.</w:t>
      </w:r>
    </w:p>
    <w:p>
      <w:pPr>
        <w:pStyle w:val="ListBullet"/>
        <w:spacing w:after="20"/>
      </w:pPr>
      <w:r>
        <w:t>Auditoría aritmética: Tabla 7 (estrategia 2) suma 1.410 $, no 1.170 $; Tabla 8 (estrategia 1) suma 2.010 $, no 1.080 $; la tasa de corrosión suma 0,202 mm/a, no 0,132. Con los totales corregidos, las estrategias 2 y 4 empatan (1.410 $) en modo intrusivo y no intrusivo: la "mejor" del paper (2 intrusiva; 1 no intrusiva) no se sostiene. La ventaja de RBI sobre TBI sí.</w:t>
      </w:r>
    </w:p>
    <w:p>
      <w:pPr>
        <w:pStyle w:val="ListBullet"/>
        <w:spacing w:after="20"/>
      </w:pPr>
      <w:r>
        <w:t>Modelo ilustrativo Barrancabermeja: VAN(BEE) a 1 año = -314.883 $; a 10 años = 4.106.476 $; SIR = 3.09; ROI = 209 %; payback = 2029. Solo 16 % del VAN viene de riesgo evitado; el resto es flujo de caja (sobre todo paro planificado evitado al diferir el reemplazo de V-220). Es estructura, no resultado.</w:t>
      </w:r>
    </w:p>
    <w:p>
      <w:pPr>
        <w:pStyle w:val="ListBullet"/>
        <w:spacing w:after="20"/>
      </w:pPr>
      <w:r>
        <w:t>En un riesgo 1C el beneficio no proviene de riesgo evitado (POF≈gff·FMS): proviene de inspeccionar menos y sin paro. El caso económico de Barrancabermeja debe buscarse en equipos de alta consecuencia y paros evitados grandes.</w:t>
      </w:r>
    </w:p>
    <w:p>
      <w:pPr>
        <w:spacing w:before="100" w:after="40"/>
      </w:pPr>
      <w:r>
        <w:rPr>
          <w:b/>
          <w:color w:val="1F3864"/>
          <w:sz w:val="24"/>
        </w:rPr>
        <w:t>2. Qué partes de Oropallo sirven para cuantificar beneficios económicos</w:t>
      </w:r>
    </w:p>
    <w:tbl>
      <w:tblPr>
        <w:tblStyle w:val="TableGrid"/>
        <w:tblW w:type="auto" w:w="0"/>
        <w:tblLook w:firstColumn="1" w:firstRow="1" w:lastColumn="0" w:lastRow="0" w:noHBand="0" w:noVBand="1" w:val="04A0"/>
      </w:tblPr>
      <w:tblGrid>
        <w:gridCol w:w="3437"/>
        <w:gridCol w:w="3437"/>
        <w:gridCol w:w="3437"/>
      </w:tblGrid>
      <w:tr>
        <w:tc>
          <w:tcPr>
            <w:tcW w:type="dxa" w:w="3572"/>
            <w:shd w:val="clear" w:color="auto" w:fill="1F3864"/>
          </w:tcPr>
          <w:p>
            <w:pPr>
              <w:spacing w:after="0"/>
            </w:pPr>
            <w:r/>
            <w:r>
              <w:rPr>
                <w:b/>
                <w:color w:val="FFFFFF"/>
                <w:sz w:val="16"/>
              </w:rPr>
              <w:t>Elemento (nº, pág.)</w:t>
            </w:r>
          </w:p>
        </w:tc>
        <w:tc>
          <w:tcPr>
            <w:tcW w:type="dxa" w:w="5499"/>
            <w:shd w:val="clear" w:color="auto" w:fill="1F3864"/>
          </w:tcPr>
          <w:p>
            <w:pPr>
              <w:spacing w:after="0"/>
            </w:pPr>
            <w:r/>
            <w:r>
              <w:rPr>
                <w:b/>
                <w:color w:val="FFFFFF"/>
                <w:sz w:val="16"/>
              </w:rPr>
              <w:t>Función en el DSS</w:t>
            </w:r>
          </w:p>
        </w:tc>
        <w:tc>
          <w:tcPr>
            <w:tcW w:type="dxa" w:w="1757"/>
            <w:shd w:val="clear" w:color="auto" w:fill="1F3864"/>
          </w:tcPr>
          <w:p>
            <w:pPr>
              <w:spacing w:after="0"/>
            </w:pPr>
            <w:r/>
            <w:r>
              <w:rPr>
                <w:b/>
                <w:color w:val="FFFFFF"/>
                <w:sz w:val="16"/>
              </w:rPr>
              <w:t>Utilidad</w:t>
            </w:r>
          </w:p>
        </w:tc>
      </w:tr>
      <w:tr>
        <w:tc>
          <w:tcPr>
            <w:tcW w:type="dxa" w:w="3572"/>
          </w:tcPr>
          <w:p>
            <w:pPr>
              <w:spacing w:after="0"/>
            </w:pPr>
            <w:r/>
            <w:r>
              <w:rPr>
                <w:sz w:val="16"/>
              </w:rPr>
              <w:t>Eq. 1 (p.4) POF=gff·Df·FMS</w:t>
            </w:r>
          </w:p>
        </w:tc>
        <w:tc>
          <w:tcPr>
            <w:tcW w:type="dxa" w:w="5499"/>
          </w:tcPr>
          <w:p>
            <w:pPr>
              <w:spacing w:after="0"/>
            </w:pPr>
            <w:r/>
            <w:r>
              <w:rPr>
                <w:sz w:val="16"/>
              </w:rPr>
              <w:t>Núcleo de POF; base de EMV</w:t>
            </w:r>
          </w:p>
        </w:tc>
        <w:tc>
          <w:tcPr>
            <w:tcW w:type="dxa" w:w="1757"/>
          </w:tcPr>
          <w:p>
            <w:pPr>
              <w:spacing w:after="0"/>
            </w:pPr>
            <w:r/>
            <w:r>
              <w:rPr>
                <w:sz w:val="16"/>
              </w:rPr>
              <w:t>Alta</w:t>
            </w:r>
          </w:p>
        </w:tc>
      </w:tr>
      <w:tr>
        <w:tc>
          <w:tcPr>
            <w:tcW w:type="dxa" w:w="3572"/>
          </w:tcPr>
          <w:p>
            <w:pPr>
              <w:spacing w:after="0"/>
            </w:pPr>
            <w:r/>
            <w:r>
              <w:rPr>
                <w:sz w:val="16"/>
              </w:rPr>
              <w:t>Eq. 7 (p.5–6) + Tabla 1 (p.5)</w:t>
            </w:r>
          </w:p>
        </w:tc>
        <w:tc>
          <w:tcPr>
            <w:tcW w:type="dxa" w:w="5499"/>
          </w:tcPr>
          <w:p>
            <w:pPr>
              <w:spacing w:after="0"/>
            </w:pPr>
            <w:r/>
            <w:r>
              <w:rPr>
                <w:sz w:val="16"/>
              </w:rPr>
              <w:t>Actualización bayesiana del Df por NDE (efectividad A–E)</w:t>
            </w:r>
          </w:p>
        </w:tc>
        <w:tc>
          <w:tcPr>
            <w:tcW w:type="dxa" w:w="1757"/>
          </w:tcPr>
          <w:p>
            <w:pPr>
              <w:spacing w:after="0"/>
            </w:pPr>
            <w:r/>
            <w:r>
              <w:rPr>
                <w:sz w:val="16"/>
              </w:rPr>
              <w:t>Alta</w:t>
            </w:r>
          </w:p>
        </w:tc>
      </w:tr>
      <w:tr>
        <w:tc>
          <w:tcPr>
            <w:tcW w:type="dxa" w:w="3572"/>
          </w:tcPr>
          <w:p>
            <w:pPr>
              <w:spacing w:after="0"/>
            </w:pPr>
            <w:r/>
            <w:r>
              <w:rPr>
                <w:sz w:val="16"/>
              </w:rPr>
              <w:t>Eq. 13 (p.6–7) FC=Σ5 componentes</w:t>
            </w:r>
          </w:p>
        </w:tc>
        <w:tc>
          <w:tcPr>
            <w:tcW w:type="dxa" w:w="5499"/>
          </w:tcPr>
          <w:p>
            <w:pPr>
              <w:spacing w:after="0"/>
            </w:pPr>
            <w:r/>
            <w:r>
              <w:rPr>
                <w:sz w:val="16"/>
              </w:rPr>
              <w:t>COF en $; contiene el paro NO planificado (anti doble conteo)</w:t>
            </w:r>
          </w:p>
        </w:tc>
        <w:tc>
          <w:tcPr>
            <w:tcW w:type="dxa" w:w="1757"/>
          </w:tcPr>
          <w:p>
            <w:pPr>
              <w:spacing w:after="0"/>
            </w:pPr>
            <w:r/>
            <w:r>
              <w:rPr>
                <w:sz w:val="16"/>
              </w:rPr>
              <w:t>Alta</w:t>
            </w:r>
          </w:p>
        </w:tc>
      </w:tr>
      <w:tr>
        <w:tc>
          <w:tcPr>
            <w:tcW w:type="dxa" w:w="3572"/>
          </w:tcPr>
          <w:p>
            <w:pPr>
              <w:spacing w:after="0"/>
            </w:pPr>
            <w:r/>
            <w:r>
              <w:rPr>
                <w:sz w:val="16"/>
              </w:rPr>
              <w:t>Tablas 4–5 (p.9–10); 6 (p.10); 7–10 (p.12)</w:t>
            </w:r>
          </w:p>
        </w:tc>
        <w:tc>
          <w:tcPr>
            <w:tcW w:type="dxa" w:w="5499"/>
          </w:tcPr>
          <w:p>
            <w:pPr>
              <w:spacing w:after="0"/>
            </w:pPr>
            <w:r/>
            <w:r>
              <w:rPr>
                <w:sz w:val="16"/>
              </w:rPr>
              <w:t>Costos, horas de paro, plan por año y totales TBI vs RBI</w:t>
            </w:r>
          </w:p>
        </w:tc>
        <w:tc>
          <w:tcPr>
            <w:tcW w:type="dxa" w:w="1757"/>
          </w:tcPr>
          <w:p>
            <w:pPr>
              <w:spacing w:after="0"/>
            </w:pPr>
            <w:r/>
            <w:r>
              <w:rPr>
                <w:sz w:val="16"/>
              </w:rPr>
              <w:t>Alta (único dato de costo real)</w:t>
            </w:r>
          </w:p>
        </w:tc>
      </w:tr>
      <w:tr>
        <w:tc>
          <w:tcPr>
            <w:tcW w:type="dxa" w:w="3572"/>
          </w:tcPr>
          <w:p>
            <w:pPr>
              <w:spacing w:after="0"/>
            </w:pPr>
            <w:r/>
            <w:r>
              <w:rPr>
                <w:sz w:val="16"/>
              </w:rPr>
              <w:t>Fig. 5 (p.10) / Fig. 6 (p.11)</w:t>
            </w:r>
          </w:p>
        </w:tc>
        <w:tc>
          <w:tcPr>
            <w:tcW w:type="dxa" w:w="5499"/>
          </w:tcPr>
          <w:p>
            <w:pPr>
              <w:spacing w:after="0"/>
            </w:pPr>
            <w:r/>
            <w:r>
              <w:rPr>
                <w:sz w:val="16"/>
              </w:rPr>
              <w:t>Matriz 5×5 (1C, target medio, PoF máx. 3) y riesgo vs tiempo</w:t>
            </w:r>
          </w:p>
        </w:tc>
        <w:tc>
          <w:tcPr>
            <w:tcW w:type="dxa" w:w="1757"/>
          </w:tcPr>
          <w:p>
            <w:pPr>
              <w:spacing w:after="0"/>
            </w:pPr>
            <w:r/>
            <w:r>
              <w:rPr>
                <w:sz w:val="16"/>
              </w:rPr>
              <w:t>Media</w:t>
            </w:r>
          </w:p>
        </w:tc>
      </w:tr>
      <w:tr>
        <w:tc>
          <w:tcPr>
            <w:tcW w:type="dxa" w:w="3572"/>
          </w:tcPr>
          <w:p>
            <w:pPr>
              <w:spacing w:after="0"/>
            </w:pPr>
            <w:r/>
            <w:r>
              <w:rPr>
                <w:sz w:val="16"/>
              </w:rPr>
              <w:t>Fig. 7–8 (p.13)</w:t>
            </w:r>
          </w:p>
        </w:tc>
        <w:tc>
          <w:tcPr>
            <w:tcW w:type="dxa" w:w="5499"/>
          </w:tcPr>
          <w:p>
            <w:pPr>
              <w:spacing w:after="0"/>
            </w:pPr>
            <w:r/>
            <w:r>
              <w:rPr>
                <w:sz w:val="16"/>
              </w:rPr>
              <w:t>Costo acumulado TBI vs RBI (replicado en la hoja)</w:t>
            </w:r>
          </w:p>
        </w:tc>
        <w:tc>
          <w:tcPr>
            <w:tcW w:type="dxa" w:w="1757"/>
          </w:tcPr>
          <w:p>
            <w:pPr>
              <w:spacing w:after="0"/>
            </w:pPr>
            <w:r/>
            <w:r>
              <w:rPr>
                <w:sz w:val="16"/>
              </w:rPr>
              <w:t>Alta</w:t>
            </w:r>
          </w:p>
        </w:tc>
      </w:tr>
      <w:tr>
        <w:tc>
          <w:tcPr>
            <w:tcW w:type="dxa" w:w="3572"/>
          </w:tcPr>
          <w:p>
            <w:pPr>
              <w:spacing w:after="0"/>
            </w:pPr>
            <w:r/>
            <w:r>
              <w:rPr>
                <w:sz w:val="16"/>
              </w:rPr>
              <w:t>Eqs. 2–6, 8–12; Tablas 2–3; Fig. 1–4</w:t>
            </w:r>
          </w:p>
        </w:tc>
        <w:tc>
          <w:tcPr>
            <w:tcW w:type="dxa" w:w="5499"/>
          </w:tcPr>
          <w:p>
            <w:pPr>
              <w:spacing w:after="0"/>
            </w:pPr>
            <w:r/>
            <w:r>
              <w:rPr>
                <w:sz w:val="16"/>
              </w:rPr>
              <w:t>Insumos técnicos (corrosión, resistencia, CA) y arquitectura</w:t>
            </w:r>
          </w:p>
        </w:tc>
        <w:tc>
          <w:tcPr>
            <w:tcW w:type="dxa" w:w="1757"/>
          </w:tcPr>
          <w:p>
            <w:pPr>
              <w:spacing w:after="0"/>
            </w:pPr>
            <w:r/>
            <w:r>
              <w:rPr>
                <w:sz w:val="16"/>
              </w:rPr>
              <w:t>Baja/Media</w:t>
            </w:r>
          </w:p>
        </w:tc>
      </w:tr>
    </w:tbl>
    <w:p>
      <w:pPr>
        <w:spacing w:after="20"/>
      </w:pPr>
    </w:p>
    <w:p>
      <w:pPr>
        <w:spacing w:before="100" w:after="40"/>
      </w:pPr>
      <w:r>
        <w:rPr>
          <w:b/>
          <w:color w:val="1F3864"/>
          <w:sz w:val="24"/>
        </w:rPr>
        <w:t>3. Metodología integrada VAN ↔ Oropallo ↔ API 581 (paso a paso)</w:t>
      </w:r>
    </w:p>
    <w:p>
      <w:pPr>
        <w:pStyle w:val="ListBullet"/>
        <w:spacing w:after="20"/>
      </w:pPr>
      <w:r>
        <w:t>Paso 1 · Fronteras: equipo/circuito, mecanismos de daño (API 571), horizonte económico (aquí 10 años; Oropallo planifica 2023–2056) y alternativas: 0 = TBI/actual, 1 = RBI(+NDE+FFS+reparación).</w:t>
      </w:r>
    </w:p>
    <w:p>
      <w:pPr>
        <w:pStyle w:val="ListBullet"/>
        <w:spacing w:after="20"/>
      </w:pPr>
      <w:r>
        <w:t>Paso 2 · Riesgo técnico por año: POF(t)=gff·Df(t)·FMS (Oropallo Eq.1 p.4; API 581 Parte 2, ecuación PENDIENTE de ubicar). Df(t) de Eqs. 4–8 (p.5–6) o del software RBI; categoría 1–5 (Fig. 5).</w:t>
      </w:r>
    </w:p>
    <w:p>
      <w:pPr>
        <w:pStyle w:val="ListBullet"/>
        <w:spacing w:after="20"/>
      </w:pPr>
      <w:r>
        <w:t>Paso 3 · COF financiera en $: FC=FC_cmd+FC_affa+FC_prod+FC_inj+FC_environ (Eq.13 p.6–7). El paro NO planificado vive aquí.</w:t>
      </w:r>
    </w:p>
    <w:p>
      <w:pPr>
        <w:pStyle w:val="ListBullet"/>
        <w:spacing w:after="20"/>
      </w:pPr>
      <w:r>
        <w:t>Paso 4 · EMV_j(t)=POF_j(t)×COF(t) para cada alternativa j=0,1 (Oropallo no lo calcula: es el aporte de este DSS); ΔEMV=EMV₀−EMV₁. Es valor esperado, no caja.</w:t>
      </w:r>
    </w:p>
    <w:p>
      <w:pPr>
        <w:pStyle w:val="ListBullet"/>
        <w:spacing w:after="20"/>
      </w:pPr>
      <w:r>
        <w:t>Paso 5 · Regla de planificación de Oropallo (p.7–9): inspeccionar justo antes de que el riesgo alcance el risk target (Fig. 5–6); fija años y efectividad (Tabla 6). Verificar con la matriz RAM antes/después.</w:t>
      </w:r>
    </w:p>
    <w:p>
      <w:pPr>
        <w:pStyle w:val="ListBullet"/>
        <w:spacing w:after="20"/>
      </w:pPr>
      <w:r>
        <w:t>Paso 6 · Flujos ciertos por alternativa: inspección/NDE (Tablas 4–5), sistema RBI (210 $/activo), paro planificado = horas/24×producción diaria (Tablas 9–10), FFS, reparación/reemplazo, OPEX.</w:t>
      </w:r>
    </w:p>
    <w:p>
      <w:pPr>
        <w:pStyle w:val="ListBullet"/>
        <w:spacing w:after="20"/>
      </w:pPr>
      <w:r>
        <w:t>Paso 7 · Costo esperado total de cada alternativa: C_j=Σ_t (Caja_jt+EMV_jt)/(1+r)^t (criterio de Khan &amp; Haddara 2004; Straub &amp; Faber 2005; Kallen &amp; van Noortwijk 2005; estructura LCC de ISO 15663).</w:t>
      </w:r>
    </w:p>
    <w:p>
      <w:pPr>
        <w:pStyle w:val="ListBullet"/>
        <w:spacing w:after="20"/>
      </w:pPr>
      <w:r>
        <w:t>Paso 8 · Beneficio de RBI: VAN=C₀−C₁ = Σ[ΔCaja_t+ΔEMV_t]/(1+r)^t, a 1 y 10 años. SIR, ROI y payback se calculan sobre los mismos flujos (definiciones propias, no normativas).</w:t>
      </w:r>
    </w:p>
    <w:p>
      <w:pPr>
        <w:pStyle w:val="ListBullet"/>
        <w:spacing w:after="20"/>
      </w:pPr>
      <w:r>
        <w:t>Paso 9 · Anti doble conteo: (a) paro no planificado solo en COF; (b) inspección reduce POF por información, la reparación por reset de Df: cada reducción se cuenta una vez; (c) FC_cmd (falla) ≠ costo de reparación planificada; (d) lesiones aparte (no caja).</w:t>
      </w:r>
    </w:p>
    <w:p>
      <w:pPr>
        <w:pStyle w:val="ListBullet"/>
        <w:spacing w:after="20"/>
      </w:pPr>
      <w:r>
        <w:t>Paso 10 · Sensibilidad y control: bajo/base/alto en precio, margen, downtime, inspección, reparación (ISO 15663); comprobar que el camino RBI cumple el risk target y que Δcosto esperado = ΔCaja + ΔEMV (identidad de control).</w:t>
      </w:r>
    </w:p>
    <w:p>
      <w:r>
        <w:rPr>
          <w:b/>
          <w:i w:val="0"/>
        </w:rPr>
        <w:t>Ecuaciones clave (modelo propio sobre Eq. 1 y Eq. 13 de Oropallo): EMV_j(t)=gff·Df_j(t)·FMS·ΣFC ; ΔEMV=EMV₀−EMV₁ ; BEE_t=ΔEMV_caja-eq+ΔCaja_t ; VAN_n=Σ_{t≤n}BEE_t/(1+r)^t ; SIR=VP beneficios brutos/VP costos brutos ; ROI=(VP ben−VP cost)/VP cost ; FMS=10^(−0,02·pscore+1) (API 581 Anexo 2.A, fórmula recordada, por verificar; 750 pts ⇒ 0,316).</w:t>
      </w:r>
    </w:p>
    <w:p>
      <w:pPr>
        <w:spacing w:before="100" w:after="40"/>
      </w:pPr>
      <w:r>
        <w:rPr>
          <w:b/>
          <w:color w:val="1F3864"/>
          <w:sz w:val="20"/>
        </w:rPr>
        <w:t>4. Literatura para integrar el VAN (DOI)</w:t>
      </w:r>
    </w:p>
    <w:tbl>
      <w:tblPr>
        <w:tblStyle w:val="TableGrid"/>
        <w:tblW w:type="auto" w:w="0"/>
        <w:tblLook w:firstColumn="1" w:firstRow="1" w:lastColumn="0" w:lastRow="0" w:noHBand="0" w:noVBand="1" w:val="04A0"/>
      </w:tblPr>
      <w:tblGrid>
        <w:gridCol w:w="3437"/>
        <w:gridCol w:w="3437"/>
        <w:gridCol w:w="3437"/>
      </w:tblGrid>
      <w:tr>
        <w:tc>
          <w:tcPr>
            <w:tcW w:type="dxa" w:w="2835"/>
            <w:shd w:val="clear" w:color="auto" w:fill="1F3864"/>
          </w:tcPr>
          <w:p>
            <w:pPr>
              <w:spacing w:after="0"/>
            </w:pPr>
            <w:r/>
            <w:r>
              <w:rPr>
                <w:b/>
                <w:color w:val="FFFFFF"/>
                <w:sz w:val="15"/>
              </w:rPr>
              <w:t>Referencia</w:t>
            </w:r>
          </w:p>
        </w:tc>
        <w:tc>
          <w:tcPr>
            <w:tcW w:type="dxa" w:w="2608"/>
            <w:shd w:val="clear" w:color="auto" w:fill="1F3864"/>
          </w:tcPr>
          <w:p>
            <w:pPr>
              <w:spacing w:after="0"/>
            </w:pPr>
            <w:r/>
            <w:r>
              <w:rPr>
                <w:b/>
                <w:color w:val="FFFFFF"/>
                <w:sz w:val="15"/>
              </w:rPr>
              <w:t>DOI / enlace</w:t>
            </w:r>
          </w:p>
        </w:tc>
        <w:tc>
          <w:tcPr>
            <w:tcW w:type="dxa" w:w="5386"/>
            <w:shd w:val="clear" w:color="auto" w:fill="1F3864"/>
          </w:tcPr>
          <w:p>
            <w:pPr>
              <w:spacing w:after="0"/>
            </w:pPr>
            <w:r/>
            <w:r>
              <w:rPr>
                <w:b/>
                <w:color w:val="FFFFFF"/>
                <w:sz w:val="15"/>
              </w:rPr>
              <w:t>Aporta</w:t>
            </w:r>
          </w:p>
        </w:tc>
      </w:tr>
      <w:tr>
        <w:tc>
          <w:tcPr>
            <w:tcW w:type="dxa" w:w="2835"/>
          </w:tcPr>
          <w:p>
            <w:pPr>
              <w:spacing w:after="0"/>
            </w:pPr>
            <w:r/>
            <w:r>
              <w:rPr>
                <w:sz w:val="15"/>
              </w:rPr>
              <w:t>Khan &amp; Haddara (2004) Process Saf. Prog. 23(4):252–265</w:t>
            </w:r>
          </w:p>
        </w:tc>
        <w:tc>
          <w:tcPr>
            <w:tcW w:type="dxa" w:w="2608"/>
          </w:tcPr>
          <w:p>
            <w:pPr>
              <w:spacing w:after="0"/>
            </w:pPr>
            <w:r/>
            <w:r>
              <w:rPr>
                <w:sz w:val="15"/>
              </w:rPr>
              <w:t>https://doi.org/10.1002/prs.10010</w:t>
            </w:r>
          </w:p>
        </w:tc>
        <w:tc>
          <w:tcPr>
            <w:tcW w:type="dxa" w:w="5386"/>
          </w:tcPr>
          <w:p>
            <w:pPr>
              <w:spacing w:after="0"/>
            </w:pPr>
            <w:r/>
            <w:r>
              <w:rPr>
                <w:sz w:val="15"/>
              </w:rPr>
              <w:t>Riesgo = PoF×CoF como costo esperado; intervalo de inspección que minimiza costo total (inspección + riesgo). Sustenta C_total = Σ(caja + EMV).</w:t>
            </w:r>
          </w:p>
        </w:tc>
      </w:tr>
      <w:tr>
        <w:tc>
          <w:tcPr>
            <w:tcW w:type="dxa" w:w="2835"/>
          </w:tcPr>
          <w:p>
            <w:pPr>
              <w:spacing w:after="0"/>
            </w:pPr>
            <w:r/>
            <w:r>
              <w:rPr>
                <w:sz w:val="15"/>
              </w:rPr>
              <w:t>Straub &amp; Faber (2005) Struct. Saf. 27(4):335–355</w:t>
            </w:r>
          </w:p>
        </w:tc>
        <w:tc>
          <w:tcPr>
            <w:tcW w:type="dxa" w:w="2608"/>
          </w:tcPr>
          <w:p>
            <w:pPr>
              <w:spacing w:after="0"/>
            </w:pPr>
            <w:r/>
            <w:r>
              <w:rPr>
                <w:sz w:val="15"/>
              </w:rPr>
              <w:t>https://doi.org/10.1016/j.strusafe.2005.04.001</w:t>
            </w:r>
          </w:p>
        </w:tc>
        <w:tc>
          <w:tcPr>
            <w:tcW w:type="dxa" w:w="5386"/>
          </w:tcPr>
          <w:p>
            <w:pPr>
              <w:spacing w:after="0"/>
            </w:pPr>
            <w:r/>
            <w:r>
              <w:rPr>
                <w:sz w:val="15"/>
              </w:rPr>
              <w:t>Teoría de decisión bayesiana: valor de la inspección = reducción del costo esperado al actualizar la probabilidad. Sustenta ΔEMV como 'valor de la inf…</w:t>
            </w:r>
          </w:p>
        </w:tc>
      </w:tr>
      <w:tr>
        <w:tc>
          <w:tcPr>
            <w:tcW w:type="dxa" w:w="2835"/>
          </w:tcPr>
          <w:p>
            <w:pPr>
              <w:spacing w:after="0"/>
            </w:pPr>
            <w:r/>
            <w:r>
              <w:rPr>
                <w:sz w:val="15"/>
              </w:rPr>
              <w:t>Kallen &amp; van Noortwijk (2005) Reliab. Eng. Syst. Saf. 90(2–3):177–185</w:t>
            </w:r>
          </w:p>
        </w:tc>
        <w:tc>
          <w:tcPr>
            <w:tcW w:type="dxa" w:w="2608"/>
          </w:tcPr>
          <w:p>
            <w:pPr>
              <w:spacing w:after="0"/>
            </w:pPr>
            <w:r/>
            <w:r>
              <w:rPr>
                <w:sz w:val="15"/>
              </w:rPr>
              <w:t>https://doi.org/10.1016/j.ress.2004.10.004</w:t>
            </w:r>
          </w:p>
        </w:tc>
        <w:tc>
          <w:tcPr>
            <w:tcW w:type="dxa" w:w="5386"/>
          </w:tcPr>
          <w:p>
            <w:pPr>
              <w:spacing w:after="0"/>
            </w:pPr>
            <w:r/>
            <w:r>
              <w:rPr>
                <w:sz w:val="15"/>
              </w:rPr>
              <w:t>Decisiones óptimas de mantenimiento con inspección imperfecta: corrosión como proceso gamma, actualización bayesiana de la tasa con medidas de espesor…</w:t>
            </w:r>
          </w:p>
        </w:tc>
      </w:tr>
      <w:tr>
        <w:tc>
          <w:tcPr>
            <w:tcW w:type="dxa" w:w="2835"/>
          </w:tcPr>
          <w:p>
            <w:pPr>
              <w:spacing w:after="0"/>
            </w:pPr>
            <w:r/>
            <w:r>
              <w:rPr>
                <w:sz w:val="15"/>
              </w:rPr>
              <w:t>Inspection Value Method (ECNDT 1998)</w:t>
            </w:r>
          </w:p>
        </w:tc>
        <w:tc>
          <w:tcPr>
            <w:tcW w:type="dxa" w:w="2608"/>
          </w:tcPr>
          <w:p>
            <w:pPr>
              <w:spacing w:after="0"/>
            </w:pPr>
            <w:r/>
            <w:r>
              <w:rPr>
                <w:sz w:val="15"/>
              </w:rPr>
              <w:t>https://www.ndt.net/article/ecndt98/reliabil/318/318.htm</w:t>
            </w:r>
          </w:p>
        </w:tc>
        <w:tc>
          <w:tcPr>
            <w:tcW w:type="dxa" w:w="5386"/>
          </w:tcPr>
          <w:p>
            <w:pPr>
              <w:spacing w:after="0"/>
            </w:pPr>
            <w:r/>
            <w:r>
              <w:rPr>
                <w:sz w:val="15"/>
              </w:rPr>
              <w:t>Cuantifica costos y beneficios de inspección en términos monetarios con fórmulas financieras estándar (VAN). Respaldo para VAN de planes de inspección…</w:t>
            </w:r>
          </w:p>
        </w:tc>
      </w:tr>
      <w:tr>
        <w:tc>
          <w:tcPr>
            <w:tcW w:type="dxa" w:w="2835"/>
          </w:tcPr>
          <w:p>
            <w:pPr>
              <w:spacing w:after="0"/>
            </w:pPr>
            <w:r/>
            <w:r>
              <w:rPr>
                <w:sz w:val="15"/>
              </w:rPr>
              <w:t>ISO 15663 (Partes 1–3) – Life cycle costing</w:t>
            </w:r>
          </w:p>
        </w:tc>
        <w:tc>
          <w:tcPr>
            <w:tcW w:type="dxa" w:w="2608"/>
          </w:tcPr>
          <w:p>
            <w:pPr>
              <w:spacing w:after="0"/>
            </w:pPr>
            <w:r/>
            <w:r>
              <w:rPr>
                <w:sz w:val="15"/>
              </w:rPr>
              <w:t>(norma de pago)</w:t>
            </w:r>
          </w:p>
        </w:tc>
        <w:tc>
          <w:tcPr>
            <w:tcW w:type="dxa" w:w="5386"/>
          </w:tcPr>
          <w:p>
            <w:pPr>
              <w:spacing w:after="0"/>
            </w:pPr>
            <w:r/>
            <w:r>
              <w:rPr>
                <w:sz w:val="15"/>
              </w:rPr>
              <w:t>Marco de LCC: periodo de estudio, estructura de costos, descuento, sensibilidad. Define el VAN; no define SIR/ROI/payback.</w:t>
            </w:r>
          </w:p>
        </w:tc>
      </w:tr>
    </w:tbl>
    <w:p>
      <w:pPr>
        <w:spacing w:after="20"/>
      </w:pPr>
    </w:p>
    <w:p>
      <w:pPr>
        <w:spacing w:before="100" w:after="40"/>
      </w:pPr>
      <w:r>
        <w:rPr>
          <w:b/>
          <w:color w:val="1F3864"/>
          <w:sz w:val="24"/>
        </w:rPr>
        <w:t>5. Verificación aritmética de Oropallo y economía descontada</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474"/>
            <w:shd w:val="clear" w:color="auto" w:fill="1F3864"/>
          </w:tcPr>
          <w:p>
            <w:pPr>
              <w:spacing w:after="0"/>
            </w:pPr>
            <w:r/>
            <w:r>
              <w:rPr>
                <w:b/>
                <w:color w:val="FFFFFF"/>
                <w:sz w:val="16"/>
              </w:rPr>
              <w:t>Estrategia</w:t>
            </w:r>
          </w:p>
        </w:tc>
        <w:tc>
          <w:tcPr>
            <w:tcW w:type="dxa" w:w="1701"/>
            <w:shd w:val="clear" w:color="auto" w:fill="1F3864"/>
          </w:tcPr>
          <w:p>
            <w:pPr>
              <w:spacing w:after="0"/>
            </w:pPr>
            <w:r/>
            <w:r>
              <w:rPr>
                <w:b/>
                <w:color w:val="FFFFFF"/>
                <w:sz w:val="16"/>
              </w:rPr>
              <w:t>Intrusivo impreso</w:t>
            </w:r>
          </w:p>
        </w:tc>
        <w:tc>
          <w:tcPr>
            <w:tcW w:type="dxa" w:w="1701"/>
            <w:shd w:val="clear" w:color="auto" w:fill="1F3864"/>
          </w:tcPr>
          <w:p>
            <w:pPr>
              <w:spacing w:after="0"/>
            </w:pPr>
            <w:r/>
            <w:r>
              <w:rPr>
                <w:b/>
                <w:color w:val="FFFFFF"/>
                <w:sz w:val="16"/>
              </w:rPr>
              <w:t>Intrusivo recalc.</w:t>
            </w:r>
          </w:p>
        </w:tc>
        <w:tc>
          <w:tcPr>
            <w:tcW w:type="dxa" w:w="1871"/>
            <w:shd w:val="clear" w:color="auto" w:fill="1F3864"/>
          </w:tcPr>
          <w:p>
            <w:pPr>
              <w:spacing w:after="0"/>
            </w:pPr>
            <w:r/>
            <w:r>
              <w:rPr>
                <w:b/>
                <w:color w:val="FFFFFF"/>
                <w:sz w:val="16"/>
              </w:rPr>
              <w:t>No intrusivo impreso</w:t>
            </w:r>
          </w:p>
        </w:tc>
        <w:tc>
          <w:tcPr>
            <w:tcW w:type="dxa" w:w="1871"/>
            <w:shd w:val="clear" w:color="auto" w:fill="1F3864"/>
          </w:tcPr>
          <w:p>
            <w:pPr>
              <w:spacing w:after="0"/>
            </w:pPr>
            <w:r/>
            <w:r>
              <w:rPr>
                <w:b/>
                <w:color w:val="FFFFFF"/>
                <w:sz w:val="16"/>
              </w:rPr>
              <w:t>No intrusivo recalc.</w:t>
            </w:r>
          </w:p>
        </w:tc>
        <w:tc>
          <w:tcPr>
            <w:tcW w:type="dxa" w:w="2211"/>
            <w:shd w:val="clear" w:color="auto" w:fill="1F3864"/>
          </w:tcPr>
          <w:p>
            <w:pPr>
              <w:spacing w:after="0"/>
            </w:pPr>
            <w:r/>
            <w:r>
              <w:rPr>
                <w:b/>
                <w:color w:val="FFFFFF"/>
                <w:sz w:val="16"/>
              </w:rPr>
              <w:t>Estado</w:t>
            </w:r>
          </w:p>
        </w:tc>
      </w:tr>
      <w:tr>
        <w:tc>
          <w:tcPr>
            <w:tcW w:type="dxa" w:w="1474"/>
          </w:tcPr>
          <w:p>
            <w:pPr>
              <w:spacing w:after="0"/>
            </w:pPr>
            <w:r/>
            <w:r>
              <w:rPr>
                <w:sz w:val="16"/>
              </w:rPr>
              <w:t>RBI-1</w:t>
            </w:r>
          </w:p>
        </w:tc>
        <w:tc>
          <w:tcPr>
            <w:tcW w:type="dxa" w:w="1701"/>
          </w:tcPr>
          <w:p>
            <w:pPr>
              <w:spacing w:after="0"/>
            </w:pPr>
            <w:r/>
            <w:r>
              <w:rPr>
                <w:sz w:val="16"/>
              </w:rPr>
              <w:t>11.650</w:t>
            </w:r>
          </w:p>
        </w:tc>
        <w:tc>
          <w:tcPr>
            <w:tcW w:type="dxa" w:w="1701"/>
          </w:tcPr>
          <w:p>
            <w:pPr>
              <w:spacing w:after="0"/>
            </w:pPr>
            <w:r/>
            <w:r>
              <w:rPr>
                <w:sz w:val="16"/>
              </w:rPr>
              <w:t>11.650</w:t>
            </w:r>
          </w:p>
        </w:tc>
        <w:tc>
          <w:tcPr>
            <w:tcW w:type="dxa" w:w="1871"/>
          </w:tcPr>
          <w:p>
            <w:pPr>
              <w:spacing w:after="0"/>
            </w:pPr>
            <w:r/>
            <w:r>
              <w:rPr>
                <w:sz w:val="16"/>
              </w:rPr>
              <w:t>1.080</w:t>
            </w:r>
          </w:p>
        </w:tc>
        <w:tc>
          <w:tcPr>
            <w:tcW w:type="dxa" w:w="1871"/>
          </w:tcPr>
          <w:p>
            <w:pPr>
              <w:spacing w:after="0"/>
            </w:pPr>
            <w:r/>
            <w:r>
              <w:rPr>
                <w:sz w:val="16"/>
              </w:rPr>
              <w:t>2.010</w:t>
            </w:r>
          </w:p>
        </w:tc>
        <w:tc>
          <w:tcPr>
            <w:tcW w:type="dxa" w:w="2211"/>
          </w:tcPr>
          <w:p>
            <w:pPr>
              <w:spacing w:after="0"/>
            </w:pPr>
            <w:r/>
            <w:r>
              <w:rPr>
                <w:sz w:val="16"/>
              </w:rPr>
              <w:t>DISCREPANCIA (NI)</w:t>
            </w:r>
          </w:p>
        </w:tc>
      </w:tr>
      <w:tr>
        <w:tc>
          <w:tcPr>
            <w:tcW w:type="dxa" w:w="1474"/>
          </w:tcPr>
          <w:p>
            <w:pPr>
              <w:spacing w:after="0"/>
            </w:pPr>
            <w:r/>
            <w:r>
              <w:rPr>
                <w:sz w:val="16"/>
              </w:rPr>
              <w:t>RBI-2</w:t>
            </w:r>
          </w:p>
        </w:tc>
        <w:tc>
          <w:tcPr>
            <w:tcW w:type="dxa" w:w="1701"/>
          </w:tcPr>
          <w:p>
            <w:pPr>
              <w:spacing w:after="0"/>
            </w:pPr>
            <w:r/>
            <w:r>
              <w:rPr>
                <w:sz w:val="16"/>
              </w:rPr>
              <w:t>1.170</w:t>
            </w:r>
          </w:p>
        </w:tc>
        <w:tc>
          <w:tcPr>
            <w:tcW w:type="dxa" w:w="1701"/>
          </w:tcPr>
          <w:p>
            <w:pPr>
              <w:spacing w:after="0"/>
            </w:pPr>
            <w:r/>
            <w:r>
              <w:rPr>
                <w:sz w:val="16"/>
              </w:rPr>
              <w:t>1.410</w:t>
            </w:r>
          </w:p>
        </w:tc>
        <w:tc>
          <w:tcPr>
            <w:tcW w:type="dxa" w:w="1871"/>
          </w:tcPr>
          <w:p>
            <w:pPr>
              <w:spacing w:after="0"/>
            </w:pPr>
            <w:r/>
            <w:r>
              <w:rPr>
                <w:sz w:val="16"/>
              </w:rPr>
              <w:t>1.170</w:t>
            </w:r>
          </w:p>
        </w:tc>
        <w:tc>
          <w:tcPr>
            <w:tcW w:type="dxa" w:w="1871"/>
          </w:tcPr>
          <w:p>
            <w:pPr>
              <w:spacing w:after="0"/>
            </w:pPr>
            <w:r/>
            <w:r>
              <w:rPr>
                <w:sz w:val="16"/>
              </w:rPr>
              <w:t>1.410</w:t>
            </w:r>
          </w:p>
        </w:tc>
        <w:tc>
          <w:tcPr>
            <w:tcW w:type="dxa" w:w="2211"/>
          </w:tcPr>
          <w:p>
            <w:pPr>
              <w:spacing w:after="0"/>
            </w:pPr>
            <w:r/>
            <w:r>
              <w:rPr>
                <w:sz w:val="16"/>
              </w:rPr>
              <w:t>DISCREPANCIA</w:t>
            </w:r>
          </w:p>
        </w:tc>
      </w:tr>
      <w:tr>
        <w:tc>
          <w:tcPr>
            <w:tcW w:type="dxa" w:w="1474"/>
          </w:tcPr>
          <w:p>
            <w:pPr>
              <w:spacing w:after="0"/>
            </w:pPr>
            <w:r/>
            <w:r>
              <w:rPr>
                <w:sz w:val="16"/>
              </w:rPr>
              <w:t>RBI-3</w:t>
            </w:r>
          </w:p>
        </w:tc>
        <w:tc>
          <w:tcPr>
            <w:tcW w:type="dxa" w:w="1701"/>
          </w:tcPr>
          <w:p>
            <w:pPr>
              <w:spacing w:after="0"/>
            </w:pPr>
            <w:r/>
            <w:r>
              <w:rPr>
                <w:sz w:val="16"/>
              </w:rPr>
              <w:t>1.770</w:t>
            </w:r>
          </w:p>
        </w:tc>
        <w:tc>
          <w:tcPr>
            <w:tcW w:type="dxa" w:w="1701"/>
          </w:tcPr>
          <w:p>
            <w:pPr>
              <w:spacing w:after="0"/>
            </w:pPr>
            <w:r/>
            <w:r>
              <w:rPr>
                <w:sz w:val="16"/>
              </w:rPr>
              <w:t>1.770</w:t>
            </w:r>
          </w:p>
        </w:tc>
        <w:tc>
          <w:tcPr>
            <w:tcW w:type="dxa" w:w="1871"/>
          </w:tcPr>
          <w:p>
            <w:pPr>
              <w:spacing w:after="0"/>
            </w:pPr>
            <w:r/>
            <w:r>
              <w:rPr>
                <w:sz w:val="16"/>
              </w:rPr>
              <w:t>1.770</w:t>
            </w:r>
          </w:p>
        </w:tc>
        <w:tc>
          <w:tcPr>
            <w:tcW w:type="dxa" w:w="1871"/>
          </w:tcPr>
          <w:p>
            <w:pPr>
              <w:spacing w:after="0"/>
            </w:pPr>
            <w:r/>
            <w:r>
              <w:rPr>
                <w:sz w:val="16"/>
              </w:rPr>
              <w:t>1.770</w:t>
            </w:r>
          </w:p>
        </w:tc>
        <w:tc>
          <w:tcPr>
            <w:tcW w:type="dxa" w:w="2211"/>
          </w:tcPr>
          <w:p>
            <w:pPr>
              <w:spacing w:after="0"/>
            </w:pPr>
            <w:r/>
            <w:r>
              <w:rPr>
                <w:sz w:val="16"/>
              </w:rPr>
              <w:t>Coincide</w:t>
            </w:r>
          </w:p>
        </w:tc>
      </w:tr>
      <w:tr>
        <w:tc>
          <w:tcPr>
            <w:tcW w:type="dxa" w:w="1474"/>
          </w:tcPr>
          <w:p>
            <w:pPr>
              <w:spacing w:after="0"/>
            </w:pPr>
            <w:r/>
            <w:r>
              <w:rPr>
                <w:sz w:val="16"/>
              </w:rPr>
              <w:t>RBI-4</w:t>
            </w:r>
          </w:p>
        </w:tc>
        <w:tc>
          <w:tcPr>
            <w:tcW w:type="dxa" w:w="1701"/>
          </w:tcPr>
          <w:p>
            <w:pPr>
              <w:spacing w:after="0"/>
            </w:pPr>
            <w:r/>
            <w:r>
              <w:rPr>
                <w:sz w:val="16"/>
              </w:rPr>
              <w:t>1.410</w:t>
            </w:r>
          </w:p>
        </w:tc>
        <w:tc>
          <w:tcPr>
            <w:tcW w:type="dxa" w:w="1701"/>
          </w:tcPr>
          <w:p>
            <w:pPr>
              <w:spacing w:after="0"/>
            </w:pPr>
            <w:r/>
            <w:r>
              <w:rPr>
                <w:sz w:val="16"/>
              </w:rPr>
              <w:t>1.410</w:t>
            </w:r>
          </w:p>
        </w:tc>
        <w:tc>
          <w:tcPr>
            <w:tcW w:type="dxa" w:w="1871"/>
          </w:tcPr>
          <w:p>
            <w:pPr>
              <w:spacing w:after="0"/>
            </w:pPr>
            <w:r/>
            <w:r>
              <w:rPr>
                <w:sz w:val="16"/>
              </w:rPr>
              <w:t>1.410</w:t>
            </w:r>
          </w:p>
        </w:tc>
        <w:tc>
          <w:tcPr>
            <w:tcW w:type="dxa" w:w="1871"/>
          </w:tcPr>
          <w:p>
            <w:pPr>
              <w:spacing w:after="0"/>
            </w:pPr>
            <w:r/>
            <w:r>
              <w:rPr>
                <w:sz w:val="16"/>
              </w:rPr>
              <w:t>1.410</w:t>
            </w:r>
          </w:p>
        </w:tc>
        <w:tc>
          <w:tcPr>
            <w:tcW w:type="dxa" w:w="2211"/>
          </w:tcPr>
          <w:p>
            <w:pPr>
              <w:spacing w:after="0"/>
            </w:pPr>
            <w:r/>
            <w:r>
              <w:rPr>
                <w:sz w:val="16"/>
              </w:rPr>
              <w:t>Coincide</w:t>
            </w:r>
          </w:p>
        </w:tc>
      </w:tr>
      <w:tr>
        <w:tc>
          <w:tcPr>
            <w:tcW w:type="dxa" w:w="1474"/>
          </w:tcPr>
          <w:p>
            <w:pPr>
              <w:spacing w:after="0"/>
            </w:pPr>
            <w:r/>
            <w:r>
              <w:rPr>
                <w:sz w:val="16"/>
              </w:rPr>
              <w:t>TBI</w:t>
            </w:r>
          </w:p>
        </w:tc>
        <w:tc>
          <w:tcPr>
            <w:tcW w:type="dxa" w:w="1701"/>
          </w:tcPr>
          <w:p>
            <w:pPr>
              <w:spacing w:after="0"/>
            </w:pPr>
            <w:r/>
            <w:r>
              <w:rPr>
                <w:sz w:val="16"/>
              </w:rPr>
              <w:t>43.360</w:t>
            </w:r>
          </w:p>
        </w:tc>
        <w:tc>
          <w:tcPr>
            <w:tcW w:type="dxa" w:w="1701"/>
          </w:tcPr>
          <w:p>
            <w:pPr>
              <w:spacing w:after="0"/>
            </w:pPr>
            <w:r/>
            <w:r>
              <w:rPr>
                <w:sz w:val="16"/>
              </w:rPr>
              <w:t>43.360</w:t>
            </w:r>
          </w:p>
        </w:tc>
        <w:tc>
          <w:tcPr>
            <w:tcW w:type="dxa" w:w="1871"/>
          </w:tcPr>
          <w:p>
            <w:pPr>
              <w:spacing w:after="0"/>
            </w:pPr>
            <w:r/>
            <w:r>
              <w:rPr>
                <w:sz w:val="16"/>
              </w:rPr>
              <w:t>3.840</w:t>
            </w:r>
          </w:p>
        </w:tc>
        <w:tc>
          <w:tcPr>
            <w:tcW w:type="dxa" w:w="1871"/>
          </w:tcPr>
          <w:p>
            <w:pPr>
              <w:spacing w:after="0"/>
            </w:pPr>
            <w:r/>
            <w:r>
              <w:rPr>
                <w:sz w:val="16"/>
              </w:rPr>
              <w:t>3.840</w:t>
            </w:r>
          </w:p>
        </w:tc>
        <w:tc>
          <w:tcPr>
            <w:tcW w:type="dxa" w:w="2211"/>
          </w:tcPr>
          <w:p>
            <w:pPr>
              <w:spacing w:after="0"/>
            </w:pPr>
            <w:r/>
            <w:r>
              <w:rPr>
                <w:sz w:val="16"/>
              </w:rPr>
              <w:t>Coincide</w:t>
            </w:r>
          </w:p>
        </w:tc>
      </w:tr>
    </w:tbl>
    <w:p>
      <w:pPr>
        <w:spacing w:after="20"/>
      </w:pPr>
    </w:p>
    <w:p>
      <w:r>
        <w:rPr>
          <w:b w:val="0"/>
          <w:i w:val="0"/>
        </w:rPr>
        <w:t>Comparación TBI vs RBI-2 intrusiva con descuento 10 % (supuesto): ahorro VAN a 1 año = 30 $, a 10 años = 5.929 $ (nominal 10.270 $), plan completo 2023–2056 = 10.045 $; SIR a 10 años = 14.4; ROI = 1343 %. El paper muestra solo el ahorro nominal; aquí se descuenta. Escala: ~10⁴ $ por un intercambiador.</w:t>
      </w:r>
    </w:p>
    <w:p>
      <w:pPr>
        <w:spacing w:before="100" w:after="40"/>
      </w:pPr>
      <w:r>
        <w:rPr>
          <w:b/>
          <w:color w:val="1F3864"/>
          <w:sz w:val="24"/>
        </w:rPr>
        <w:t>6. Modelo Barrancabermeja (ILUSTRATIVO): datos de entrada</w:t>
      </w:r>
    </w:p>
    <w:tbl>
      <w:tblPr>
        <w:tblStyle w:val="TableGrid"/>
        <w:tblW w:type="auto" w:w="0"/>
        <w:tblLook w:firstColumn="1" w:firstRow="1" w:lastColumn="0" w:lastRow="0" w:noHBand="0" w:noVBand="1" w:val="04A0"/>
      </w:tblPr>
      <w:tblGrid>
        <w:gridCol w:w="2578"/>
        <w:gridCol w:w="2578"/>
        <w:gridCol w:w="2578"/>
        <w:gridCol w:w="2578"/>
      </w:tblGrid>
      <w:tr>
        <w:tc>
          <w:tcPr>
            <w:tcW w:type="dxa" w:w="2438"/>
            <w:shd w:val="clear" w:color="auto" w:fill="1F3864"/>
          </w:tcPr>
          <w:p>
            <w:pPr>
              <w:spacing w:after="0"/>
            </w:pPr>
            <w:r/>
            <w:r>
              <w:rPr>
                <w:b/>
                <w:color w:val="FFFFFF"/>
                <w:sz w:val="16"/>
              </w:rPr>
              <w:t>Parámetro</w:t>
            </w:r>
          </w:p>
        </w:tc>
        <w:tc>
          <w:tcPr>
            <w:tcW w:type="dxa" w:w="3061"/>
            <w:shd w:val="clear" w:color="auto" w:fill="1F3864"/>
          </w:tcPr>
          <w:p>
            <w:pPr>
              <w:spacing w:after="0"/>
            </w:pPr>
            <w:r/>
            <w:r>
              <w:rPr>
                <w:b/>
                <w:color w:val="FFFFFF"/>
                <w:sz w:val="16"/>
              </w:rPr>
              <w:t>U-200 (agregado 25 comp.)</w:t>
            </w:r>
          </w:p>
        </w:tc>
        <w:tc>
          <w:tcPr>
            <w:tcW w:type="dxa" w:w="2835"/>
            <w:shd w:val="clear" w:color="auto" w:fill="1F3864"/>
          </w:tcPr>
          <w:p>
            <w:pPr>
              <w:spacing w:after="0"/>
            </w:pPr>
            <w:r/>
            <w:r>
              <w:rPr>
                <w:b/>
                <w:color w:val="FFFFFF"/>
                <w:sz w:val="16"/>
              </w:rPr>
              <w:t>V-220</w:t>
            </w:r>
          </w:p>
        </w:tc>
        <w:tc>
          <w:tcPr>
            <w:tcW w:type="dxa" w:w="2494"/>
            <w:shd w:val="clear" w:color="auto" w:fill="1F3864"/>
          </w:tcPr>
          <w:p>
            <w:pPr>
              <w:spacing w:after="0"/>
            </w:pPr>
            <w:r/>
            <w:r>
              <w:rPr>
                <w:b/>
                <w:color w:val="FFFFFF"/>
                <w:sz w:val="16"/>
              </w:rPr>
              <w:t>Estado</w:t>
            </w:r>
          </w:p>
        </w:tc>
      </w:tr>
      <w:tr>
        <w:tc>
          <w:tcPr>
            <w:tcW w:type="dxa" w:w="2438"/>
          </w:tcPr>
          <w:p>
            <w:pPr>
              <w:spacing w:after="0"/>
            </w:pPr>
            <w:r/>
            <w:r>
              <w:rPr>
                <w:sz w:val="16"/>
              </w:rPr>
              <w:t>gff [1/a]</w:t>
            </w:r>
          </w:p>
        </w:tc>
        <w:tc>
          <w:tcPr>
            <w:tcW w:type="dxa" w:w="3061"/>
          </w:tcPr>
          <w:p>
            <w:pPr>
              <w:spacing w:after="0"/>
            </w:pPr>
            <w:r/>
            <w:r>
              <w:rPr>
                <w:sz w:val="16"/>
              </w:rPr>
              <w:t>7,65E-5 (3,06E-5×25)</w:t>
            </w:r>
          </w:p>
        </w:tc>
        <w:tc>
          <w:tcPr>
            <w:tcW w:type="dxa" w:w="2835"/>
          </w:tcPr>
          <w:p>
            <w:pPr>
              <w:spacing w:after="0"/>
            </w:pPr>
            <w:r/>
            <w:r>
              <w:rPr>
                <w:sz w:val="16"/>
              </w:rPr>
              <w:t>3,06E-5</w:t>
            </w:r>
          </w:p>
        </w:tc>
        <w:tc>
          <w:tcPr>
            <w:tcW w:type="dxa" w:w="2494"/>
          </w:tcPr>
          <w:p>
            <w:pPr>
              <w:spacing w:after="0"/>
            </w:pPr>
            <w:r/>
            <w:r>
              <w:rPr>
                <w:sz w:val="16"/>
              </w:rPr>
              <w:t>Supuesto (Tabla 3.1 API 581, recordada)</w:t>
            </w:r>
          </w:p>
        </w:tc>
      </w:tr>
      <w:tr>
        <w:tc>
          <w:tcPr>
            <w:tcW w:type="dxa" w:w="2438"/>
          </w:tcPr>
          <w:p>
            <w:pPr>
              <w:spacing w:after="0"/>
            </w:pPr>
            <w:r/>
            <w:r>
              <w:rPr>
                <w:sz w:val="16"/>
              </w:rPr>
              <w:t>Df inicial / crecimiento TBI</w:t>
            </w:r>
          </w:p>
        </w:tc>
        <w:tc>
          <w:tcPr>
            <w:tcW w:type="dxa" w:w="3061"/>
          </w:tcPr>
          <w:p>
            <w:pPr>
              <w:spacing w:after="0"/>
            </w:pPr>
            <w:r/>
            <w:r>
              <w:rPr>
                <w:sz w:val="16"/>
              </w:rPr>
              <w:t>40 / 15 %/a</w:t>
            </w:r>
          </w:p>
        </w:tc>
        <w:tc>
          <w:tcPr>
            <w:tcW w:type="dxa" w:w="2835"/>
          </w:tcPr>
          <w:p>
            <w:pPr>
              <w:spacing w:after="0"/>
            </w:pPr>
            <w:r/>
            <w:r>
              <w:rPr>
                <w:sz w:val="16"/>
              </w:rPr>
              <w:t>120 / 20 %/a</w:t>
            </w:r>
          </w:p>
        </w:tc>
        <w:tc>
          <w:tcPr>
            <w:tcW w:type="dxa" w:w="2494"/>
          </w:tcPr>
          <w:p>
            <w:pPr>
              <w:spacing w:after="0"/>
            </w:pPr>
            <w:r/>
            <w:r>
              <w:rPr>
                <w:sz w:val="16"/>
              </w:rPr>
              <w:t>Supuesto</w:t>
            </w:r>
          </w:p>
        </w:tc>
      </w:tr>
      <w:tr>
        <w:tc>
          <w:tcPr>
            <w:tcW w:type="dxa" w:w="2438"/>
          </w:tcPr>
          <w:p>
            <w:pPr>
              <w:spacing w:after="0"/>
            </w:pPr>
            <w:r/>
            <w:r>
              <w:rPr>
                <w:sz w:val="16"/>
              </w:rPr>
              <w:t>COF (FC_cmd+affa+prod+inj+env)</w:t>
            </w:r>
          </w:p>
        </w:tc>
        <w:tc>
          <w:tcPr>
            <w:tcW w:type="dxa" w:w="3061"/>
          </w:tcPr>
          <w:p>
            <w:pPr>
              <w:spacing w:after="0"/>
            </w:pPr>
            <w:r/>
            <w:r>
              <w:rPr>
                <w:sz w:val="16"/>
              </w:rPr>
              <w:t>≈ 11 M$ (categoría E)</w:t>
            </w:r>
          </w:p>
        </w:tc>
        <w:tc>
          <w:tcPr>
            <w:tcW w:type="dxa" w:w="2835"/>
          </w:tcPr>
          <w:p>
            <w:pPr>
              <w:spacing w:after="0"/>
            </w:pPr>
            <w:r/>
            <w:r>
              <w:rPr>
                <w:sz w:val="16"/>
              </w:rPr>
              <w:t>≈ 3,1 M$ (categoría D)</w:t>
            </w:r>
          </w:p>
        </w:tc>
        <w:tc>
          <w:tcPr>
            <w:tcW w:type="dxa" w:w="2494"/>
          </w:tcPr>
          <w:p>
            <w:pPr>
              <w:spacing w:after="0"/>
            </w:pPr>
            <w:r/>
            <w:r>
              <w:rPr>
                <w:sz w:val="16"/>
              </w:rPr>
              <w:t>Supuesto</w:t>
            </w:r>
          </w:p>
        </w:tc>
      </w:tr>
      <w:tr>
        <w:tc>
          <w:tcPr>
            <w:tcW w:type="dxa" w:w="2438"/>
          </w:tcPr>
          <w:p>
            <w:pPr>
              <w:spacing w:after="0"/>
            </w:pPr>
            <w:r/>
            <w:r>
              <w:rPr>
                <w:sz w:val="16"/>
              </w:rPr>
              <w:t>Plan TBI (C0)</w:t>
            </w:r>
          </w:p>
        </w:tc>
        <w:tc>
          <w:tcPr>
            <w:tcW w:type="dxa" w:w="3061"/>
          </w:tcPr>
          <w:p>
            <w:pPr>
              <w:spacing w:after="0"/>
            </w:pPr>
            <w:r/>
            <w:r>
              <w:rPr>
                <w:sz w:val="16"/>
              </w:rPr>
              <w:t>Ext. c/3 a; interna 2029 (120 h paro)</w:t>
            </w:r>
          </w:p>
        </w:tc>
        <w:tc>
          <w:tcPr>
            <w:tcW w:type="dxa" w:w="2835"/>
          </w:tcPr>
          <w:p>
            <w:pPr>
              <w:spacing w:after="0"/>
            </w:pPr>
            <w:r/>
            <w:r>
              <w:rPr>
                <w:sz w:val="16"/>
              </w:rPr>
              <w:t>Reemplazo 2029 (1,8 M$, 30 d de paro)</w:t>
            </w:r>
          </w:p>
        </w:tc>
        <w:tc>
          <w:tcPr>
            <w:tcW w:type="dxa" w:w="2494"/>
          </w:tcPr>
          <w:p>
            <w:pPr>
              <w:spacing w:after="0"/>
            </w:pPr>
            <w:r/>
            <w:r>
              <w:rPr>
                <w:sz w:val="16"/>
              </w:rPr>
              <w:t>Supuesto</w:t>
            </w:r>
          </w:p>
        </w:tc>
      </w:tr>
      <w:tr>
        <w:tc>
          <w:tcPr>
            <w:tcW w:type="dxa" w:w="2438"/>
          </w:tcPr>
          <w:p>
            <w:pPr>
              <w:spacing w:after="0"/>
            </w:pPr>
            <w:r/>
            <w:r>
              <w:rPr>
                <w:sz w:val="16"/>
              </w:rPr>
              <w:t>Plan RBI (C1)</w:t>
            </w:r>
          </w:p>
        </w:tc>
        <w:tc>
          <w:tcPr>
            <w:tcW w:type="dxa" w:w="3061"/>
          </w:tcPr>
          <w:p>
            <w:pPr>
              <w:spacing w:after="0"/>
            </w:pPr>
            <w:r/>
            <w:r>
              <w:rPr>
                <w:sz w:val="16"/>
              </w:rPr>
              <w:t>RBI 2026; NDE 2027 y 2031; reparación dirigida 2030</w:t>
            </w:r>
          </w:p>
        </w:tc>
        <w:tc>
          <w:tcPr>
            <w:tcW w:type="dxa" w:w="2835"/>
          </w:tcPr>
          <w:p>
            <w:pPr>
              <w:spacing w:after="0"/>
            </w:pPr>
            <w:r/>
            <w:r>
              <w:rPr>
                <w:sz w:val="16"/>
              </w:rPr>
              <w:t>RBI 2026; FFS Nivel 3 2027; reparación local 2028; NDE 2033</w:t>
            </w:r>
          </w:p>
        </w:tc>
        <w:tc>
          <w:tcPr>
            <w:tcW w:type="dxa" w:w="2494"/>
          </w:tcPr>
          <w:p>
            <w:pPr>
              <w:spacing w:after="0"/>
            </w:pPr>
            <w:r/>
            <w:r>
              <w:rPr>
                <w:sz w:val="16"/>
              </w:rPr>
              <w:t>Supuesto</w:t>
            </w:r>
          </w:p>
        </w:tc>
      </w:tr>
      <w:tr>
        <w:tc>
          <w:tcPr>
            <w:tcW w:type="dxa" w:w="2438"/>
          </w:tcPr>
          <w:p>
            <w:pPr>
              <w:spacing w:after="0"/>
            </w:pPr>
            <w:r/>
            <w:r>
              <w:rPr>
                <w:sz w:val="16"/>
              </w:rPr>
              <w:t>FMS (700 pts) · r · crudo · margen</w:t>
            </w:r>
          </w:p>
        </w:tc>
        <w:tc>
          <w:tcPr>
            <w:tcW w:type="dxa" w:w="3061"/>
          </w:tcPr>
          <w:p>
            <w:pPr>
              <w:spacing w:after="0"/>
            </w:pPr>
            <w:r/>
            <w:r>
              <w:rPr>
                <w:sz w:val="16"/>
              </w:rPr>
              <w:t>0,398 · 10 % · 70 $/bbl · 8 $/bbl</w:t>
            </w:r>
          </w:p>
        </w:tc>
        <w:tc>
          <w:tcPr>
            <w:tcW w:type="dxa" w:w="2835"/>
          </w:tcPr>
          <w:p>
            <w:pPr>
              <w:spacing w:after="0"/>
            </w:pPr>
            <w:r/>
            <w:r>
              <w:rPr>
                <w:sz w:val="16"/>
              </w:rPr>
              <w:t>igual</w:t>
            </w:r>
          </w:p>
        </w:tc>
        <w:tc>
          <w:tcPr>
            <w:tcW w:type="dxa" w:w="2494"/>
          </w:tcPr>
          <w:p>
            <w:pPr>
              <w:spacing w:after="0"/>
            </w:pPr>
            <w:r/>
            <w:r>
              <w:rPr>
                <w:sz w:val="16"/>
              </w:rPr>
              <w:t>Supuesto – PENDIENTE</w:t>
            </w:r>
          </w:p>
        </w:tc>
      </w:tr>
    </w:tbl>
    <w:p>
      <w:pPr>
        <w:spacing w:after="20"/>
      </w:pPr>
    </w:p>
    <w:p>
      <w:pPr>
        <w:spacing w:before="100" w:after="40"/>
      </w:pPr>
      <w:r>
        <w:rPr>
          <w:b/>
          <w:color w:val="1F3864"/>
          <w:sz w:val="24"/>
        </w:rPr>
        <w:t>7. Resultados (Barrancabermeja ilustrativo) – tres lenguajes separados</w:t>
      </w:r>
    </w:p>
    <w:tbl>
      <w:tblPr>
        <w:tblStyle w:val="TableGrid"/>
        <w:tblW w:type="auto" w:w="0"/>
        <w:tblLook w:firstColumn="1" w:firstRow="1" w:lastColumn="0" w:lastRow="0" w:noHBand="0" w:noVBand="1" w:val="04A0"/>
      </w:tblPr>
      <w:tblGrid>
        <w:gridCol w:w="2578"/>
        <w:gridCol w:w="2578"/>
        <w:gridCol w:w="2578"/>
        <w:gridCol w:w="2578"/>
      </w:tblGrid>
      <w:tr>
        <w:tc>
          <w:tcPr>
            <w:tcW w:type="dxa" w:w="4649"/>
            <w:shd w:val="clear" w:color="auto" w:fill="1F3864"/>
          </w:tcPr>
          <w:p>
            <w:pPr>
              <w:spacing w:after="0"/>
            </w:pPr>
            <w:r/>
            <w:r>
              <w:rPr>
                <w:b/>
                <w:color w:val="FFFFFF"/>
                <w:sz w:val="16"/>
              </w:rPr>
              <w:t>Indicador</w:t>
            </w:r>
          </w:p>
        </w:tc>
        <w:tc>
          <w:tcPr>
            <w:tcW w:type="dxa" w:w="1814"/>
            <w:shd w:val="clear" w:color="auto" w:fill="1F3864"/>
          </w:tcPr>
          <w:p>
            <w:pPr>
              <w:spacing w:after="0"/>
            </w:pPr>
            <w:r/>
            <w:r>
              <w:rPr>
                <w:b/>
                <w:color w:val="FFFFFF"/>
                <w:sz w:val="16"/>
              </w:rPr>
              <w:t>1 año</w:t>
            </w:r>
          </w:p>
        </w:tc>
        <w:tc>
          <w:tcPr>
            <w:tcW w:type="dxa" w:w="1814"/>
            <w:shd w:val="clear" w:color="auto" w:fill="1F3864"/>
          </w:tcPr>
          <w:p>
            <w:pPr>
              <w:spacing w:after="0"/>
            </w:pPr>
            <w:r/>
            <w:r>
              <w:rPr>
                <w:b/>
                <w:color w:val="FFFFFF"/>
                <w:sz w:val="16"/>
              </w:rPr>
              <w:t>10 años</w:t>
            </w:r>
          </w:p>
        </w:tc>
        <w:tc>
          <w:tcPr>
            <w:tcW w:type="dxa" w:w="2551"/>
            <w:shd w:val="clear" w:color="auto" w:fill="1F3864"/>
          </w:tcPr>
          <w:p>
            <w:pPr>
              <w:spacing w:after="0"/>
            </w:pPr>
            <w:r/>
            <w:r>
              <w:rPr>
                <w:b/>
                <w:color w:val="FFFFFF"/>
                <w:sz w:val="16"/>
              </w:rPr>
              <w:t>Naturaleza</w:t>
            </w:r>
          </w:p>
        </w:tc>
      </w:tr>
      <w:tr>
        <w:tc>
          <w:tcPr>
            <w:tcW w:type="dxa" w:w="4649"/>
          </w:tcPr>
          <w:p>
            <w:pPr>
              <w:spacing w:after="0"/>
            </w:pPr>
            <w:r/>
            <w:r>
              <w:rPr>
                <w:sz w:val="16"/>
              </w:rPr>
              <w:t>VAN beneficio económico esperado (caja + riesgo)</w:t>
            </w:r>
          </w:p>
        </w:tc>
        <w:tc>
          <w:tcPr>
            <w:tcW w:type="dxa" w:w="1814"/>
          </w:tcPr>
          <w:p>
            <w:pPr>
              <w:spacing w:after="0"/>
            </w:pPr>
            <w:r/>
            <w:r>
              <w:rPr>
                <w:sz w:val="16"/>
              </w:rPr>
              <w:t>-314.883</w:t>
            </w:r>
          </w:p>
        </w:tc>
        <w:tc>
          <w:tcPr>
            <w:tcW w:type="dxa" w:w="1814"/>
          </w:tcPr>
          <w:p>
            <w:pPr>
              <w:spacing w:after="0"/>
            </w:pPr>
            <w:r/>
            <w:r>
              <w:rPr>
                <w:sz w:val="16"/>
              </w:rPr>
              <w:t>4.106.476</w:t>
            </w:r>
          </w:p>
        </w:tc>
        <w:tc>
          <w:tcPr>
            <w:tcW w:type="dxa" w:w="2551"/>
          </w:tcPr>
          <w:p>
            <w:pPr>
              <w:spacing w:after="0"/>
            </w:pPr>
            <w:r/>
            <w:r>
              <w:rPr>
                <w:sz w:val="16"/>
              </w:rPr>
              <w:t>Valor esperado + caja</w:t>
            </w:r>
          </w:p>
        </w:tc>
      </w:tr>
      <w:tr>
        <w:tc>
          <w:tcPr>
            <w:tcW w:type="dxa" w:w="4649"/>
          </w:tcPr>
          <w:p>
            <w:pPr>
              <w:spacing w:after="0"/>
            </w:pPr>
            <w:r/>
            <w:r>
              <w:rPr>
                <w:sz w:val="16"/>
              </w:rPr>
              <w:t>VAN flujo de caja incremental</w:t>
            </w:r>
          </w:p>
        </w:tc>
        <w:tc>
          <w:tcPr>
            <w:tcW w:type="dxa" w:w="1814"/>
          </w:tcPr>
          <w:p>
            <w:pPr>
              <w:spacing w:after="0"/>
            </w:pPr>
            <w:r/>
            <w:r>
              <w:rPr>
                <w:sz w:val="16"/>
              </w:rPr>
              <w:t>-385.182</w:t>
            </w:r>
          </w:p>
        </w:tc>
        <w:tc>
          <w:tcPr>
            <w:tcW w:type="dxa" w:w="1814"/>
          </w:tcPr>
          <w:p>
            <w:pPr>
              <w:spacing w:after="0"/>
            </w:pPr>
            <w:r/>
            <w:r>
              <w:rPr>
                <w:sz w:val="16"/>
              </w:rPr>
              <w:t>3.450.959</w:t>
            </w:r>
          </w:p>
        </w:tc>
        <w:tc>
          <w:tcPr>
            <w:tcW w:type="dxa" w:w="2551"/>
          </w:tcPr>
          <w:p>
            <w:pPr>
              <w:spacing w:after="0"/>
            </w:pPr>
            <w:r/>
            <w:r>
              <w:rPr>
                <w:sz w:val="16"/>
              </w:rPr>
              <w:t>Caja</w:t>
            </w:r>
          </w:p>
        </w:tc>
      </w:tr>
      <w:tr>
        <w:tc>
          <w:tcPr>
            <w:tcW w:type="dxa" w:w="4649"/>
          </w:tcPr>
          <w:p>
            <w:pPr>
              <w:spacing w:after="0"/>
            </w:pPr>
            <w:r/>
            <w:r>
              <w:rPr>
                <w:sz w:val="16"/>
              </w:rPr>
              <w:t>VAN riesgo evitado (ΔEMV caja-equiv.)</w:t>
            </w:r>
          </w:p>
        </w:tc>
        <w:tc>
          <w:tcPr>
            <w:tcW w:type="dxa" w:w="1814"/>
          </w:tcPr>
          <w:p>
            <w:pPr>
              <w:spacing w:after="0"/>
            </w:pPr>
            <w:r/>
            <w:r>
              <w:rPr>
                <w:sz w:val="16"/>
              </w:rPr>
              <w:t>70.298</w:t>
            </w:r>
          </w:p>
        </w:tc>
        <w:tc>
          <w:tcPr>
            <w:tcW w:type="dxa" w:w="1814"/>
          </w:tcPr>
          <w:p>
            <w:pPr>
              <w:spacing w:after="0"/>
            </w:pPr>
            <w:r/>
            <w:r>
              <w:rPr>
                <w:sz w:val="16"/>
              </w:rPr>
              <w:t>655.517</w:t>
            </w:r>
          </w:p>
        </w:tc>
        <w:tc>
          <w:tcPr>
            <w:tcW w:type="dxa" w:w="2551"/>
          </w:tcPr>
          <w:p>
            <w:pPr>
              <w:spacing w:after="0"/>
            </w:pPr>
            <w:r/>
            <w:r>
              <w:rPr>
                <w:sz w:val="16"/>
              </w:rPr>
              <w:t>Valor esperado, NO caja</w:t>
            </w:r>
          </w:p>
        </w:tc>
      </w:tr>
      <w:tr>
        <w:tc>
          <w:tcPr>
            <w:tcW w:type="dxa" w:w="4649"/>
          </w:tcPr>
          <w:p>
            <w:pPr>
              <w:spacing w:after="0"/>
            </w:pPr>
            <w:r/>
            <w:r>
              <w:rPr>
                <w:sz w:val="16"/>
              </w:rPr>
              <w:t>SIR / ROI</w:t>
            </w:r>
          </w:p>
        </w:tc>
        <w:tc>
          <w:tcPr>
            <w:tcW w:type="dxa" w:w="1814"/>
          </w:tcPr>
          <w:p>
            <w:pPr>
              <w:spacing w:after="0"/>
            </w:pPr>
            <w:r/>
            <w:r>
              <w:rPr>
                <w:sz w:val="16"/>
              </w:rPr>
              <w:t>0.18 / -82 %</w:t>
            </w:r>
          </w:p>
        </w:tc>
        <w:tc>
          <w:tcPr>
            <w:tcW w:type="dxa" w:w="1814"/>
          </w:tcPr>
          <w:p>
            <w:pPr>
              <w:spacing w:after="0"/>
            </w:pPr>
            <w:r/>
            <w:r>
              <w:rPr>
                <w:sz w:val="16"/>
              </w:rPr>
              <w:t>3.09 / 209 %</w:t>
            </w:r>
          </w:p>
        </w:tc>
        <w:tc>
          <w:tcPr>
            <w:tcW w:type="dxa" w:w="2551"/>
          </w:tcPr>
          <w:p>
            <w:pPr>
              <w:spacing w:after="0"/>
            </w:pPr>
            <w:r/>
            <w:r>
              <w:rPr>
                <w:sz w:val="16"/>
              </w:rPr>
              <w:t>Definiciones propias</w:t>
            </w:r>
          </w:p>
        </w:tc>
      </w:tr>
      <w:tr>
        <w:tc>
          <w:tcPr>
            <w:tcW w:type="dxa" w:w="4649"/>
          </w:tcPr>
          <w:p>
            <w:pPr>
              <w:spacing w:after="0"/>
            </w:pPr>
            <w:r/>
            <w:r>
              <w:rPr>
                <w:sz w:val="16"/>
              </w:rPr>
              <w:t>Payback descontado / simple</w:t>
            </w:r>
          </w:p>
        </w:tc>
        <w:tc>
          <w:tcPr>
            <w:tcW w:type="dxa" w:w="1814"/>
          </w:tcPr>
          <w:p>
            <w:pPr>
              <w:spacing w:after="0"/>
            </w:pPr>
            <w:r/>
            <w:r>
              <w:rPr>
                <w:sz w:val="16"/>
              </w:rPr>
              <w:t>2029</w:t>
            </w:r>
          </w:p>
        </w:tc>
        <w:tc>
          <w:tcPr>
            <w:tcW w:type="dxa" w:w="1814"/>
          </w:tcPr>
          <w:p>
            <w:pPr>
              <w:spacing w:after="0"/>
            </w:pPr>
            <w:r/>
            <w:r>
              <w:rPr>
                <w:sz w:val="16"/>
              </w:rPr>
              <w:t>2029</w:t>
            </w:r>
          </w:p>
        </w:tc>
        <w:tc>
          <w:tcPr>
            <w:tcW w:type="dxa" w:w="2551"/>
          </w:tcPr>
          <w:p>
            <w:pPr>
              <w:spacing w:after="0"/>
            </w:pPr>
            <w:r/>
            <w:r>
              <w:rPr>
                <w:sz w:val="16"/>
              </w:rPr>
              <w:t>Propio</w:t>
            </w:r>
          </w:p>
        </w:tc>
      </w:tr>
    </w:tbl>
    <w:p>
      <w:pPr>
        <w:spacing w:after="20"/>
      </w:pPr>
    </w:p>
    <w:p>
      <w:r>
        <w:drawing>
          <wp:inline xmlns:a="http://schemas.openxmlformats.org/drawingml/2006/main" xmlns:pic="http://schemas.openxmlformats.org/drawingml/2006/picture">
            <wp:extent cx="6263999" cy="2116216"/>
            <wp:docPr id="1" name="Picture 1"/>
            <wp:cNvGraphicFramePr>
              <a:graphicFrameLocks noChangeAspect="1"/>
            </wp:cNvGraphicFramePr>
            <a:graphic>
              <a:graphicData uri="http://schemas.openxmlformats.org/drawingml/2006/picture">
                <pic:pic>
                  <pic:nvPicPr>
                    <pic:cNvPr id="0" name="fig.png"/>
                    <pic:cNvPicPr/>
                  </pic:nvPicPr>
                  <pic:blipFill>
                    <a:blip r:embed="rId9"/>
                    <a:stretch>
                      <a:fillRect/>
                    </a:stretch>
                  </pic:blipFill>
                  <pic:spPr>
                    <a:xfrm>
                      <a:off x="0" y="0"/>
                      <a:ext cx="6263999" cy="2116216"/>
                    </a:xfrm>
                    <a:prstGeom prst="rect"/>
                  </pic:spPr>
                </pic:pic>
              </a:graphicData>
            </a:graphic>
          </wp:inline>
        </w:drawing>
      </w:r>
    </w:p>
    <w:tbl>
      <w:tblPr>
        <w:tblStyle w:val="TableGrid"/>
        <w:tblW w:type="auto" w:w="0"/>
        <w:tblLook w:firstColumn="1" w:firstRow="1" w:lastColumn="0" w:lastRow="0" w:noHBand="0" w:noVBand="1" w:val="04A0"/>
      </w:tblPr>
      <w:tblGrid>
        <w:gridCol w:w="2578"/>
        <w:gridCol w:w="2578"/>
        <w:gridCol w:w="2578"/>
        <w:gridCol w:w="2578"/>
      </w:tblGrid>
      <w:tr>
        <w:tc>
          <w:tcPr>
            <w:tcW w:type="dxa" w:w="3969"/>
            <w:shd w:val="clear" w:color="auto" w:fill="1F3864"/>
          </w:tcPr>
          <w:p>
            <w:pPr>
              <w:spacing w:after="0"/>
            </w:pPr>
            <w:r/>
            <w:r>
              <w:rPr>
                <w:b/>
                <w:color w:val="FFFFFF"/>
                <w:sz w:val="16"/>
              </w:rPr>
              <w:t>Palanca (factor bajo / alto)</w:t>
            </w:r>
          </w:p>
        </w:tc>
        <w:tc>
          <w:tcPr>
            <w:tcW w:type="dxa" w:w="1928"/>
            <w:shd w:val="clear" w:color="auto" w:fill="1F3864"/>
          </w:tcPr>
          <w:p>
            <w:pPr>
              <w:spacing w:after="0"/>
            </w:pPr>
            <w:r/>
            <w:r>
              <w:rPr>
                <w:b/>
                <w:color w:val="FFFFFF"/>
                <w:sz w:val="16"/>
              </w:rPr>
              <w:t>VAN10 bajo</w:t>
            </w:r>
          </w:p>
        </w:tc>
        <w:tc>
          <w:tcPr>
            <w:tcW w:type="dxa" w:w="1928"/>
            <w:shd w:val="clear" w:color="auto" w:fill="1F3864"/>
          </w:tcPr>
          <w:p>
            <w:pPr>
              <w:spacing w:after="0"/>
            </w:pPr>
            <w:r/>
            <w:r>
              <w:rPr>
                <w:b/>
                <w:color w:val="FFFFFF"/>
                <w:sz w:val="16"/>
              </w:rPr>
              <w:t>VAN10 base</w:t>
            </w:r>
          </w:p>
        </w:tc>
        <w:tc>
          <w:tcPr>
            <w:tcW w:type="dxa" w:w="1928"/>
            <w:shd w:val="clear" w:color="auto" w:fill="1F3864"/>
          </w:tcPr>
          <w:p>
            <w:pPr>
              <w:spacing w:after="0"/>
            </w:pPr>
            <w:r/>
            <w:r>
              <w:rPr>
                <w:b/>
                <w:color w:val="FFFFFF"/>
                <w:sz w:val="16"/>
              </w:rPr>
              <w:t>VAN10 alto</w:t>
            </w:r>
          </w:p>
        </w:tc>
      </w:tr>
      <w:tr>
        <w:tc>
          <w:tcPr>
            <w:tcW w:type="dxa" w:w="3969"/>
          </w:tcPr>
          <w:p>
            <w:pPr>
              <w:spacing w:after="0"/>
            </w:pPr>
            <w:r/>
            <w:r>
              <w:rPr>
                <w:sz w:val="16"/>
              </w:rPr>
              <w:t>Downtime (0.5 / 1.5)</w:t>
            </w:r>
          </w:p>
        </w:tc>
        <w:tc>
          <w:tcPr>
            <w:tcW w:type="dxa" w:w="1928"/>
          </w:tcPr>
          <w:p>
            <w:pPr>
              <w:spacing w:after="0"/>
            </w:pPr>
            <w:r/>
            <w:r>
              <w:rPr>
                <w:sz w:val="16"/>
              </w:rPr>
              <w:t>2.420.209</w:t>
            </w:r>
          </w:p>
        </w:tc>
        <w:tc>
          <w:tcPr>
            <w:tcW w:type="dxa" w:w="1928"/>
          </w:tcPr>
          <w:p>
            <w:pPr>
              <w:spacing w:after="0"/>
            </w:pPr>
            <w:r/>
            <w:r>
              <w:rPr>
                <w:sz w:val="16"/>
              </w:rPr>
              <w:t>4.106.476</w:t>
            </w:r>
          </w:p>
        </w:tc>
        <w:tc>
          <w:tcPr>
            <w:tcW w:type="dxa" w:w="1928"/>
          </w:tcPr>
          <w:p>
            <w:pPr>
              <w:spacing w:after="0"/>
            </w:pPr>
            <w:r/>
            <w:r>
              <w:rPr>
                <w:sz w:val="16"/>
              </w:rPr>
              <w:t>5.792.743</w:t>
            </w:r>
          </w:p>
        </w:tc>
      </w:tr>
      <w:tr>
        <w:tc>
          <w:tcPr>
            <w:tcW w:type="dxa" w:w="3969"/>
          </w:tcPr>
          <w:p>
            <w:pPr>
              <w:spacing w:after="0"/>
            </w:pPr>
            <w:r/>
            <w:r>
              <w:rPr>
                <w:sz w:val="16"/>
              </w:rPr>
              <w:t>Margen (0.6 / 1.4)</w:t>
            </w:r>
          </w:p>
        </w:tc>
        <w:tc>
          <w:tcPr>
            <w:tcW w:type="dxa" w:w="1928"/>
          </w:tcPr>
          <w:p>
            <w:pPr>
              <w:spacing w:after="0"/>
            </w:pPr>
            <w:r/>
            <w:r>
              <w:rPr>
                <w:sz w:val="16"/>
              </w:rPr>
              <w:t>2.757.462</w:t>
            </w:r>
          </w:p>
        </w:tc>
        <w:tc>
          <w:tcPr>
            <w:tcW w:type="dxa" w:w="1928"/>
          </w:tcPr>
          <w:p>
            <w:pPr>
              <w:spacing w:after="0"/>
            </w:pPr>
            <w:r/>
            <w:r>
              <w:rPr>
                <w:sz w:val="16"/>
              </w:rPr>
              <w:t>4.106.476</w:t>
            </w:r>
          </w:p>
        </w:tc>
        <w:tc>
          <w:tcPr>
            <w:tcW w:type="dxa" w:w="1928"/>
          </w:tcPr>
          <w:p>
            <w:pPr>
              <w:spacing w:after="0"/>
            </w:pPr>
            <w:r/>
            <w:r>
              <w:rPr>
                <w:sz w:val="16"/>
              </w:rPr>
              <w:t>5.455.490</w:t>
            </w:r>
          </w:p>
        </w:tc>
      </w:tr>
      <w:tr>
        <w:tc>
          <w:tcPr>
            <w:tcW w:type="dxa" w:w="3969"/>
          </w:tcPr>
          <w:p>
            <w:pPr>
              <w:spacing w:after="0"/>
            </w:pPr>
            <w:r/>
            <w:r>
              <w:rPr>
                <w:sz w:val="16"/>
              </w:rPr>
              <w:t>Reparación (0.8 / 1.4)</w:t>
            </w:r>
          </w:p>
        </w:tc>
        <w:tc>
          <w:tcPr>
            <w:tcW w:type="dxa" w:w="1928"/>
          </w:tcPr>
          <w:p>
            <w:pPr>
              <w:spacing w:after="0"/>
            </w:pPr>
            <w:r/>
            <w:r>
              <w:rPr>
                <w:sz w:val="16"/>
              </w:rPr>
              <w:t>3.958.427</w:t>
            </w:r>
          </w:p>
        </w:tc>
        <w:tc>
          <w:tcPr>
            <w:tcW w:type="dxa" w:w="1928"/>
          </w:tcPr>
          <w:p>
            <w:pPr>
              <w:spacing w:after="0"/>
            </w:pPr>
            <w:r/>
            <w:r>
              <w:rPr>
                <w:sz w:val="16"/>
              </w:rPr>
              <w:t>4.106.476</w:t>
            </w:r>
          </w:p>
        </w:tc>
        <w:tc>
          <w:tcPr>
            <w:tcW w:type="dxa" w:w="1928"/>
          </w:tcPr>
          <w:p>
            <w:pPr>
              <w:spacing w:after="0"/>
            </w:pPr>
            <w:r/>
            <w:r>
              <w:rPr>
                <w:sz w:val="16"/>
              </w:rPr>
              <w:t>4.402.574</w:t>
            </w:r>
          </w:p>
        </w:tc>
      </w:tr>
      <w:tr>
        <w:tc>
          <w:tcPr>
            <w:tcW w:type="dxa" w:w="3969"/>
          </w:tcPr>
          <w:p>
            <w:pPr>
              <w:spacing w:after="0"/>
            </w:pPr>
            <w:r/>
            <w:r>
              <w:rPr>
                <w:sz w:val="16"/>
              </w:rPr>
              <w:t>Precio crudo (0.7 / 1.3)</w:t>
            </w:r>
          </w:p>
        </w:tc>
        <w:tc>
          <w:tcPr>
            <w:tcW w:type="dxa" w:w="1928"/>
          </w:tcPr>
          <w:p>
            <w:pPr>
              <w:spacing w:after="0"/>
            </w:pPr>
            <w:r/>
            <w:r>
              <w:rPr>
                <w:sz w:val="16"/>
              </w:rPr>
              <w:t>4.080.268</w:t>
            </w:r>
          </w:p>
        </w:tc>
        <w:tc>
          <w:tcPr>
            <w:tcW w:type="dxa" w:w="1928"/>
          </w:tcPr>
          <w:p>
            <w:pPr>
              <w:spacing w:after="0"/>
            </w:pPr>
            <w:r/>
            <w:r>
              <w:rPr>
                <w:sz w:val="16"/>
              </w:rPr>
              <w:t>4.106.476</w:t>
            </w:r>
          </w:p>
        </w:tc>
        <w:tc>
          <w:tcPr>
            <w:tcW w:type="dxa" w:w="1928"/>
          </w:tcPr>
          <w:p>
            <w:pPr>
              <w:spacing w:after="0"/>
            </w:pPr>
            <w:r/>
            <w:r>
              <w:rPr>
                <w:sz w:val="16"/>
              </w:rPr>
              <w:t>4.132.684</w:t>
            </w:r>
          </w:p>
        </w:tc>
      </w:tr>
      <w:tr>
        <w:tc>
          <w:tcPr>
            <w:tcW w:type="dxa" w:w="3969"/>
          </w:tcPr>
          <w:p>
            <w:pPr>
              <w:spacing w:after="0"/>
            </w:pPr>
            <w:r/>
            <w:r>
              <w:rPr>
                <w:sz w:val="16"/>
              </w:rPr>
              <w:t>Inspección (0.8 / 1.3)</w:t>
            </w:r>
          </w:p>
        </w:tc>
        <w:tc>
          <w:tcPr>
            <w:tcW w:type="dxa" w:w="1928"/>
          </w:tcPr>
          <w:p>
            <w:pPr>
              <w:spacing w:after="0"/>
            </w:pPr>
            <w:r/>
            <w:r>
              <w:rPr>
                <w:sz w:val="16"/>
              </w:rPr>
              <w:t>4.124.379</w:t>
            </w:r>
          </w:p>
        </w:tc>
        <w:tc>
          <w:tcPr>
            <w:tcW w:type="dxa" w:w="1928"/>
          </w:tcPr>
          <w:p>
            <w:pPr>
              <w:spacing w:after="0"/>
            </w:pPr>
            <w:r/>
            <w:r>
              <w:rPr>
                <w:sz w:val="16"/>
              </w:rPr>
              <w:t>4.106.476</w:t>
            </w:r>
          </w:p>
        </w:tc>
        <w:tc>
          <w:tcPr>
            <w:tcW w:type="dxa" w:w="1928"/>
          </w:tcPr>
          <w:p>
            <w:pPr>
              <w:spacing w:after="0"/>
            </w:pPr>
            <w:r/>
            <w:r>
              <w:rPr>
                <w:sz w:val="16"/>
              </w:rPr>
              <w:t>4.079.621</w:t>
            </w:r>
          </w:p>
        </w:tc>
      </w:tr>
    </w:tbl>
    <w:p>
      <w:pPr>
        <w:spacing w:after="20"/>
      </w:pPr>
    </w:p>
    <w:tbl>
      <w:tblPr>
        <w:tblStyle w:val="TableGrid"/>
        <w:tblW w:type="auto" w:w="0"/>
        <w:tblLook w:firstColumn="1" w:firstRow="1" w:lastColumn="0" w:lastRow="0" w:noHBand="0" w:noVBand="1" w:val="04A0"/>
      </w:tblPr>
      <w:tblGrid>
        <w:gridCol w:w="2578"/>
        <w:gridCol w:w="2578"/>
        <w:gridCol w:w="2578"/>
        <w:gridCol w:w="2578"/>
      </w:tblGrid>
      <w:tr>
        <w:tc>
          <w:tcPr>
            <w:tcW w:type="dxa" w:w="3969"/>
            <w:shd w:val="clear" w:color="auto" w:fill="1F3864"/>
          </w:tcPr>
          <w:p>
            <w:pPr>
              <w:spacing w:after="0"/>
            </w:pPr>
            <w:r/>
            <w:r>
              <w:rPr>
                <w:b/>
                <w:color w:val="FFFFFF"/>
                <w:sz w:val="16"/>
              </w:rPr>
              <w:t>RAM 5×5 (target = Medio, matriz provisional)</w:t>
            </w:r>
          </w:p>
        </w:tc>
        <w:tc>
          <w:tcPr>
            <w:tcW w:type="dxa" w:w="2041"/>
            <w:shd w:val="clear" w:color="auto" w:fill="1F3864"/>
          </w:tcPr>
          <w:p>
            <w:pPr>
              <w:spacing w:after="0"/>
            </w:pPr>
            <w:r/>
            <w:r>
              <w:rPr>
                <w:b/>
                <w:color w:val="FFFFFF"/>
                <w:sz w:val="16"/>
              </w:rPr>
              <w:t>Antes (TBI)</w:t>
            </w:r>
          </w:p>
        </w:tc>
        <w:tc>
          <w:tcPr>
            <w:tcW w:type="dxa" w:w="2041"/>
            <w:shd w:val="clear" w:color="auto" w:fill="1F3864"/>
          </w:tcPr>
          <w:p>
            <w:pPr>
              <w:spacing w:after="0"/>
            </w:pPr>
            <w:r/>
            <w:r>
              <w:rPr>
                <w:b/>
                <w:color w:val="FFFFFF"/>
                <w:sz w:val="16"/>
              </w:rPr>
              <w:t>Después (RBI)</w:t>
            </w:r>
          </w:p>
        </w:tc>
        <w:tc>
          <w:tcPr>
            <w:tcW w:type="dxa" w:w="2778"/>
            <w:shd w:val="clear" w:color="auto" w:fill="1F3864"/>
          </w:tcPr>
          <w:p>
            <w:pPr>
              <w:spacing w:after="0"/>
            </w:pPr>
            <w:r/>
            <w:r>
              <w:rPr>
                <w:b/>
                <w:color w:val="FFFFFF"/>
                <w:sz w:val="16"/>
              </w:rPr>
              <w:t>Cumple</w:t>
            </w:r>
          </w:p>
        </w:tc>
      </w:tr>
      <w:tr>
        <w:tc>
          <w:tcPr>
            <w:tcW w:type="dxa" w:w="3969"/>
          </w:tcPr>
          <w:p>
            <w:pPr>
              <w:spacing w:after="0"/>
            </w:pPr>
            <w:r/>
            <w:r>
              <w:rPr>
                <w:sz w:val="16"/>
              </w:rPr>
              <w:t>U-200 2026 (CoF E)</w:t>
            </w:r>
          </w:p>
        </w:tc>
        <w:tc>
          <w:tcPr>
            <w:tcW w:type="dxa" w:w="2041"/>
          </w:tcPr>
          <w:p>
            <w:pPr>
              <w:spacing w:after="0"/>
            </w:pPr>
            <w:r/>
            <w:r>
              <w:rPr>
                <w:sz w:val="16"/>
              </w:rPr>
              <w:t>PoF 4 → A</w:t>
            </w:r>
          </w:p>
        </w:tc>
        <w:tc>
          <w:tcPr>
            <w:tcW w:type="dxa" w:w="2041"/>
          </w:tcPr>
          <w:p>
            <w:pPr>
              <w:spacing w:after="0"/>
            </w:pPr>
            <w:r/>
            <w:r>
              <w:rPr>
                <w:sz w:val="16"/>
              </w:rPr>
              <w:t>PoF 4 → A</w:t>
            </w:r>
          </w:p>
        </w:tc>
        <w:tc>
          <w:tcPr>
            <w:tcW w:type="dxa" w:w="2778"/>
          </w:tcPr>
          <w:p>
            <w:pPr>
              <w:spacing w:after="0"/>
            </w:pPr>
            <w:r/>
            <w:r>
              <w:rPr>
                <w:sz w:val="16"/>
              </w:rPr>
              <w:t>NO: requiere mitigar consecuencia</w:t>
            </w:r>
          </w:p>
        </w:tc>
      </w:tr>
      <w:tr>
        <w:tc>
          <w:tcPr>
            <w:tcW w:type="dxa" w:w="3969"/>
          </w:tcPr>
          <w:p>
            <w:pPr>
              <w:spacing w:after="0"/>
            </w:pPr>
            <w:r/>
            <w:r>
              <w:rPr>
                <w:sz w:val="16"/>
              </w:rPr>
              <w:t>U-200 2036 (CoF E)</w:t>
            </w:r>
          </w:p>
        </w:tc>
        <w:tc>
          <w:tcPr>
            <w:tcW w:type="dxa" w:w="2041"/>
          </w:tcPr>
          <w:p>
            <w:pPr>
              <w:spacing w:after="0"/>
            </w:pPr>
            <w:r/>
            <w:r>
              <w:rPr>
                <w:sz w:val="16"/>
              </w:rPr>
              <w:t>PoF 4 → A</w:t>
            </w:r>
          </w:p>
        </w:tc>
        <w:tc>
          <w:tcPr>
            <w:tcW w:type="dxa" w:w="2041"/>
          </w:tcPr>
          <w:p>
            <w:pPr>
              <w:spacing w:after="0"/>
            </w:pPr>
            <w:r/>
            <w:r>
              <w:rPr>
                <w:sz w:val="16"/>
              </w:rPr>
              <w:t>PoF 3 → A</w:t>
            </w:r>
          </w:p>
        </w:tc>
        <w:tc>
          <w:tcPr>
            <w:tcW w:type="dxa" w:w="2778"/>
          </w:tcPr>
          <w:p>
            <w:pPr>
              <w:spacing w:after="0"/>
            </w:pPr>
            <w:r/>
            <w:r>
              <w:rPr>
                <w:sz w:val="16"/>
              </w:rPr>
              <w:t>NO: requiere mitigar consecuencia</w:t>
            </w:r>
          </w:p>
        </w:tc>
      </w:tr>
      <w:tr>
        <w:tc>
          <w:tcPr>
            <w:tcW w:type="dxa" w:w="3969"/>
          </w:tcPr>
          <w:p>
            <w:pPr>
              <w:spacing w:after="0"/>
            </w:pPr>
            <w:r/>
            <w:r>
              <w:rPr>
                <w:sz w:val="16"/>
              </w:rPr>
              <w:t>V-220 2026 (CoF D)</w:t>
            </w:r>
          </w:p>
        </w:tc>
        <w:tc>
          <w:tcPr>
            <w:tcW w:type="dxa" w:w="2041"/>
          </w:tcPr>
          <w:p>
            <w:pPr>
              <w:spacing w:after="0"/>
            </w:pPr>
            <w:r/>
            <w:r>
              <w:rPr>
                <w:sz w:val="16"/>
              </w:rPr>
              <w:t>PoF 5 → A</w:t>
            </w:r>
          </w:p>
        </w:tc>
        <w:tc>
          <w:tcPr>
            <w:tcW w:type="dxa" w:w="2041"/>
          </w:tcPr>
          <w:p>
            <w:pPr>
              <w:spacing w:after="0"/>
            </w:pPr>
            <w:r/>
            <w:r>
              <w:rPr>
                <w:sz w:val="16"/>
              </w:rPr>
              <w:t>PoF 4 → A</w:t>
            </w:r>
          </w:p>
        </w:tc>
        <w:tc>
          <w:tcPr>
            <w:tcW w:type="dxa" w:w="2778"/>
          </w:tcPr>
          <w:p>
            <w:pPr>
              <w:spacing w:after="0"/>
            </w:pPr>
            <w:r/>
            <w:r>
              <w:rPr>
                <w:sz w:val="16"/>
              </w:rPr>
              <w:t>NO: requiere mitigar consecuencia</w:t>
            </w:r>
          </w:p>
        </w:tc>
      </w:tr>
      <w:tr>
        <w:tc>
          <w:tcPr>
            <w:tcW w:type="dxa" w:w="3969"/>
          </w:tcPr>
          <w:p>
            <w:pPr>
              <w:spacing w:after="0"/>
            </w:pPr>
            <w:r/>
            <w:r>
              <w:rPr>
                <w:sz w:val="16"/>
              </w:rPr>
              <w:t>V-220 2036 (CoF D)</w:t>
            </w:r>
          </w:p>
        </w:tc>
        <w:tc>
          <w:tcPr>
            <w:tcW w:type="dxa" w:w="2041"/>
          </w:tcPr>
          <w:p>
            <w:pPr>
              <w:spacing w:after="0"/>
            </w:pPr>
            <w:r/>
            <w:r>
              <w:rPr>
                <w:sz w:val="16"/>
              </w:rPr>
              <w:t>PoF 1 → B</w:t>
            </w:r>
          </w:p>
        </w:tc>
        <w:tc>
          <w:tcPr>
            <w:tcW w:type="dxa" w:w="2041"/>
          </w:tcPr>
          <w:p>
            <w:pPr>
              <w:spacing w:after="0"/>
            </w:pPr>
            <w:r/>
            <w:r>
              <w:rPr>
                <w:sz w:val="16"/>
              </w:rPr>
              <w:t>PoF 2 → M</w:t>
            </w:r>
          </w:p>
        </w:tc>
        <w:tc>
          <w:tcPr>
            <w:tcW w:type="dxa" w:w="2778"/>
          </w:tcPr>
          <w:p>
            <w:pPr>
              <w:spacing w:after="0"/>
            </w:pPr>
            <w:r/>
            <w:r>
              <w:rPr>
                <w:sz w:val="16"/>
              </w:rPr>
              <w:t>Sí</w:t>
            </w:r>
          </w:p>
        </w:tc>
      </w:tr>
      <w:tr>
        <w:tc>
          <w:tcPr>
            <w:tcW w:type="dxa" w:w="3969"/>
          </w:tcPr>
          <w:p>
            <w:pPr>
              <w:spacing w:after="0"/>
            </w:pPr>
            <w:r/>
            <w:r>
              <w:rPr>
                <w:sz w:val="16"/>
              </w:rPr>
              <w:t>Oropallo 2023 (Fig. 5)</w:t>
            </w:r>
          </w:p>
        </w:tc>
        <w:tc>
          <w:tcPr>
            <w:tcW w:type="dxa" w:w="2041"/>
          </w:tcPr>
          <w:p>
            <w:pPr>
              <w:spacing w:after="0"/>
            </w:pPr>
            <w:r/>
            <w:r>
              <w:rPr>
                <w:sz w:val="16"/>
              </w:rPr>
              <w:t>1C → B</w:t>
            </w:r>
          </w:p>
        </w:tc>
        <w:tc>
          <w:tcPr>
            <w:tcW w:type="dxa" w:w="2041"/>
          </w:tcPr>
          <w:p>
            <w:pPr>
              <w:spacing w:after="0"/>
            </w:pPr>
            <w:r/>
            <w:r>
              <w:rPr>
                <w:sz w:val="16"/>
              </w:rPr>
              <w:t>3C = límite → M</w:t>
            </w:r>
          </w:p>
        </w:tc>
        <w:tc>
          <w:tcPr>
            <w:tcW w:type="dxa" w:w="2778"/>
          </w:tcPr>
          <w:p>
            <w:pPr>
              <w:spacing w:after="0"/>
            </w:pPr>
            <w:r/>
            <w:r>
              <w:rPr>
                <w:sz w:val="16"/>
              </w:rPr>
              <w:t>Coherente con el paper</w:t>
            </w:r>
          </w:p>
        </w:tc>
      </w:tr>
    </w:tbl>
    <w:p>
      <w:pPr>
        <w:spacing w:after="20"/>
      </w:pPr>
    </w:p>
    <w:p>
      <w:pPr>
        <w:spacing w:before="100" w:after="40"/>
      </w:pPr>
      <w:r>
        <w:rPr>
          <w:b/>
          <w:color w:val="1F3864"/>
          <w:sz w:val="24"/>
        </w:rPr>
        <w:t>8. Respuestas clave (detalle completo en el Excel, hoja única, sección 13.5)</w:t>
      </w:r>
    </w:p>
    <w:p>
      <w:pPr>
        <w:spacing w:after="40"/>
      </w:pPr>
      <w:r>
        <w:rPr>
          <w:b/>
        </w:rPr>
        <w:t xml:space="preserve">¿Qué es α en la Eq. 2.16? </w:t>
      </w:r>
      <w:r>
        <w:t>En Oropallo no existe 'Eq. 2.16': el ratio de resistencia está en la Eq. 6 (p.5): SR_P = P·D/(α·FS·t_rd), donde α es el factor de forma geométrica del componente (2 para cilindro, p.5). Es consistente con σ_aro = P·D/(2t). La numeración '2.x' corresponde a la Parte 2 de API 581; allí SR_P aparece en el paso de resistencia del Df de adelgazamiento (por indicios públicos, tras A_rt = Eq. 2.13), posiblemente como 2.16 — NO verificado. Nota: Eq. 6 dice D externo y Tabla 2 da D interno.</w:t>
      </w:r>
    </w:p>
    <w:p>
      <w:pPr>
        <w:spacing w:after="40"/>
      </w:pPr>
      <w:r>
        <w:rPr>
          <w:b/>
        </w:rPr>
        <w:t xml:space="preserve">¿Cómo actualiza una inspección NDE el DF? </w:t>
      </w:r>
      <w:r>
        <w:t>(1) Se definen 3 estados de daño (factores 1, 2, 4 sobre la tasa esperada, p.5). (2) Cada inspección, según su efectividad A–E (Tabla 1), actualiza las probabilidades a priori de cada estado con probabilidades condicionales → probabilidades posteriores Po_p1–3 (p.6). (3) Con el ratio A_rt y SR_P se calcula el índice β de cada estado. (4) Df = [ΣPo_pi·Φ(−β_i)]/1,56·10⁻⁴ (Eq. 7). Mayor efectividad y más inspecciones concentran la posterior en el estado real → baja la incertidumbre; el Df puede bajar (o subir si se confirma daño). No repara daño físico (Fig…</w:t>
      </w:r>
    </w:p>
    <w:p>
      <w:pPr>
        <w:spacing w:after="40"/>
      </w:pPr>
      <w:r>
        <w:rPr>
          <w:b/>
        </w:rPr>
        <w:t xml:space="preserve">¿Qué elementos son indispensables en RBI para evaluar beneficios? </w:t>
      </w:r>
      <w:r>
        <w:t>Mínimo para cuantificar beneficio económico: (a) POF = gff·Df·FMS por mecanismo de daño; (b) CoF financiera FC (5 componentes, Eq. 13); (c) efectividad y costo de cada inspección/mitigación (Tablas 1, 4, 5); (d) plan en el tiempo y risk target (Fig. 5, p.9); (e) evergreening; (f) costos de paro planificado; (g) tasa de descuento y horizonte (NO están en el paper: los aporta el DSS). Claves de un programa RBI según API 580: sistema de gestión, método de PoF, método de CoF y método de gestión del riesgo documentados.</w:t>
      </w:r>
    </w:p>
    <w:p>
      <w:pPr>
        <w:spacing w:after="40"/>
      </w:pPr>
      <w:r>
        <w:rPr>
          <w:b/>
        </w:rPr>
        <w:t xml:space="preserve">¿Cuál es el continuum de enfoques RBI? </w:t>
      </w:r>
      <w:r>
        <w:t>API 580 describe RBI como un continuo de cualitativo → semicuantitativo → cuantitativo (no tres cajas aisladas); API 581 es el extremo cuantitativo. Oropallo (p.4) describe los mismos tres tipos: cualitativo (puntajes subjetivos), semicuantitativo (intermedio) y cuantitativo (modelos numéricos). Un programa corporativo suele mezclarlos: screening cualitativo de todo el inventario, API 581 cuantitativo en lo crítico.</w:t>
      </w:r>
    </w:p>
    <w:p>
      <w:pPr>
        <w:spacing w:after="40"/>
      </w:pPr>
      <w:r>
        <w:rPr>
          <w:b/>
        </w:rPr>
        <w:t xml:space="preserve">¿Qué cambia con el Addendum 2019 sobre CA? </w:t>
      </w:r>
      <w:r>
        <w:t>No pude abrir el texto. Fuentes públicas reportan que las adendas de API 581 3.ª ed. modifican definiciones, ecuaciones y tablas, y que se eliminó el límite de 10.000 ft² en el área de consecuencia de COF Nivel 1 y 2 (límite pensado para derrames de líquido inflamable que propagaban fuego en charco). Existe un documento público fechado abril 2019 y una 'Addendum 2' del 1-oct-2020; no puedo asignar cada cambio a una adenda. Efecto práctico: CA de líquidos inflamables puede subir → FC y EMV suben → mayor ΔEMV.</w:t>
      </w:r>
    </w:p>
    <w:p>
      <w:pPr>
        <w:spacing w:after="40"/>
      </w:pPr>
      <w:r>
        <w:rPr>
          <w:b/>
        </w:rPr>
        <w:t xml:space="preserve">Diferencias Level 1 vs Level 2 de COF </w:t>
      </w:r>
      <w:r>
        <w:t>Level 1: método simplificado con fluidos representativos tabulados y ecuaciones cerradas de CA según tasa de fuga; adecuado para cribado de muchos equipos. Level 2: cálculo detallado con propiedades del fluido/mezcla, tasas y duraciones de fuga, mitigación y (para toxicidad) dispersión más rigurosa; para equipos críticos o donde Level 1 es poco conservador/demasiado conservador. Oropallo no indica qué nivel usó (Eqs. 9–12 son comunes).</w:t>
      </w:r>
    </w:p>
    <w:p>
      <w:pPr>
        <w:spacing w:after="40"/>
      </w:pPr>
      <w:r>
        <w:rPr>
          <w:b/>
        </w:rPr>
        <w:t xml:space="preserve">¿Qué significa GFF para riesgo 1C? </w:t>
      </w:r>
      <w:r>
        <w:t>1C = categoría de probabilidad 1 (la más baja) y de consecuencia financiera C. Con Df≈1, POF = gff·Df·FMS ≈ gff·FMS: el riesgo está en el piso definido por la frecuencia genérica y el sistema de gestión, no por daño activo. Implicación económica: en 1C casi no hay ΔEMV que capturar; el beneficio de RBI viene de inspeccionar menos / sin paro (justo lo que muestra Oropallo), no de riesgo evitado. Además GFF es un valor de industria (no de la planta): si no se calibra, ΔEMV hereda esa incertidumbre.</w:t>
      </w:r>
    </w:p>
    <w:p>
      <w:pPr>
        <w:spacing w:after="40"/>
      </w:pPr>
      <w:r>
        <w:rPr>
          <w:b/>
        </w:rPr>
        <w:t xml:space="preserve">¿Cómo simular U-200? </w:t>
      </w:r>
      <w:r>
        <w:t>U-200 se trata como unidad agregada (modelo ILUSTRATIVO en Excel): 1) dividir en circuitos/equipos con Df propio (aquí: 25 componentes equivalentes, supuesto); 2) por cada uno gff, Df0(t) sin plan (TBI) y Df1(t) con plan RBI (NDE en operación, reparación dirigida); 3) CoF de unidad: FC_prod con el margen de toda la unidad (Eq. 13); 4) EMV0, EMV1, ΔEMV por año; 5) flujo incremental y VAN. Resultado ilustrativo: aun con RBI permanece en nivel Alto por consecuencia E → requiere mitigación de consecuencia, no solo inspección. Sustituir todos los datos por lo…</w:t>
      </w:r>
    </w:p>
    <w:p>
      <w:pPr>
        <w:spacing w:after="40"/>
      </w:pPr>
      <w:r>
        <w:rPr>
          <w:b/>
        </w:rPr>
        <w:t xml:space="preserve">¿Cómo aplicar FFS Nivel 3 a V-220? </w:t>
      </w:r>
      <w:r>
        <w:t>Secuencia: 1) identificar mecanismo (API 571) y medir (mapeo PAUT/UT de espesores, propiedades del material); 2) Niveles 1 y 2 (API 579-1 Partes 4/5/6 según el tipo de pérdida) – si no pasan, 3) Nivel 3: FEA elasto-plástico 3D del recipiente con la geometría degradada, criterio de colapso plástico y factor de resistencia remanente (RSF) contra el admisible; 4) salidas: presión máxima admisible reducida, vida remanente, intervalo de reinspección; 5) retroalimentar al RBI (t_rd, Cr → Df) y al flujo: costo FFS (−), reparación/reemplazo diferido (+), paro ev…</w:t>
      </w:r>
    </w:p>
    <w:p>
      <w:pPr>
        <w:spacing w:after="40"/>
      </w:pPr>
      <w:r>
        <w:rPr>
          <w:b/>
        </w:rPr>
        <w:t xml:space="preserve">¿Qué impacto tiene FMS en el ahorro total? GFF y DF </w:t>
      </w:r>
      <w:r>
        <w:t>ΔEMV = gff·FMS·(Df0·CoF0 − Df1·CoF1): gff y FMS son multiplicadores comunes → escalan linealmente el ahorro de riesgo, sin cambiar el ranking entre equipos. Con la puntuación 750 del paper FMS≈0,316 (fórmula recordada) frente a 700 (0,398) o 500 (1,0): pasar de 700 a 500 multiplica el riesgo evitado ×2,5. En el Excel ilustrativo el riesgo evitado es ~16 % del VAN, por lo que el FMS mueve el VAN menos que el paro evitado. Df es la palanca que depende del plan de inspección.</w:t>
      </w:r>
    </w:p>
    <w:p>
      <w:pPr>
        <w:spacing w:after="40"/>
      </w:pPr>
      <w:r>
        <w:rPr>
          <w:b/>
        </w:rPr>
        <w:t xml:space="preserve">¿Cómo afecta el uso de tbm y tcm al Step 6 de A_rt? </w:t>
      </w:r>
      <w:r>
        <w:t>tbm/tcm no aparecen en Oropallo (que usa A_rt=Cr·age/t_rd, Eq. 4). Según lo que reportan fuentes públicas, en API 581 3.ª ed. el Step 6 unifica el cálculo de A_rt con y sin revestimiento (cladding/weld overlay): t_bm = espesor del metal base, t_cm = espesor del revestimiento, con edad del revestimiento age_cm = t_cm/Cr_cm: mientras el revestimiento dura se usa su velocidad de corrosión y luego la del metal base. Efecto: menor A_rt (y Df) mientras el cladding protege; después el Df sube. No pude leer la ecuación exacta.</w:t>
      </w:r>
    </w:p>
    <w:p>
      <w:r>
        <w:br w:type="page"/>
      </w:r>
    </w:p>
    <w:p>
      <w:pPr>
        <w:spacing w:before="100" w:after="40"/>
      </w:pPr>
      <w:r>
        <w:rPr>
          <w:b/>
          <w:color w:val="1F3864"/>
          <w:sz w:val="24"/>
        </w:rPr>
        <w:t>9. Limitaciones y pendientes</w:t>
      </w:r>
    </w:p>
    <w:p>
      <w:pPr>
        <w:pStyle w:val="ListBullet"/>
        <w:spacing w:after="20"/>
      </w:pPr>
      <w:r>
        <w:t>Reemplazar con datos de Ecopetrol: Df por equipo/año (software RBI licenciado), COF, costos, horas de paro, margen, precio, tasa de descuento, matriz y risk target corporativos.</w:t>
      </w:r>
    </w:p>
    <w:p>
      <w:pPr>
        <w:pStyle w:val="ListBullet"/>
        <w:spacing w:after="20"/>
      </w:pPr>
      <w:r>
        <w:t>Verificar en la edición aplicable de API 581 (3.ª ed. 2016 + adendas): POF (Parte 2), GFF (Tabla 3.1), FMS (Anexo 2.A), Df, NDE, COF (Parte 3; Nivel 1 vs 2; adenda sobre CA), categorías RAM (Parte 1). ASME PCC-3 es planificación RBI; las reparaciones son PCC-2.</w:t>
      </w:r>
    </w:p>
    <w:p>
      <w:pPr>
        <w:pStyle w:val="ListBullet"/>
        <w:spacing w:after="20"/>
      </w:pPr>
      <w:r>
        <w:t>Leer las referencias de la sección 4 (solo se confirmaron DOI; contenido no leído). Normativa colombiana aplicable: pendiente (el paper usa RD 2060/2008, España).</w:t>
      </w:r>
    </w:p>
    <w:p>
      <w:pPr>
        <w:spacing w:before="100" w:after="40"/>
      </w:pPr>
      <w:r>
        <w:rPr>
          <w:b/>
          <w:color w:val="1F3864"/>
          <w:sz w:val="20"/>
        </w:rPr>
        <w:t>10. Verificación de normas: qué se verificó y qué no</w:t>
      </w:r>
    </w:p>
    <w:tbl>
      <w:tblPr>
        <w:tblStyle w:val="TableGrid"/>
        <w:tblW w:type="auto" w:w="0"/>
        <w:tblLook w:firstColumn="1" w:firstRow="1" w:lastColumn="0" w:lastRow="0" w:noHBand="0" w:noVBand="1" w:val="04A0"/>
      </w:tblPr>
      <w:tblGrid>
        <w:gridCol w:w="3437"/>
        <w:gridCol w:w="3437"/>
        <w:gridCol w:w="3437"/>
      </w:tblGrid>
      <w:tr>
        <w:tc>
          <w:tcPr>
            <w:tcW w:type="dxa" w:w="3685"/>
            <w:shd w:val="clear" w:color="auto" w:fill="1F3864"/>
          </w:tcPr>
          <w:p>
            <w:pPr>
              <w:spacing w:after="0"/>
            </w:pPr>
            <w:r/>
            <w:r>
              <w:rPr>
                <w:b/>
                <w:color w:val="FFFFFF"/>
                <w:sz w:val="16"/>
              </w:rPr>
              <w:t>Elemento</w:t>
            </w:r>
          </w:p>
        </w:tc>
        <w:tc>
          <w:tcPr>
            <w:tcW w:type="dxa" w:w="2438"/>
            <w:shd w:val="clear" w:color="auto" w:fill="1F3864"/>
          </w:tcPr>
          <w:p>
            <w:pPr>
              <w:spacing w:after="0"/>
            </w:pPr>
            <w:r/>
            <w:r>
              <w:rPr>
                <w:b/>
                <w:color w:val="FFFFFF"/>
                <w:sz w:val="16"/>
              </w:rPr>
              <w:t>Norma</w:t>
            </w:r>
          </w:p>
        </w:tc>
        <w:tc>
          <w:tcPr>
            <w:tcW w:type="dxa" w:w="4706"/>
            <w:shd w:val="clear" w:color="auto" w:fill="1F3864"/>
          </w:tcPr>
          <w:p>
            <w:pPr>
              <w:spacing w:after="0"/>
            </w:pPr>
            <w:r/>
            <w:r>
              <w:rPr>
                <w:b/>
                <w:color w:val="FFFFFF"/>
                <w:sz w:val="16"/>
              </w:rPr>
              <w:t>Estado</w:t>
            </w:r>
          </w:p>
        </w:tc>
      </w:tr>
      <w:tr>
        <w:tc>
          <w:tcPr>
            <w:tcW w:type="dxa" w:w="3685"/>
          </w:tcPr>
          <w:p>
            <w:pPr>
              <w:spacing w:after="0"/>
            </w:pPr>
            <w:r/>
            <w:r>
              <w:rPr>
                <w:sz w:val="16"/>
              </w:rPr>
              <w:t>POF = GFF × DF × FMS</w:t>
            </w:r>
          </w:p>
        </w:tc>
        <w:tc>
          <w:tcPr>
            <w:tcW w:type="dxa" w:w="2438"/>
          </w:tcPr>
          <w:p>
            <w:pPr>
              <w:spacing w:after="0"/>
            </w:pPr>
            <w:r/>
            <w:r>
              <w:rPr>
                <w:sz w:val="16"/>
              </w:rPr>
              <w:t>API RP 581</w:t>
            </w:r>
          </w:p>
        </w:tc>
        <w:tc>
          <w:tcPr>
            <w:tcW w:type="dxa" w:w="4706"/>
          </w:tcPr>
          <w:p>
            <w:pPr>
              <w:spacing w:after="0"/>
            </w:pPr>
            <w:r/>
            <w:r>
              <w:rPr>
                <w:sz w:val="16"/>
              </w:rPr>
              <w:t>Paper: verificado · Norma: PENDIENTE de validación</w:t>
            </w:r>
          </w:p>
        </w:tc>
      </w:tr>
      <w:tr>
        <w:tc>
          <w:tcPr>
            <w:tcW w:type="dxa" w:w="3685"/>
          </w:tcPr>
          <w:p>
            <w:pPr>
              <w:spacing w:after="0"/>
            </w:pPr>
            <w:r/>
            <w:r>
              <w:rPr>
                <w:sz w:val="16"/>
              </w:rPr>
              <w:t>GFF (frecuencias genéricas por tamaño de fuga)</w:t>
            </w:r>
          </w:p>
        </w:tc>
        <w:tc>
          <w:tcPr>
            <w:tcW w:type="dxa" w:w="2438"/>
          </w:tcPr>
          <w:p>
            <w:pPr>
              <w:spacing w:after="0"/>
            </w:pPr>
            <w:r/>
            <w:r>
              <w:rPr>
                <w:sz w:val="16"/>
              </w:rPr>
              <w:t>API RP 581</w:t>
            </w:r>
          </w:p>
        </w:tc>
        <w:tc>
          <w:tcPr>
            <w:tcW w:type="dxa" w:w="4706"/>
          </w:tcPr>
          <w:p>
            <w:pPr>
              <w:spacing w:after="0"/>
            </w:pPr>
            <w:r/>
            <w:r>
              <w:rPr>
                <w:sz w:val="16"/>
              </w:rPr>
              <w:t>Valor: PENDIENTE de validación</w:t>
            </w:r>
          </w:p>
        </w:tc>
      </w:tr>
      <w:tr>
        <w:tc>
          <w:tcPr>
            <w:tcW w:type="dxa" w:w="3685"/>
          </w:tcPr>
          <w:p>
            <w:pPr>
              <w:spacing w:after="0"/>
            </w:pPr>
            <w:r/>
            <w:r>
              <w:rPr>
                <w:sz w:val="16"/>
              </w:rPr>
              <w:t>FMS</w:t>
            </w:r>
          </w:p>
        </w:tc>
        <w:tc>
          <w:tcPr>
            <w:tcW w:type="dxa" w:w="2438"/>
          </w:tcPr>
          <w:p>
            <w:pPr>
              <w:spacing w:after="0"/>
            </w:pPr>
            <w:r/>
            <w:r>
              <w:rPr>
                <w:sz w:val="16"/>
              </w:rPr>
              <w:t>API RP 581</w:t>
            </w:r>
          </w:p>
        </w:tc>
        <w:tc>
          <w:tcPr>
            <w:tcW w:type="dxa" w:w="4706"/>
          </w:tcPr>
          <w:p>
            <w:pPr>
              <w:spacing w:after="0"/>
            </w:pPr>
            <w:r/>
            <w:r>
              <w:rPr>
                <w:sz w:val="16"/>
              </w:rPr>
              <w:t>Fórmula: PENDIENTE de validación</w:t>
            </w:r>
          </w:p>
        </w:tc>
      </w:tr>
      <w:tr>
        <w:tc>
          <w:tcPr>
            <w:tcW w:type="dxa" w:w="3685"/>
          </w:tcPr>
          <w:p>
            <w:pPr>
              <w:spacing w:after="0"/>
            </w:pPr>
            <w:r/>
            <w:r>
              <w:rPr>
                <w:sz w:val="16"/>
              </w:rPr>
              <w:t>Df adelgazamiento</w:t>
            </w:r>
          </w:p>
        </w:tc>
        <w:tc>
          <w:tcPr>
            <w:tcW w:type="dxa" w:w="2438"/>
          </w:tcPr>
          <w:p>
            <w:pPr>
              <w:spacing w:after="0"/>
            </w:pPr>
            <w:r/>
            <w:r>
              <w:rPr>
                <w:sz w:val="16"/>
              </w:rPr>
              <w:t>API RP 581</w:t>
            </w:r>
          </w:p>
        </w:tc>
        <w:tc>
          <w:tcPr>
            <w:tcW w:type="dxa" w:w="4706"/>
          </w:tcPr>
          <w:p>
            <w:pPr>
              <w:spacing w:after="0"/>
            </w:pPr>
            <w:r/>
            <w:r>
              <w:rPr>
                <w:sz w:val="16"/>
              </w:rPr>
              <w:t>Paper: verificado parcial · Norma: PENDIENTE de validación</w:t>
            </w:r>
          </w:p>
        </w:tc>
      </w:tr>
      <w:tr>
        <w:tc>
          <w:tcPr>
            <w:tcW w:type="dxa" w:w="3685"/>
          </w:tcPr>
          <w:p>
            <w:pPr>
              <w:spacing w:after="0"/>
            </w:pPr>
            <w:r/>
            <w:r>
              <w:rPr>
                <w:sz w:val="16"/>
              </w:rPr>
              <w:t>Df corrosión externa ferrítica / CUI ferrítico</w:t>
            </w:r>
          </w:p>
        </w:tc>
        <w:tc>
          <w:tcPr>
            <w:tcW w:type="dxa" w:w="2438"/>
          </w:tcPr>
          <w:p>
            <w:pPr>
              <w:spacing w:after="0"/>
            </w:pPr>
            <w:r/>
            <w:r>
              <w:rPr>
                <w:sz w:val="16"/>
              </w:rPr>
              <w:t>API RP 581</w:t>
            </w:r>
          </w:p>
        </w:tc>
        <w:tc>
          <w:tcPr>
            <w:tcW w:type="dxa" w:w="4706"/>
          </w:tcPr>
          <w:p>
            <w:pPr>
              <w:spacing w:after="0"/>
            </w:pPr>
            <w:r/>
            <w:r>
              <w:rPr>
                <w:sz w:val="16"/>
              </w:rPr>
              <w:t>Inferencia sólida · PENDIENTE de validación</w:t>
            </w:r>
          </w:p>
        </w:tc>
      </w:tr>
      <w:tr>
        <w:tc>
          <w:tcPr>
            <w:tcW w:type="dxa" w:w="3685"/>
          </w:tcPr>
          <w:p>
            <w:pPr>
              <w:spacing w:after="0"/>
            </w:pPr>
            <w:r/>
            <w:r>
              <w:rPr>
                <w:sz w:val="16"/>
              </w:rPr>
              <w:t>Actualización del Df por NDE (efectividad A–E)</w:t>
            </w:r>
          </w:p>
        </w:tc>
        <w:tc>
          <w:tcPr>
            <w:tcW w:type="dxa" w:w="2438"/>
          </w:tcPr>
          <w:p>
            <w:pPr>
              <w:spacing w:after="0"/>
            </w:pPr>
            <w:r/>
            <w:r>
              <w:rPr>
                <w:sz w:val="16"/>
              </w:rPr>
              <w:t>API RP 581</w:t>
            </w:r>
          </w:p>
        </w:tc>
        <w:tc>
          <w:tcPr>
            <w:tcW w:type="dxa" w:w="4706"/>
          </w:tcPr>
          <w:p>
            <w:pPr>
              <w:spacing w:after="0"/>
            </w:pPr>
            <w:r/>
            <w:r>
              <w:rPr>
                <w:sz w:val="16"/>
              </w:rPr>
              <w:t>Paper: verificado · Norma: PENDIENTE de validación</w:t>
            </w:r>
          </w:p>
        </w:tc>
      </w:tr>
      <w:tr>
        <w:tc>
          <w:tcPr>
            <w:tcW w:type="dxa" w:w="3685"/>
          </w:tcPr>
          <w:p>
            <w:pPr>
              <w:spacing w:after="0"/>
            </w:pPr>
            <w:r/>
            <w:r>
              <w:rPr>
                <w:sz w:val="16"/>
              </w:rPr>
              <w:t>COF (áreas, financiera)</w:t>
            </w:r>
          </w:p>
        </w:tc>
        <w:tc>
          <w:tcPr>
            <w:tcW w:type="dxa" w:w="2438"/>
          </w:tcPr>
          <w:p>
            <w:pPr>
              <w:spacing w:after="0"/>
            </w:pPr>
            <w:r/>
            <w:r>
              <w:rPr>
                <w:sz w:val="16"/>
              </w:rPr>
              <w:t>API RP 581</w:t>
            </w:r>
          </w:p>
        </w:tc>
        <w:tc>
          <w:tcPr>
            <w:tcW w:type="dxa" w:w="4706"/>
          </w:tcPr>
          <w:p>
            <w:pPr>
              <w:spacing w:after="0"/>
            </w:pPr>
            <w:r/>
            <w:r>
              <w:rPr>
                <w:sz w:val="16"/>
              </w:rPr>
              <w:t>Paper: verificado · Norma: PENDIENTE de validación</w:t>
            </w:r>
          </w:p>
        </w:tc>
      </w:tr>
      <w:tr>
        <w:tc>
          <w:tcPr>
            <w:tcW w:type="dxa" w:w="3685"/>
          </w:tcPr>
          <w:p>
            <w:pPr>
              <w:spacing w:after="0"/>
            </w:pPr>
            <w:r/>
            <w:r>
              <w:rPr>
                <w:sz w:val="16"/>
              </w:rPr>
              <w:t>Categorías RAM 5×5 / risk target</w:t>
            </w:r>
          </w:p>
        </w:tc>
        <w:tc>
          <w:tcPr>
            <w:tcW w:type="dxa" w:w="2438"/>
          </w:tcPr>
          <w:p>
            <w:pPr>
              <w:spacing w:after="0"/>
            </w:pPr>
            <w:r/>
            <w:r>
              <w:rPr>
                <w:sz w:val="16"/>
              </w:rPr>
              <w:t>API RP 581</w:t>
            </w:r>
          </w:p>
        </w:tc>
        <w:tc>
          <w:tcPr>
            <w:tcW w:type="dxa" w:w="4706"/>
          </w:tcPr>
          <w:p>
            <w:pPr>
              <w:spacing w:after="0"/>
            </w:pPr>
            <w:r/>
            <w:r>
              <w:rPr>
                <w:sz w:val="16"/>
              </w:rPr>
              <w:t>Rangos: PENDIENTE de validación</w:t>
            </w:r>
          </w:p>
        </w:tc>
      </w:tr>
      <w:tr>
        <w:tc>
          <w:tcPr>
            <w:tcW w:type="dxa" w:w="3685"/>
          </w:tcPr>
          <w:p>
            <w:pPr>
              <w:spacing w:after="0"/>
            </w:pPr>
            <w:r/>
            <w:r>
              <w:rPr>
                <w:sz w:val="16"/>
              </w:rPr>
              <w:t>Adenda(s) 2018–2020 sobre CA</w:t>
            </w:r>
          </w:p>
        </w:tc>
        <w:tc>
          <w:tcPr>
            <w:tcW w:type="dxa" w:w="2438"/>
          </w:tcPr>
          <w:p>
            <w:pPr>
              <w:spacing w:after="0"/>
            </w:pPr>
            <w:r/>
            <w:r>
              <w:rPr>
                <w:sz w:val="16"/>
              </w:rPr>
              <w:t>API RP 581</w:t>
            </w:r>
          </w:p>
        </w:tc>
        <w:tc>
          <w:tcPr>
            <w:tcW w:type="dxa" w:w="4706"/>
          </w:tcPr>
          <w:p>
            <w:pPr>
              <w:spacing w:after="0"/>
            </w:pPr>
            <w:r/>
            <w:r>
              <w:rPr>
                <w:sz w:val="16"/>
              </w:rPr>
              <w:t>PENDIENTE</w:t>
            </w:r>
          </w:p>
        </w:tc>
      </w:tr>
      <w:tr>
        <w:tc>
          <w:tcPr>
            <w:tcW w:type="dxa" w:w="3685"/>
          </w:tcPr>
          <w:p>
            <w:pPr>
              <w:spacing w:after="0"/>
            </w:pPr>
            <w:r/>
            <w:r>
              <w:rPr>
                <w:sz w:val="16"/>
              </w:rPr>
              <w:t>Claves de un programa RBI; 'shall' vs 'should'; continuum</w:t>
            </w:r>
          </w:p>
        </w:tc>
        <w:tc>
          <w:tcPr>
            <w:tcW w:type="dxa" w:w="2438"/>
          </w:tcPr>
          <w:p>
            <w:pPr>
              <w:spacing w:after="0"/>
            </w:pPr>
            <w:r/>
            <w:r>
              <w:rPr>
                <w:sz w:val="16"/>
              </w:rPr>
              <w:t>API RP 580</w:t>
            </w:r>
          </w:p>
        </w:tc>
        <w:tc>
          <w:tcPr>
            <w:tcW w:type="dxa" w:w="4706"/>
          </w:tcPr>
          <w:p>
            <w:pPr>
              <w:spacing w:after="0"/>
            </w:pPr>
            <w:r/>
            <w:r>
              <w:rPr>
                <w:sz w:val="16"/>
              </w:rPr>
              <w:t>Conocimiento: PENDIENTE de validación</w:t>
            </w:r>
          </w:p>
        </w:tc>
      </w:tr>
      <w:tr>
        <w:tc>
          <w:tcPr>
            <w:tcW w:type="dxa" w:w="3685"/>
          </w:tcPr>
          <w:p>
            <w:pPr>
              <w:spacing w:after="0"/>
            </w:pPr>
            <w:r/>
            <w:r>
              <w:rPr>
                <w:sz w:val="16"/>
              </w:rPr>
              <w:t>FFS Niveles 1–3</w:t>
            </w:r>
          </w:p>
        </w:tc>
        <w:tc>
          <w:tcPr>
            <w:tcW w:type="dxa" w:w="2438"/>
          </w:tcPr>
          <w:p>
            <w:pPr>
              <w:spacing w:after="0"/>
            </w:pPr>
            <w:r/>
            <w:r>
              <w:rPr>
                <w:sz w:val="16"/>
              </w:rPr>
              <w:t>API 579-1/ASME FFS-1</w:t>
            </w:r>
          </w:p>
        </w:tc>
        <w:tc>
          <w:tcPr>
            <w:tcW w:type="dxa" w:w="4706"/>
          </w:tcPr>
          <w:p>
            <w:pPr>
              <w:spacing w:after="0"/>
            </w:pPr>
            <w:r/>
            <w:r>
              <w:rPr>
                <w:sz w:val="16"/>
              </w:rPr>
              <w:t>Conocimiento: PENDIENTE de validación</w:t>
            </w:r>
          </w:p>
        </w:tc>
      </w:tr>
      <w:tr>
        <w:tc>
          <w:tcPr>
            <w:tcW w:type="dxa" w:w="3685"/>
          </w:tcPr>
          <w:p>
            <w:pPr>
              <w:spacing w:after="0"/>
            </w:pPr>
            <w:r/>
            <w:r>
              <w:rPr>
                <w:sz w:val="16"/>
              </w:rPr>
              <w:t>Reparación temporal/permanente</w:t>
            </w:r>
          </w:p>
        </w:tc>
        <w:tc>
          <w:tcPr>
            <w:tcW w:type="dxa" w:w="2438"/>
          </w:tcPr>
          <w:p>
            <w:pPr>
              <w:spacing w:after="0"/>
            </w:pPr>
            <w:r/>
            <w:r>
              <w:rPr>
                <w:sz w:val="16"/>
              </w:rPr>
              <w:t>ASME PCC-2 (NO PCC-3)</w:t>
            </w:r>
          </w:p>
        </w:tc>
        <w:tc>
          <w:tcPr>
            <w:tcW w:type="dxa" w:w="4706"/>
          </w:tcPr>
          <w:p>
            <w:pPr>
              <w:spacing w:after="0"/>
            </w:pPr>
            <w:r/>
            <w:r>
              <w:rPr>
                <w:sz w:val="16"/>
              </w:rPr>
              <w:t>Corrección al enunciado · PENDIENTE de validación</w:t>
            </w:r>
          </w:p>
        </w:tc>
      </w:tr>
      <w:tr>
        <w:tc>
          <w:tcPr>
            <w:tcW w:type="dxa" w:w="3685"/>
          </w:tcPr>
          <w:p>
            <w:pPr>
              <w:spacing w:after="0"/>
            </w:pPr>
            <w:r/>
            <w:r>
              <w:rPr>
                <w:sz w:val="16"/>
              </w:rPr>
              <w:t>Mecanismos de daño</w:t>
            </w:r>
          </w:p>
        </w:tc>
        <w:tc>
          <w:tcPr>
            <w:tcW w:type="dxa" w:w="2438"/>
          </w:tcPr>
          <w:p>
            <w:pPr>
              <w:spacing w:after="0"/>
            </w:pPr>
            <w:r/>
            <w:r>
              <w:rPr>
                <w:sz w:val="16"/>
              </w:rPr>
              <w:t>API RP 571</w:t>
            </w:r>
          </w:p>
        </w:tc>
        <w:tc>
          <w:tcPr>
            <w:tcW w:type="dxa" w:w="4706"/>
          </w:tcPr>
          <w:p>
            <w:pPr>
              <w:spacing w:after="0"/>
            </w:pPr>
            <w:r/>
            <w:r>
              <w:rPr>
                <w:sz w:val="16"/>
              </w:rPr>
              <w:t>Conocimiento: PENDIENTE de validación</w:t>
            </w:r>
          </w:p>
        </w:tc>
      </w:tr>
      <w:tr>
        <w:tc>
          <w:tcPr>
            <w:tcW w:type="dxa" w:w="3685"/>
          </w:tcPr>
          <w:p>
            <w:pPr>
              <w:spacing w:after="0"/>
            </w:pPr>
            <w:r/>
            <w:r>
              <w:rPr>
                <w:sz w:val="16"/>
              </w:rPr>
              <w:t>Datos de falla/downtime</w:t>
            </w:r>
          </w:p>
        </w:tc>
        <w:tc>
          <w:tcPr>
            <w:tcW w:type="dxa" w:w="2438"/>
          </w:tcPr>
          <w:p>
            <w:pPr>
              <w:spacing w:after="0"/>
            </w:pPr>
            <w:r/>
            <w:r>
              <w:rPr>
                <w:sz w:val="16"/>
              </w:rPr>
              <w:t>ISO 14224</w:t>
            </w:r>
          </w:p>
        </w:tc>
        <w:tc>
          <w:tcPr>
            <w:tcW w:type="dxa" w:w="4706"/>
          </w:tcPr>
          <w:p>
            <w:pPr>
              <w:spacing w:after="0"/>
            </w:pPr>
            <w:r/>
            <w:r>
              <w:rPr>
                <w:sz w:val="16"/>
              </w:rPr>
              <w:t>Conocimiento: PENDIENTE de validación</w:t>
            </w:r>
          </w:p>
        </w:tc>
      </w:tr>
      <w:tr>
        <w:tc>
          <w:tcPr>
            <w:tcW w:type="dxa" w:w="3685"/>
          </w:tcPr>
          <w:p>
            <w:pPr>
              <w:spacing w:after="0"/>
            </w:pPr>
            <w:r/>
            <w:r>
              <w:rPr>
                <w:sz w:val="16"/>
              </w:rPr>
              <w:t>Costo de ciclo de vida</w:t>
            </w:r>
          </w:p>
        </w:tc>
        <w:tc>
          <w:tcPr>
            <w:tcW w:type="dxa" w:w="2438"/>
          </w:tcPr>
          <w:p>
            <w:pPr>
              <w:spacing w:after="0"/>
            </w:pPr>
            <w:r/>
            <w:r>
              <w:rPr>
                <w:sz w:val="16"/>
              </w:rPr>
              <w:t>ISO 15663 (Partes 1–3)</w:t>
            </w:r>
          </w:p>
        </w:tc>
        <w:tc>
          <w:tcPr>
            <w:tcW w:type="dxa" w:w="4706"/>
          </w:tcPr>
          <w:p>
            <w:pPr>
              <w:spacing w:after="0"/>
            </w:pPr>
            <w:r/>
            <w:r>
              <w:rPr>
                <w:sz w:val="16"/>
              </w:rPr>
              <w:t>Conocimiento: PENDIENTE de validación</w:t>
            </w:r>
          </w:p>
        </w:tc>
      </w:tr>
      <w:tr>
        <w:tc>
          <w:tcPr>
            <w:tcW w:type="dxa" w:w="3685"/>
          </w:tcPr>
          <w:p>
            <w:pPr>
              <w:spacing w:after="0"/>
            </w:pPr>
            <w:r/>
            <w:r>
              <w:rPr>
                <w:sz w:val="16"/>
              </w:rPr>
              <w:t>Alineación financiera–técnica</w:t>
            </w:r>
          </w:p>
        </w:tc>
        <w:tc>
          <w:tcPr>
            <w:tcW w:type="dxa" w:w="2438"/>
          </w:tcPr>
          <w:p>
            <w:pPr>
              <w:spacing w:after="0"/>
            </w:pPr>
            <w:r/>
            <w:r>
              <w:rPr>
                <w:sz w:val="16"/>
              </w:rPr>
              <w:t>ISO/TS 55010</w:t>
            </w:r>
          </w:p>
        </w:tc>
        <w:tc>
          <w:tcPr>
            <w:tcW w:type="dxa" w:w="4706"/>
          </w:tcPr>
          <w:p>
            <w:pPr>
              <w:spacing w:after="0"/>
            </w:pPr>
            <w:r/>
            <w:r>
              <w:rPr>
                <w:sz w:val="16"/>
              </w:rPr>
              <w:t>Conocimiento: PENDIENTE de validación</w:t>
            </w:r>
          </w:p>
        </w:tc>
      </w:tr>
    </w:tbl>
    <w:p>
      <w:pPr>
        <w:spacing w:after="20"/>
      </w:pPr>
    </w:p>
    <w:p>
      <w:r>
        <w:rPr>
          <w:b w:val="0"/>
          <w:i/>
        </w:rPr>
        <w:t>Trazabilidad: cada fila de Calculo_EMV (Excel) lleva Dato → Ecuación → Fuente → Resultado → Impacto económico y estado (Dato paper · Supuesto · Estimación · Chequeo propio · PENDIENTE).</w:t>
      </w:r>
    </w:p>
    <w:sectPr w:rsidR="00FC693F" w:rsidRPr="0006063C" w:rsidSect="00034616">
      <w:pgSz w:w="12240" w:h="15840"/>
      <w:pgMar w:top="794" w:right="964" w:bottom="737"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before="0"/>
    </w:pPr>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