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</w:pPr>
      <w:r>
        <w:rPr>
          <w:rFonts w:ascii="Aptos" w:hAnsi="Aptos"/>
          <w:b/>
          <w:color w:val="007F86"/>
          <w:sz w:val="16"/>
        </w:rPr>
        <w:t>PHD RESEARCH / EXPERIMENT REPORT</w:t>
      </w:r>
    </w:p>
    <w:p>
      <w:pPr>
        <w:pStyle w:val="Title"/>
      </w:pPr>
      <w:r>
        <w:rPr>
          <w:b/>
        </w:rPr>
        <w:t>RAVEN</w:t>
      </w:r>
    </w:p>
    <w:p>
      <w:pPr>
        <w:spacing w:after="120"/>
      </w:pPr>
      <w:r>
        <w:rPr>
          <w:b/>
          <w:color w:val="0B2239"/>
          <w:sz w:val="34"/>
        </w:rPr>
        <w:t>SuperMimic-Inspired Dynamics Learning</w:t>
        <w:br/>
      </w:r>
      <w:r>
        <w:rPr>
          <w:color w:val="647587"/>
          <w:sz w:val="22"/>
        </w:rPr>
        <w:t>Daily progress, experiments and research findings</w:t>
      </w:r>
    </w:p>
    <w:p>
      <w:pPr>
        <w:pStyle w:val="RAVENSmall"/>
      </w:pPr>
      <w:r>
        <w:t>Research session: 25–26 October 2026  |  NVIDIA Isaac Sim / Isaac Lab  |  Unitree G1 + physical tripod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5"/>
        <w:gridCol w:w="3125"/>
        <w:gridCol w:w="3125"/>
      </w:tblGrid>
      <w:tr>
        <w:tc>
          <w:tcPr>
            <w:tcW w:type="dxa" w:w="3125"/>
            <w:tcMar>
              <w:top w:w="125" w:type="dxa"/>
              <w:start w:w="135" w:type="dxa"/>
              <w:bottom w:w="115" w:type="dxa"/>
              <w:end w:w="135" w:type="dxa"/>
            </w:tcMar>
            <w:shd w:fill="F4F7FA"/>
          </w:tcPr>
          <w:p>
            <w:pPr>
              <w:spacing w:after="0"/>
            </w:pPr>
            <w:r>
              <w:rPr>
                <w:b/>
                <w:color w:val="007F86"/>
                <w:sz w:val="34"/>
              </w:rPr>
              <w:t>2 × 7,501</w:t>
            </w:r>
          </w:p>
          <w:p>
            <w:pPr>
              <w:spacing w:after="0"/>
            </w:pPr>
            <w:r>
              <w:rPr>
                <w:color w:val="647587"/>
                <w:sz w:val="16"/>
              </w:rPr>
              <w:t>120 Hz state–action recordings</w:t>
            </w:r>
          </w:p>
        </w:tc>
        <w:tc>
          <w:tcPr>
            <w:tcW w:type="dxa" w:w="3125"/>
            <w:tcMar>
              <w:top w:w="125" w:type="dxa"/>
              <w:start w:w="135" w:type="dxa"/>
              <w:bottom w:w="115" w:type="dxa"/>
              <w:end w:w="135" w:type="dxa"/>
            </w:tcMar>
            <w:shd w:fill="E9F5F5"/>
          </w:tcPr>
          <w:p>
            <w:pPr>
              <w:spacing w:after="0"/>
            </w:pPr>
            <w:r>
              <w:rPr>
                <w:b/>
                <w:color w:val="007F86"/>
                <w:sz w:val="34"/>
              </w:rPr>
              <w:t>100%</w:t>
            </w:r>
          </w:p>
          <w:p>
            <w:pPr>
              <w:spacing w:after="0"/>
            </w:pPr>
            <w:r>
              <w:rPr>
                <w:color w:val="647587"/>
                <w:sz w:val="16"/>
              </w:rPr>
              <w:t>RGB-D actor detection, both runs</w:t>
            </w:r>
          </w:p>
        </w:tc>
        <w:tc>
          <w:tcPr>
            <w:tcW w:type="dxa" w:w="3125"/>
            <w:tcMar>
              <w:top w:w="125" w:type="dxa"/>
              <w:start w:w="135" w:type="dxa"/>
              <w:bottom w:w="115" w:type="dxa"/>
              <w:end w:w="135" w:type="dxa"/>
            </w:tcMar>
            <w:shd w:fill="F4F7FA"/>
          </w:tcPr>
          <w:p>
            <w:pPr>
              <w:spacing w:after="0"/>
            </w:pPr>
            <w:r>
              <w:rPr>
                <w:b/>
                <w:color w:val="007F86"/>
                <w:sz w:val="34"/>
              </w:rPr>
              <w:t>66.7 ms</w:t>
            </w:r>
          </w:p>
          <w:p>
            <w:pPr>
              <w:spacing w:after="0"/>
            </w:pPr>
            <w:r>
              <w:rPr>
                <w:color w:val="647587"/>
                <w:sz w:val="16"/>
              </w:rPr>
              <w:t>Eight-step predictive horizon</w:t>
            </w:r>
          </w:p>
        </w:tc>
      </w:tr>
    </w:tbl>
    <w:p>
      <w:pPr>
        <w:spacing w:after="0"/>
      </w:pPr>
    </w:p>
    <w:p>
      <w:pPr>
        <w:pStyle w:val="Heading1"/>
      </w:pPr>
      <w:r>
        <w:t>Executive summary</w:t>
      </w:r>
    </w:p>
    <w:p>
      <w:r>
        <w:t>The session established a reproducible data-to-model workflow for the RAVEN humanoid robotic cinematography system: validated camera tracking, full-rate G1/tripod telemetry capture, offline differentiable dynamics-model training, and evaluation on a separate actor trajectory. The working perception, assisted-grasp and tracking baseline was preserved.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75"/>
      </w:tblGrid>
      <w:tr>
        <w:tc>
          <w:tcPr>
            <w:tcW w:type="dxa" w:w="9375"/>
            <w:shd w:fill="E9F5F5"/>
            <w:tcMar>
              <w:top w:w="170" w:type="dxa"/>
              <w:start w:w="190" w:type="dxa"/>
              <w:bottom w:w="165" w:type="dxa"/>
              <w:end w:w="190" w:type="dxa"/>
            </w:tcMar>
          </w:tcPr>
          <w:p>
            <w:pPr>
              <w:spacing w:after="100"/>
            </w:pPr>
            <w:r>
              <w:rPr>
                <w:b/>
                <w:color w:val="0B2239"/>
                <w:sz w:val="20"/>
              </w:rPr>
              <w:t>NEW RESEARCH FINDING</w:t>
            </w:r>
          </w:p>
          <w:p>
            <w:pPr>
              <w:spacing w:after="0" w:line="269" w:lineRule="auto"/>
            </w:pPr>
            <w:r>
              <w:rPr>
                <w:sz w:val="18"/>
              </w:rPr>
              <w:t>On the independently recorded trajectory, the learned world model reduced 66.7 ms pan-prediction error relative to assuming no motion (0.1933° versus 0.2433° MAE), but was less accurate than constant-velocity extrapolation (0.1677° MAE). This is evidence of useful learned motion prediction, not yet of superiority over a simple physics-informed baseline.</w:t>
            </w:r>
          </w:p>
        </w:tc>
      </w:tr>
    </w:tbl>
    <w:p>
      <w:pPr>
        <w:spacing w:after="0"/>
      </w:pP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21677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key_find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7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AVENCaption"/>
      </w:pPr>
      <w:r>
        <w:t>Figure 1. Independent trajectory: eight-step pan prediction MAE. The constant-velocity method is the strongest of the three tested predictors.</w:t>
      </w:r>
    </w:p>
    <w:p>
      <w:r>
        <w:rPr>
          <w:b/>
        </w:rPr>
        <w:t xml:space="preserve">Research significance. </w:t>
      </w:r>
      <w:r>
        <w:rPr>
          <w:b w:val="0"/>
        </w:rPr>
        <w:t>The result motivates a residual dynamics model that learns deviations from constant-velocity motion, rather than modelling full pan dynamics from scratch. No reinforcement-learning policy has been trained or deployed.</w:t>
      </w:r>
    </w:p>
    <w:p>
      <w:r>
        <w:br w:type="page"/>
      </w:r>
    </w:p>
    <w:p>
      <w:pPr>
        <w:pStyle w:val="Heading1"/>
      </w:pPr>
      <w:r>
        <w:t>1  Work completed during the session</w:t>
      </w:r>
    </w:p>
    <w:p>
      <w:pPr>
        <w:spacing w:before="120" w:after="40"/>
      </w:pPr>
      <w:r>
        <w:rPr>
          <w:rFonts w:ascii="Aptos" w:hAnsi="Aptos"/>
          <w:b/>
          <w:color w:val="007F86"/>
          <w:sz w:val="16"/>
        </w:rPr>
        <w:t>IMPLEMENTATION AND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272"/>
      </w:tblGrid>
      <w:tr>
        <w:tc>
          <w:tcPr>
            <w:tcW w:type="dxa" w:w="4687"/>
            <w:shd w:fill="0B2239"/>
            <w:tcMar>
              <w:top w:w="90" w:type="dxa"/>
              <w:start w:w="115" w:type="dxa"/>
              <w:bottom w:w="85" w:type="dxa"/>
              <w:end w:w="11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type="dxa" w:w="4687"/>
            <w:shd w:fill="0B2239"/>
            <w:tcMar>
              <w:top w:w="90" w:type="dxa"/>
              <w:start w:w="115" w:type="dxa"/>
              <w:bottom w:w="85" w:type="dxa"/>
              <w:end w:w="11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Delivered / observed</w:t>
            </w:r>
          </w:p>
        </w:tc>
      </w:tr>
      <w:tr>
        <w:tc>
          <w:tcPr>
            <w:tcW w:type="dxa" w:w="2088"/>
            <w:tcMar>
              <w:top w:w="90" w:type="dxa"/>
              <w:start w:w="115" w:type="dxa"/>
              <w:bottom w:w="85" w:type="dxa"/>
              <w:end w:w="115" w:type="dxa"/>
            </w:tcMar>
            <w:shd w:fill="F4F7FA"/>
          </w:tcPr>
          <w:p>
            <w:pPr>
              <w:spacing w:after="0"/>
            </w:pPr>
            <w:r>
              <w:rPr>
                <w:b/>
                <w:sz w:val="16"/>
              </w:rPr>
              <w:t>Repository and environment</w:t>
            </w:r>
          </w:p>
        </w:tc>
        <w:tc>
          <w:tcPr>
            <w:tcW w:type="dxa" w:w="7272"/>
            <w:tcMar>
              <w:top w:w="90" w:type="dxa"/>
              <w:start w:w="115" w:type="dxa"/>
              <w:bottom w:w="85" w:type="dxa"/>
              <w:end w:w="115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GitHub main at 1e2ea38; working feature branch feature/supermimic-integration; PyTorch 2.7.0+cu128 and CUDA available on RTX 4060 Laptop GPU.</w:t>
            </w:r>
          </w:p>
        </w:tc>
      </w:tr>
      <w:tr>
        <w:tc>
          <w:tcPr>
            <w:tcW w:type="dxa" w:w="2088"/>
            <w:tcMar>
              <w:top w:w="90" w:type="dxa"/>
              <w:start w:w="115" w:type="dxa"/>
              <w:bottom w:w="85" w:type="dxa"/>
              <w:end w:w="115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Full-rate capture</w:t>
            </w:r>
          </w:p>
        </w:tc>
        <w:tc>
          <w:tcPr>
            <w:tcW w:type="dxa" w:w="7272"/>
            <w:tcMar>
              <w:top w:w="90" w:type="dxa"/>
              <w:start w:w="115" w:type="dxa"/>
              <w:bottom w:w="85" w:type="dxa"/>
              <w:end w:w="115" w:type="dxa"/>
            </w:tcMar>
          </w:tcPr>
          <w:p>
            <w:pPr>
              <w:spacing w:after="0"/>
            </w:pPr>
            <w:r>
              <w:rPr>
                <w:sz w:val="16"/>
              </w:rPr>
              <w:t>New raven_g1_rl_data_capture.py records 51 G1 joints, joint targets, measured velocities, tripod pan/tilt and RGB-D observation metadata at 120 Hz.</w:t>
            </w:r>
          </w:p>
        </w:tc>
      </w:tr>
      <w:tr>
        <w:tc>
          <w:tcPr>
            <w:tcW w:type="dxa" w:w="2088"/>
            <w:tcMar>
              <w:top w:w="90" w:type="dxa"/>
              <w:start w:w="115" w:type="dxa"/>
              <w:bottom w:w="85" w:type="dxa"/>
              <w:end w:w="115" w:type="dxa"/>
            </w:tcMar>
            <w:shd w:fill="F4F7FA"/>
          </w:tcPr>
          <w:p>
            <w:pPr>
              <w:spacing w:after="0"/>
            </w:pPr>
            <w:r>
              <w:rPr>
                <w:b/>
                <w:sz w:val="16"/>
              </w:rPr>
              <w:t>First recording</w:t>
            </w:r>
          </w:p>
        </w:tc>
        <w:tc>
          <w:tcPr>
            <w:tcW w:type="dxa" w:w="7272"/>
            <w:tcMar>
              <w:top w:w="90" w:type="dxa"/>
              <w:start w:w="115" w:type="dxa"/>
              <w:bottom w:w="85" w:type="dxa"/>
              <w:end w:w="115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7,501 state–action samples, 351/351 successful actor detections, original tracking run complete.</w:t>
            </w:r>
          </w:p>
        </w:tc>
      </w:tr>
      <w:tr>
        <w:tc>
          <w:tcPr>
            <w:tcW w:type="dxa" w:w="2088"/>
            <w:tcMar>
              <w:top w:w="90" w:type="dxa"/>
              <w:start w:w="115" w:type="dxa"/>
              <w:bottom w:w="85" w:type="dxa"/>
              <w:end w:w="115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World-model V1</w:t>
            </w:r>
          </w:p>
        </w:tc>
        <w:tc>
          <w:tcPr>
            <w:tcW w:type="dxa" w:w="7272"/>
            <w:tcMar>
              <w:top w:w="90" w:type="dxa"/>
              <w:start w:w="115" w:type="dxa"/>
              <w:bottom w:w="85" w:type="dxa"/>
              <w:end w:w="115" w:type="dxa"/>
            </w:tcMar>
          </w:tcPr>
          <w:p>
            <w:pPr>
              <w:spacing w:after="0"/>
            </w:pPr>
            <w:r>
              <w:rPr>
                <w:sz w:val="16"/>
              </w:rPr>
              <w:t>PyTorch residual MLP; eight-step differentiable rollout; 60 training epochs; checkpoint and metrics exported.</w:t>
            </w:r>
          </w:p>
        </w:tc>
      </w:tr>
      <w:tr>
        <w:tc>
          <w:tcPr>
            <w:tcW w:type="dxa" w:w="2088"/>
            <w:tcMar>
              <w:top w:w="90" w:type="dxa"/>
              <w:start w:w="115" w:type="dxa"/>
              <w:bottom w:w="85" w:type="dxa"/>
              <w:end w:w="115" w:type="dxa"/>
            </w:tcMar>
            <w:shd w:fill="F4F7FA"/>
          </w:tcPr>
          <w:p>
            <w:pPr>
              <w:spacing w:after="0"/>
            </w:pPr>
            <w:r>
              <w:rPr>
                <w:b/>
                <w:sz w:val="16"/>
              </w:rPr>
              <w:t>Independent recording</w:t>
            </w:r>
          </w:p>
        </w:tc>
        <w:tc>
          <w:tcPr>
            <w:tcW w:type="dxa" w:w="7272"/>
            <w:tcMar>
              <w:top w:w="90" w:type="dxa"/>
              <w:start w:w="115" w:type="dxa"/>
              <w:bottom w:w="85" w:type="dxa"/>
              <w:end w:w="115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Second 7,501-sample capture on a different actor motion trajectory, with complete camera tracking.</w:t>
            </w:r>
          </w:p>
        </w:tc>
      </w:tr>
      <w:tr>
        <w:tc>
          <w:tcPr>
            <w:tcW w:type="dxa" w:w="2088"/>
            <w:tcMar>
              <w:top w:w="90" w:type="dxa"/>
              <w:start w:w="115" w:type="dxa"/>
              <w:bottom w:w="85" w:type="dxa"/>
              <w:end w:w="115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Out-of-sample evaluation</w:t>
            </w:r>
          </w:p>
        </w:tc>
        <w:tc>
          <w:tcPr>
            <w:tcW w:type="dxa" w:w="7272"/>
            <w:tcMar>
              <w:top w:w="90" w:type="dxa"/>
              <w:start w:w="115" w:type="dxa"/>
              <w:bottom w:w="85" w:type="dxa"/>
              <w:end w:w="115" w:type="dxa"/>
            </w:tcMar>
          </w:tcPr>
          <w:p>
            <w:pPr>
              <w:spacing w:after="0"/>
            </w:pPr>
            <w:r>
              <w:rPr>
                <w:sz w:val="16"/>
              </w:rPr>
              <w:t>Frozen model tested on 1,049 overlapping eight-step windows; compared against stationary and constant-velocity baselines.</w:t>
            </w:r>
          </w:p>
        </w:tc>
      </w:tr>
    </w:tbl>
    <w:p>
      <w:pPr>
        <w:pStyle w:val="Heading1"/>
      </w:pPr>
      <w:r>
        <w:t>2  Recorded experiments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3096"/>
        <w:gridCol w:w="3168"/>
      </w:tblGrid>
      <w:tr>
        <w:tc>
          <w:tcPr>
            <w:tcW w:type="dxa" w:w="3125"/>
            <w:shd w:fill="0B2239"/>
            <w:tcMar>
              <w:top w:w="90" w:type="dxa"/>
              <w:start w:w="115" w:type="dxa"/>
              <w:bottom w:w="85" w:type="dxa"/>
              <w:end w:w="11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Capture characteristic</w:t>
            </w:r>
          </w:p>
        </w:tc>
        <w:tc>
          <w:tcPr>
            <w:tcW w:type="dxa" w:w="3125"/>
            <w:shd w:fill="0B2239"/>
            <w:tcMar>
              <w:top w:w="90" w:type="dxa"/>
              <w:start w:w="115" w:type="dxa"/>
              <w:bottom w:w="85" w:type="dxa"/>
              <w:end w:w="11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Recording A · training</w:t>
            </w:r>
          </w:p>
        </w:tc>
        <w:tc>
          <w:tcPr>
            <w:tcW w:type="dxa" w:w="3125"/>
            <w:shd w:fill="0B2239"/>
            <w:tcMar>
              <w:top w:w="90" w:type="dxa"/>
              <w:start w:w="115" w:type="dxa"/>
              <w:bottom w:w="85" w:type="dxa"/>
              <w:end w:w="11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Recording B · independent</w:t>
            </w:r>
          </w:p>
        </w:tc>
      </w:tr>
      <w:tr>
        <w:tc>
          <w:tcPr>
            <w:tcW w:type="dxa" w:w="3096"/>
            <w:tcMar>
              <w:top w:w="90" w:type="dxa"/>
              <w:start w:w="115" w:type="dxa"/>
              <w:bottom w:w="85" w:type="dxa"/>
              <w:end w:w="115" w:type="dxa"/>
            </w:tcMar>
            <w:shd w:fill="F4F7FA"/>
          </w:tcPr>
          <w:p>
            <w:pPr>
              <w:spacing w:after="0"/>
            </w:pPr>
            <w:r>
              <w:rPr>
                <w:b/>
                <w:sz w:val="16"/>
              </w:rPr>
              <w:t>Run identifier</w:t>
            </w:r>
          </w:p>
        </w:tc>
        <w:tc>
          <w:tcPr>
            <w:tcW w:type="dxa" w:w="3096"/>
            <w:tcMar>
              <w:top w:w="90" w:type="dxa"/>
              <w:start w:w="115" w:type="dxa"/>
              <w:bottom w:w="85" w:type="dxa"/>
              <w:end w:w="115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20261025_230816_212515</w:t>
            </w:r>
          </w:p>
        </w:tc>
        <w:tc>
          <w:tcPr>
            <w:tcW w:type="dxa" w:w="3168"/>
            <w:tcMar>
              <w:top w:w="90" w:type="dxa"/>
              <w:start w:w="115" w:type="dxa"/>
              <w:bottom w:w="85" w:type="dxa"/>
              <w:end w:w="115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20261026_004925_836186</w:t>
            </w:r>
          </w:p>
        </w:tc>
      </w:tr>
      <w:tr>
        <w:tc>
          <w:tcPr>
            <w:tcW w:type="dxa" w:w="3096"/>
            <w:tcMar>
              <w:top w:w="90" w:type="dxa"/>
              <w:start w:w="115" w:type="dxa"/>
              <w:bottom w:w="85" w:type="dxa"/>
              <w:end w:w="115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Physics samples</w:t>
            </w:r>
          </w:p>
        </w:tc>
        <w:tc>
          <w:tcPr>
            <w:tcW w:type="dxa" w:w="3096"/>
            <w:tcMar>
              <w:top w:w="90" w:type="dxa"/>
              <w:start w:w="115" w:type="dxa"/>
              <w:bottom w:w="85" w:type="dxa"/>
              <w:end w:w="115" w:type="dxa"/>
            </w:tcMar>
          </w:tcPr>
          <w:p>
            <w:pPr>
              <w:spacing w:after="0"/>
            </w:pPr>
            <w:r>
              <w:rPr>
                <w:sz w:val="16"/>
              </w:rPr>
              <w:t>7,501</w:t>
            </w:r>
          </w:p>
        </w:tc>
        <w:tc>
          <w:tcPr>
            <w:tcW w:type="dxa" w:w="3168"/>
            <w:tcMar>
              <w:top w:w="90" w:type="dxa"/>
              <w:start w:w="115" w:type="dxa"/>
              <w:bottom w:w="85" w:type="dxa"/>
              <w:end w:w="115" w:type="dxa"/>
            </w:tcMar>
          </w:tcPr>
          <w:p>
            <w:pPr>
              <w:spacing w:after="0"/>
            </w:pPr>
            <w:r>
              <w:rPr>
                <w:sz w:val="16"/>
              </w:rPr>
              <w:t>7,501</w:t>
            </w:r>
          </w:p>
        </w:tc>
      </w:tr>
      <w:tr>
        <w:tc>
          <w:tcPr>
            <w:tcW w:type="dxa" w:w="3096"/>
            <w:tcMar>
              <w:top w:w="90" w:type="dxa"/>
              <w:start w:w="115" w:type="dxa"/>
              <w:bottom w:w="85" w:type="dxa"/>
              <w:end w:w="115" w:type="dxa"/>
            </w:tcMar>
            <w:shd w:fill="F4F7FA"/>
          </w:tcPr>
          <w:p>
            <w:pPr>
              <w:spacing w:after="0"/>
            </w:pPr>
            <w:r>
              <w:rPr>
                <w:b/>
                <w:sz w:val="16"/>
              </w:rPr>
              <w:t>Physics rate</w:t>
            </w:r>
          </w:p>
        </w:tc>
        <w:tc>
          <w:tcPr>
            <w:tcW w:type="dxa" w:w="3096"/>
            <w:tcMar>
              <w:top w:w="90" w:type="dxa"/>
              <w:start w:w="115" w:type="dxa"/>
              <w:bottom w:w="85" w:type="dxa"/>
              <w:end w:w="115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120 Hz</w:t>
            </w:r>
          </w:p>
        </w:tc>
        <w:tc>
          <w:tcPr>
            <w:tcW w:type="dxa" w:w="3168"/>
            <w:tcMar>
              <w:top w:w="90" w:type="dxa"/>
              <w:start w:w="115" w:type="dxa"/>
              <w:bottom w:w="85" w:type="dxa"/>
              <w:end w:w="115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120 Hz</w:t>
            </w:r>
          </w:p>
        </w:tc>
      </w:tr>
      <w:tr>
        <w:tc>
          <w:tcPr>
            <w:tcW w:type="dxa" w:w="3096"/>
            <w:tcMar>
              <w:top w:w="90" w:type="dxa"/>
              <w:start w:w="115" w:type="dxa"/>
              <w:bottom w:w="85" w:type="dxa"/>
              <w:end w:w="115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RGB-D detections</w:t>
            </w:r>
          </w:p>
        </w:tc>
        <w:tc>
          <w:tcPr>
            <w:tcW w:type="dxa" w:w="3096"/>
            <w:tcMar>
              <w:top w:w="90" w:type="dxa"/>
              <w:start w:w="115" w:type="dxa"/>
              <w:bottom w:w="85" w:type="dxa"/>
              <w:end w:w="115" w:type="dxa"/>
            </w:tcMar>
          </w:tcPr>
          <w:p>
            <w:pPr>
              <w:spacing w:after="0"/>
            </w:pPr>
            <w:r>
              <w:rPr>
                <w:sz w:val="16"/>
              </w:rPr>
              <w:t>351 / 351</w:t>
            </w:r>
          </w:p>
        </w:tc>
        <w:tc>
          <w:tcPr>
            <w:tcW w:type="dxa" w:w="3168"/>
            <w:tcMar>
              <w:top w:w="90" w:type="dxa"/>
              <w:start w:w="115" w:type="dxa"/>
              <w:bottom w:w="85" w:type="dxa"/>
              <w:end w:w="115" w:type="dxa"/>
            </w:tcMar>
          </w:tcPr>
          <w:p>
            <w:pPr>
              <w:spacing w:after="0"/>
            </w:pPr>
            <w:r>
              <w:rPr>
                <w:sz w:val="16"/>
              </w:rPr>
              <w:t>351 / 351</w:t>
            </w:r>
          </w:p>
        </w:tc>
      </w:tr>
      <w:tr>
        <w:tc>
          <w:tcPr>
            <w:tcW w:type="dxa" w:w="3096"/>
            <w:tcMar>
              <w:top w:w="90" w:type="dxa"/>
              <w:start w:w="115" w:type="dxa"/>
              <w:bottom w:w="85" w:type="dxa"/>
              <w:end w:w="115" w:type="dxa"/>
            </w:tcMar>
            <w:shd w:fill="F4F7FA"/>
          </w:tcPr>
          <w:p>
            <w:pPr>
              <w:spacing w:after="0"/>
            </w:pPr>
            <w:r>
              <w:rPr>
                <w:b/>
                <w:sz w:val="16"/>
              </w:rPr>
              <w:t>Actor motion amplitude</w:t>
            </w:r>
          </w:p>
        </w:tc>
        <w:tc>
          <w:tcPr>
            <w:tcW w:type="dxa" w:w="3096"/>
            <w:tcMar>
              <w:top w:w="90" w:type="dxa"/>
              <w:start w:w="115" w:type="dxa"/>
              <w:bottom w:w="85" w:type="dxa"/>
              <w:end w:w="115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±0.40 m</w:t>
            </w:r>
          </w:p>
        </w:tc>
        <w:tc>
          <w:tcPr>
            <w:tcW w:type="dxa" w:w="3168"/>
            <w:tcMar>
              <w:top w:w="90" w:type="dxa"/>
              <w:start w:w="115" w:type="dxa"/>
              <w:bottom w:w="85" w:type="dxa"/>
              <w:end w:w="115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±0.30 m</w:t>
            </w:r>
          </w:p>
        </w:tc>
      </w:tr>
      <w:tr>
        <w:tc>
          <w:tcPr>
            <w:tcW w:type="dxa" w:w="3096"/>
            <w:tcMar>
              <w:top w:w="90" w:type="dxa"/>
              <w:start w:w="115" w:type="dxa"/>
              <w:bottom w:w="85" w:type="dxa"/>
              <w:end w:w="115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Actor motion period</w:t>
            </w:r>
          </w:p>
        </w:tc>
        <w:tc>
          <w:tcPr>
            <w:tcW w:type="dxa" w:w="3096"/>
            <w:tcMar>
              <w:top w:w="90" w:type="dxa"/>
              <w:start w:w="115" w:type="dxa"/>
              <w:bottom w:w="85" w:type="dxa"/>
              <w:end w:w="115" w:type="dxa"/>
            </w:tcMar>
          </w:tcPr>
          <w:p>
            <w:pPr>
              <w:spacing w:after="0"/>
            </w:pPr>
            <w:r>
              <w:rPr>
                <w:sz w:val="16"/>
              </w:rPr>
              <w:t>11 s</w:t>
            </w:r>
          </w:p>
        </w:tc>
        <w:tc>
          <w:tcPr>
            <w:tcW w:type="dxa" w:w="3168"/>
            <w:tcMar>
              <w:top w:w="90" w:type="dxa"/>
              <w:start w:w="115" w:type="dxa"/>
              <w:bottom w:w="85" w:type="dxa"/>
              <w:end w:w="115" w:type="dxa"/>
            </w:tcMar>
          </w:tcPr>
          <w:p>
            <w:pPr>
              <w:spacing w:after="0"/>
            </w:pPr>
            <w:r>
              <w:rPr>
                <w:sz w:val="16"/>
              </w:rPr>
              <w:t>7 s</w:t>
            </w:r>
          </w:p>
        </w:tc>
      </w:tr>
      <w:tr>
        <w:tc>
          <w:tcPr>
            <w:tcW w:type="dxa" w:w="3096"/>
            <w:tcMar>
              <w:top w:w="90" w:type="dxa"/>
              <w:start w:w="115" w:type="dxa"/>
              <w:bottom w:w="85" w:type="dxa"/>
              <w:end w:w="115" w:type="dxa"/>
            </w:tcMar>
            <w:shd w:fill="F4F7FA"/>
          </w:tcPr>
          <w:p>
            <w:pPr>
              <w:spacing w:after="0"/>
            </w:pPr>
            <w:r>
              <w:rPr>
                <w:b/>
                <w:sz w:val="16"/>
              </w:rPr>
              <w:t>Physical pan range</w:t>
            </w:r>
          </w:p>
        </w:tc>
        <w:tc>
          <w:tcPr>
            <w:tcW w:type="dxa" w:w="3096"/>
            <w:tcMar>
              <w:top w:w="90" w:type="dxa"/>
              <w:start w:w="115" w:type="dxa"/>
              <w:bottom w:w="85" w:type="dxa"/>
              <w:end w:w="115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−8.69° to +9.25°</w:t>
            </w:r>
          </w:p>
        </w:tc>
        <w:tc>
          <w:tcPr>
            <w:tcW w:type="dxa" w:w="3168"/>
            <w:tcMar>
              <w:top w:w="90" w:type="dxa"/>
              <w:start w:w="115" w:type="dxa"/>
              <w:bottom w:w="85" w:type="dxa"/>
              <w:end w:w="115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−6.56° to +6.80°</w:t>
            </w:r>
          </w:p>
        </w:tc>
      </w:tr>
      <w:tr>
        <w:tc>
          <w:tcPr>
            <w:tcW w:type="dxa" w:w="3096"/>
            <w:tcMar>
              <w:top w:w="90" w:type="dxa"/>
              <w:start w:w="115" w:type="dxa"/>
              <w:bottom w:w="85" w:type="dxa"/>
              <w:end w:w="115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Tracking summary MAE</w:t>
            </w:r>
          </w:p>
        </w:tc>
        <w:tc>
          <w:tcPr>
            <w:tcW w:type="dxa" w:w="3096"/>
            <w:tcMar>
              <w:top w:w="90" w:type="dxa"/>
              <w:start w:w="115" w:type="dxa"/>
              <w:bottom w:w="85" w:type="dxa"/>
              <w:end w:w="115" w:type="dxa"/>
            </w:tcMar>
          </w:tcPr>
          <w:p>
            <w:pPr>
              <w:spacing w:after="0"/>
            </w:pPr>
            <w:r>
              <w:rPr>
                <w:sz w:val="16"/>
              </w:rPr>
              <w:t>0.349°</w:t>
            </w:r>
          </w:p>
        </w:tc>
        <w:tc>
          <w:tcPr>
            <w:tcW w:type="dxa" w:w="3168"/>
            <w:tcMar>
              <w:top w:w="90" w:type="dxa"/>
              <w:start w:w="115" w:type="dxa"/>
              <w:bottom w:w="85" w:type="dxa"/>
              <w:end w:w="115" w:type="dxa"/>
            </w:tcMar>
          </w:tcPr>
          <w:p>
            <w:pPr>
              <w:spacing w:after="0"/>
            </w:pPr>
            <w:r>
              <w:rPr>
                <w:sz w:val="16"/>
              </w:rPr>
              <w:t>0.410°</w:t>
            </w:r>
          </w:p>
        </w:tc>
      </w:tr>
    </w:tbl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25426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ctor_trajectori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42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AVENCaption"/>
      </w:pPr>
      <w:r>
        <w:t>Figure 2. Ground-truth actor lateral motion (used here only for experiment characterisation, not as controller input). The independent run is faster and has smaller displacement.</w:t>
      </w:r>
    </w:p>
    <w:p>
      <w:r>
        <w:br w:type="page"/>
      </w:r>
    </w:p>
    <w:p>
      <w:pPr>
        <w:pStyle w:val="Heading1"/>
      </w:pPr>
      <w:r>
        <w:t>3  Differentiable world-model V1</w:t>
      </w:r>
    </w:p>
    <w:p>
      <w:r>
        <w:t>A SuperMimic-inspired offline model was trained in PyTorch from state transitions recorded with Isaac Sim at 120 Hz. The architecture is a residual multilayer perceptron: it predicts a normalised next-state correction conditioned on the current state and the commanded joint-position targets. Its predictions are recursively unrolled for eight physics steps.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6840"/>
      </w:tblGrid>
      <w:tr>
        <w:tc>
          <w:tcPr>
            <w:tcW w:type="dxa" w:w="4687"/>
            <w:shd w:fill="0B2239"/>
            <w:tcMar>
              <w:top w:w="90" w:type="dxa"/>
              <w:start w:w="115" w:type="dxa"/>
              <w:bottom w:w="85" w:type="dxa"/>
              <w:end w:w="11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4687"/>
            <w:shd w:fill="0B2239"/>
            <w:tcMar>
              <w:top w:w="90" w:type="dxa"/>
              <w:start w:w="115" w:type="dxa"/>
              <w:bottom w:w="85" w:type="dxa"/>
              <w:end w:w="11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Configuration</w:t>
            </w:r>
          </w:p>
        </w:tc>
      </w:tr>
      <w:tr>
        <w:tc>
          <w:tcPr>
            <w:tcW w:type="dxa" w:w="2520"/>
            <w:tcMar>
              <w:top w:w="90" w:type="dxa"/>
              <w:start w:w="115" w:type="dxa"/>
              <w:bottom w:w="85" w:type="dxa"/>
              <w:end w:w="115" w:type="dxa"/>
            </w:tcMar>
            <w:shd w:fill="F4F7FA"/>
          </w:tcPr>
          <w:p>
            <w:pPr>
              <w:spacing w:after="0"/>
            </w:pPr>
            <w:r>
              <w:rPr>
                <w:b/>
                <w:sz w:val="16"/>
              </w:rPr>
              <w:t>State (20 values)</w:t>
            </w:r>
          </w:p>
        </w:tc>
        <w:tc>
          <w:tcPr>
            <w:tcW w:type="dxa" w:w="6840"/>
            <w:tcMar>
              <w:top w:w="90" w:type="dxa"/>
              <w:start w:w="115" w:type="dxa"/>
              <w:bottom w:w="85" w:type="dxa"/>
              <w:end w:w="115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8 selected G1 joint positions, 8 joint velocities, tripod pan/tilt positions and velocities.</w:t>
            </w:r>
          </w:p>
        </w:tc>
      </w:tr>
      <w:tr>
        <w:tc>
          <w:tcPr>
            <w:tcW w:type="dxa" w:w="2520"/>
            <w:tcMar>
              <w:top w:w="90" w:type="dxa"/>
              <w:start w:w="115" w:type="dxa"/>
              <w:bottom w:w="85" w:type="dxa"/>
              <w:end w:w="115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Action (8 values)</w:t>
            </w:r>
          </w:p>
        </w:tc>
        <w:tc>
          <w:tcPr>
            <w:tcW w:type="dxa" w:w="6840"/>
            <w:tcMar>
              <w:top w:w="90" w:type="dxa"/>
              <w:start w:w="115" w:type="dxa"/>
              <w:bottom w:w="85" w:type="dxa"/>
              <w:end w:w="115" w:type="dxa"/>
            </w:tcMar>
          </w:tcPr>
          <w:p>
            <w:pPr>
              <w:spacing w:after="0"/>
            </w:pPr>
            <w:r>
              <w:rPr>
                <w:sz w:val="16"/>
              </w:rPr>
              <w:t>Position targets for waist yaw and 7 left-arm joints; not direct torque commands.</w:t>
            </w:r>
          </w:p>
        </w:tc>
      </w:tr>
      <w:tr>
        <w:tc>
          <w:tcPr>
            <w:tcW w:type="dxa" w:w="2520"/>
            <w:tcMar>
              <w:top w:w="90" w:type="dxa"/>
              <w:start w:w="115" w:type="dxa"/>
              <w:bottom w:w="85" w:type="dxa"/>
              <w:end w:w="115" w:type="dxa"/>
            </w:tcMar>
            <w:shd w:fill="F4F7FA"/>
          </w:tcPr>
          <w:p>
            <w:pPr>
              <w:spacing w:after="0"/>
            </w:pPr>
            <w:r>
              <w:rPr>
                <w:b/>
                <w:sz w:val="16"/>
              </w:rPr>
              <w:t>Model</w:t>
            </w:r>
          </w:p>
        </w:tc>
        <w:tc>
          <w:tcPr>
            <w:tcW w:type="dxa" w:w="6840"/>
            <w:tcMar>
              <w:top w:w="90" w:type="dxa"/>
              <w:start w:w="115" w:type="dxa"/>
              <w:bottom w:w="85" w:type="dxa"/>
              <w:end w:w="115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Residual MLP, 2 hidden layers of 128 units, SiLU activation.</w:t>
            </w:r>
          </w:p>
        </w:tc>
      </w:tr>
      <w:tr>
        <w:tc>
          <w:tcPr>
            <w:tcW w:type="dxa" w:w="2520"/>
            <w:tcMar>
              <w:top w:w="90" w:type="dxa"/>
              <w:start w:w="115" w:type="dxa"/>
              <w:bottom w:w="85" w:type="dxa"/>
              <w:end w:w="115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Training</w:t>
            </w:r>
          </w:p>
        </w:tc>
        <w:tc>
          <w:tcPr>
            <w:tcW w:type="dxa" w:w="6840"/>
            <w:tcMar>
              <w:top w:w="90" w:type="dxa"/>
              <w:start w:w="115" w:type="dxa"/>
              <w:bottom w:w="85" w:type="dxa"/>
              <w:end w:w="115" w:type="dxa"/>
            </w:tcMar>
          </w:tcPr>
          <w:p>
            <w:pPr>
              <w:spacing w:after="0"/>
            </w:pPr>
            <w:r>
              <w:rPr>
                <w:sz w:val="16"/>
              </w:rPr>
              <w:t>Adam; 60 epochs; 8-step rollouts; 120 Hz samples; CUDA on RTX 4060.</w:t>
            </w:r>
          </w:p>
        </w:tc>
      </w:tr>
      <w:tr>
        <w:tc>
          <w:tcPr>
            <w:tcW w:type="dxa" w:w="2520"/>
            <w:tcMar>
              <w:top w:w="90" w:type="dxa"/>
              <w:start w:w="115" w:type="dxa"/>
              <w:bottom w:w="85" w:type="dxa"/>
              <w:end w:w="115" w:type="dxa"/>
            </w:tcMar>
            <w:shd w:fill="F4F7FA"/>
          </w:tcPr>
          <w:p>
            <w:pPr>
              <w:spacing w:after="0"/>
            </w:pPr>
            <w:r>
              <w:rPr>
                <w:b/>
                <w:sz w:val="16"/>
              </w:rPr>
              <w:t>Single-run split</w:t>
            </w:r>
          </w:p>
        </w:tc>
        <w:tc>
          <w:tcPr>
            <w:tcW w:type="dxa" w:w="6840"/>
            <w:tcMar>
              <w:top w:w="90" w:type="dxa"/>
              <w:start w:w="115" w:type="dxa"/>
              <w:bottom w:w="85" w:type="dxa"/>
              <w:end w:w="115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Chronological 70% train / 15% validation / 15% test, with rollout windows confined to each partition.</w:t>
            </w:r>
          </w:p>
        </w:tc>
      </w:tr>
      <w:tr>
        <w:tc>
          <w:tcPr>
            <w:tcW w:type="dxa" w:w="2520"/>
            <w:tcMar>
              <w:top w:w="90" w:type="dxa"/>
              <w:start w:w="115" w:type="dxa"/>
              <w:bottom w:w="85" w:type="dxa"/>
              <w:end w:w="115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Original test windows</w:t>
            </w:r>
          </w:p>
        </w:tc>
        <w:tc>
          <w:tcPr>
            <w:tcW w:type="dxa" w:w="6840"/>
            <w:tcMar>
              <w:top w:w="90" w:type="dxa"/>
              <w:start w:w="115" w:type="dxa"/>
              <w:bottom w:w="85" w:type="dxa"/>
              <w:end w:w="115" w:type="dxa"/>
            </w:tcMar>
          </w:tcPr>
          <w:p>
            <w:pPr>
              <w:spacing w:after="0"/>
            </w:pPr>
            <w:r>
              <w:rPr>
                <w:sz w:val="16"/>
              </w:rPr>
              <w:t>734 training / 156 validation / 156 test.</w:t>
            </w:r>
          </w:p>
        </w:tc>
      </w:tr>
    </w:tbl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27507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rain_curv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50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AVENCaption"/>
      </w:pPr>
      <w:r>
        <w:t>Figure 3. Logged training and validation normalised rollout MSE (selected epochs). Validation improves from ~0.472 at epoch 1 to ~0.158 at epoch 60.</w:t>
      </w:r>
    </w:p>
    <w:p>
      <w:pPr>
        <w:pStyle w:val="Heading2"/>
      </w:pPr>
      <w:r>
        <w:t>Initial within-trajectory evaluation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5"/>
        <w:gridCol w:w="3125"/>
        <w:gridCol w:w="3125"/>
      </w:tblGrid>
      <w:tr>
        <w:tc>
          <w:tcPr>
            <w:tcW w:type="dxa" w:w="3125"/>
            <w:tcMar>
              <w:top w:w="125" w:type="dxa"/>
              <w:start w:w="135" w:type="dxa"/>
              <w:bottom w:w="115" w:type="dxa"/>
              <w:end w:w="135" w:type="dxa"/>
            </w:tcMar>
            <w:shd w:fill="F4F7FA"/>
          </w:tcPr>
          <w:p>
            <w:pPr>
              <w:spacing w:after="0"/>
            </w:pPr>
            <w:r>
              <w:rPr>
                <w:b/>
                <w:color w:val="007F86"/>
                <w:sz w:val="34"/>
              </w:rPr>
              <w:t>0.1521°</w:t>
            </w:r>
          </w:p>
          <w:p>
            <w:pPr>
              <w:spacing w:after="0"/>
            </w:pPr>
            <w:r>
              <w:rPr>
                <w:color w:val="647587"/>
                <w:sz w:val="16"/>
              </w:rPr>
              <w:t>World-model 8-step pan MAE</w:t>
            </w:r>
          </w:p>
        </w:tc>
        <w:tc>
          <w:tcPr>
            <w:tcW w:type="dxa" w:w="3125"/>
            <w:tcMar>
              <w:top w:w="125" w:type="dxa"/>
              <w:start w:w="135" w:type="dxa"/>
              <w:bottom w:w="115" w:type="dxa"/>
              <w:end w:w="135" w:type="dxa"/>
            </w:tcMar>
            <w:shd w:fill="E9F5F5"/>
          </w:tcPr>
          <w:p>
            <w:pPr>
              <w:spacing w:after="0"/>
            </w:pPr>
            <w:r>
              <w:rPr>
                <w:b/>
                <w:color w:val="007F86"/>
                <w:sz w:val="34"/>
              </w:rPr>
              <w:t>0.2063°</w:t>
            </w:r>
          </w:p>
          <w:p>
            <w:pPr>
              <w:spacing w:after="0"/>
            </w:pPr>
            <w:r>
              <w:rPr>
                <w:color w:val="647587"/>
                <w:sz w:val="16"/>
              </w:rPr>
              <w:t>Stationary baseline MAE</w:t>
            </w:r>
          </w:p>
        </w:tc>
        <w:tc>
          <w:tcPr>
            <w:tcW w:type="dxa" w:w="3125"/>
            <w:tcMar>
              <w:top w:w="125" w:type="dxa"/>
              <w:start w:w="135" w:type="dxa"/>
              <w:bottom w:w="115" w:type="dxa"/>
              <w:end w:w="135" w:type="dxa"/>
            </w:tcMar>
            <w:shd w:fill="F4F7FA"/>
          </w:tcPr>
          <w:p>
            <w:pPr>
              <w:spacing w:after="0"/>
            </w:pPr>
            <w:r>
              <w:rPr>
                <w:b/>
                <w:color w:val="007F86"/>
                <w:sz w:val="34"/>
              </w:rPr>
              <w:t>26.3%</w:t>
            </w:r>
          </w:p>
          <w:p>
            <w:pPr>
              <w:spacing w:after="0"/>
            </w:pPr>
            <w:r>
              <w:rPr>
                <w:color w:val="647587"/>
                <w:sz w:val="16"/>
              </w:rPr>
              <w:t>Relative MAE reduction</w:t>
            </w:r>
          </w:p>
        </w:tc>
      </w:tr>
    </w:tbl>
    <w:p>
      <w:pPr>
        <w:spacing w:after="0"/>
      </w:pPr>
    </w:p>
    <w:p>
      <w:pPr>
        <w:pStyle w:val="RAVENSmall"/>
      </w:pPr>
      <w:r>
        <w:t>The initial result is promising but limited: the test windows were held out chronologically from the same simulated trajectory, which does not demonstrate generalisation to new operating conditions. This motivated the subsequent fully separate trajectory evaluation.</w:t>
      </w:r>
    </w:p>
    <w:p>
      <w:r>
        <w:br w:type="page"/>
      </w:r>
    </w:p>
    <w:p>
      <w:pPr>
        <w:pStyle w:val="Heading1"/>
      </w:pPr>
      <w:r>
        <w:t>4  Independent trajectory generalisation</w:t>
      </w:r>
    </w:p>
    <w:p>
      <w:r>
        <w:t>The trained checkpoint was frozen and evaluated on the second recording. The actor movement differed in both amplitude (±0.30 m) and period (7 s) from the first run. No model weights were updated using this second dataset.</w:t>
      </w:r>
    </w:p>
    <w:p>
      <w:pPr>
        <w:spacing w:before="120" w:after="40"/>
      </w:pPr>
      <w:r>
        <w:rPr>
          <w:rFonts w:ascii="Aptos" w:hAnsi="Aptos"/>
          <w:b/>
          <w:color w:val="007F86"/>
          <w:sz w:val="16"/>
        </w:rPr>
        <w:t>STEP-8 PREDICTION: 66.7 MILLISECONDS AHEAD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1814"/>
        <w:gridCol w:w="1814"/>
        <w:gridCol w:w="2059"/>
      </w:tblGrid>
      <w:tr>
        <w:tc>
          <w:tcPr>
            <w:tcW w:type="dxa" w:w="2344"/>
            <w:shd w:fill="0B2239"/>
            <w:tcMar>
              <w:top w:w="90" w:type="dxa"/>
              <w:start w:w="115" w:type="dxa"/>
              <w:bottom w:w="85" w:type="dxa"/>
              <w:end w:w="11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344"/>
            <w:shd w:fill="0B2239"/>
            <w:tcMar>
              <w:top w:w="90" w:type="dxa"/>
              <w:start w:w="115" w:type="dxa"/>
              <w:bottom w:w="85" w:type="dxa"/>
              <w:end w:w="11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Pan MAE</w:t>
            </w:r>
          </w:p>
        </w:tc>
        <w:tc>
          <w:tcPr>
            <w:tcW w:type="dxa" w:w="2344"/>
            <w:shd w:fill="0B2239"/>
            <w:tcMar>
              <w:top w:w="90" w:type="dxa"/>
              <w:start w:w="115" w:type="dxa"/>
              <w:bottom w:w="85" w:type="dxa"/>
              <w:end w:w="11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Pan P95</w:t>
            </w:r>
          </w:p>
        </w:tc>
        <w:tc>
          <w:tcPr>
            <w:tcW w:type="dxa" w:w="2344"/>
            <w:shd w:fill="0B2239"/>
            <w:tcMar>
              <w:top w:w="90" w:type="dxa"/>
              <w:start w:w="115" w:type="dxa"/>
              <w:bottom w:w="85" w:type="dxa"/>
              <w:end w:w="11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Pan max error</w:t>
            </w:r>
          </w:p>
        </w:tc>
      </w:tr>
      <w:tr>
        <w:tc>
          <w:tcPr>
            <w:tcW w:type="dxa" w:w="3672"/>
            <w:tcMar>
              <w:top w:w="90" w:type="dxa"/>
              <w:start w:w="115" w:type="dxa"/>
              <w:bottom w:w="85" w:type="dxa"/>
              <w:end w:w="115" w:type="dxa"/>
            </w:tcMar>
            <w:shd w:fill="F4F7FA"/>
          </w:tcPr>
          <w:p>
            <w:pPr>
              <w:spacing w:after="0"/>
            </w:pPr>
            <w:r>
              <w:rPr>
                <w:b/>
                <w:sz w:val="17"/>
              </w:rPr>
              <w:t>Constant velocity</w:t>
            </w:r>
          </w:p>
        </w:tc>
        <w:tc>
          <w:tcPr>
            <w:tcW w:type="dxa" w:w="1814"/>
            <w:tcMar>
              <w:top w:w="90" w:type="dxa"/>
              <w:start w:w="115" w:type="dxa"/>
              <w:bottom w:w="85" w:type="dxa"/>
              <w:end w:w="115" w:type="dxa"/>
            </w:tcMar>
            <w:shd w:fill="F4F7FA"/>
          </w:tcPr>
          <w:p>
            <w:pPr>
              <w:spacing w:after="0"/>
            </w:pPr>
            <w:r>
              <w:rPr>
                <w:sz w:val="17"/>
              </w:rPr>
              <w:t>0.1677°</w:t>
            </w:r>
          </w:p>
        </w:tc>
        <w:tc>
          <w:tcPr>
            <w:tcW w:type="dxa" w:w="1814"/>
            <w:tcMar>
              <w:top w:w="90" w:type="dxa"/>
              <w:start w:w="115" w:type="dxa"/>
              <w:bottom w:w="85" w:type="dxa"/>
              <w:end w:w="115" w:type="dxa"/>
            </w:tcMar>
            <w:shd w:fill="F4F7FA"/>
          </w:tcPr>
          <w:p>
            <w:pPr>
              <w:spacing w:after="0"/>
            </w:pPr>
            <w:r>
              <w:rPr>
                <w:sz w:val="17"/>
              </w:rPr>
              <w:t>0.3387°</w:t>
            </w:r>
          </w:p>
        </w:tc>
        <w:tc>
          <w:tcPr>
            <w:tcW w:type="dxa" w:w="2059"/>
            <w:tcMar>
              <w:top w:w="90" w:type="dxa"/>
              <w:start w:w="115" w:type="dxa"/>
              <w:bottom w:w="85" w:type="dxa"/>
              <w:end w:w="115" w:type="dxa"/>
            </w:tcMar>
            <w:shd w:fill="F4F7FA"/>
          </w:tcPr>
          <w:p>
            <w:pPr>
              <w:spacing w:after="0"/>
            </w:pPr>
            <w:r>
              <w:rPr>
                <w:sz w:val="17"/>
              </w:rPr>
              <w:t>0.4945°</w:t>
            </w:r>
          </w:p>
        </w:tc>
      </w:tr>
      <w:tr>
        <w:tc>
          <w:tcPr>
            <w:tcW w:type="dxa" w:w="3672"/>
            <w:tcMar>
              <w:top w:w="90" w:type="dxa"/>
              <w:start w:w="115" w:type="dxa"/>
              <w:bottom w:w="85" w:type="dxa"/>
              <w:end w:w="115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Learned model</w:t>
            </w:r>
          </w:p>
        </w:tc>
        <w:tc>
          <w:tcPr>
            <w:tcW w:type="dxa" w:w="1814"/>
            <w:tcMar>
              <w:top w:w="90" w:type="dxa"/>
              <w:start w:w="115" w:type="dxa"/>
              <w:bottom w:w="85" w:type="dxa"/>
              <w:end w:w="115" w:type="dxa"/>
            </w:tcMar>
          </w:tcPr>
          <w:p>
            <w:pPr>
              <w:spacing w:after="0"/>
            </w:pPr>
            <w:r>
              <w:rPr>
                <w:sz w:val="17"/>
              </w:rPr>
              <w:t>0.1933°</w:t>
            </w:r>
          </w:p>
        </w:tc>
        <w:tc>
          <w:tcPr>
            <w:tcW w:type="dxa" w:w="1814"/>
            <w:tcMar>
              <w:top w:w="90" w:type="dxa"/>
              <w:start w:w="115" w:type="dxa"/>
              <w:bottom w:w="85" w:type="dxa"/>
              <w:end w:w="115" w:type="dxa"/>
            </w:tcMar>
          </w:tcPr>
          <w:p>
            <w:pPr>
              <w:spacing w:after="0"/>
            </w:pPr>
            <w:r>
              <w:rPr>
                <w:sz w:val="17"/>
              </w:rPr>
              <w:t>0.4810°</w:t>
            </w:r>
          </w:p>
        </w:tc>
        <w:tc>
          <w:tcPr>
            <w:tcW w:type="dxa" w:w="2059"/>
            <w:tcMar>
              <w:top w:w="90" w:type="dxa"/>
              <w:start w:w="115" w:type="dxa"/>
              <w:bottom w:w="85" w:type="dxa"/>
              <w:end w:w="115" w:type="dxa"/>
            </w:tcMar>
          </w:tcPr>
          <w:p>
            <w:pPr>
              <w:spacing w:after="0"/>
            </w:pPr>
            <w:r>
              <w:rPr>
                <w:sz w:val="17"/>
              </w:rPr>
              <w:t>1.1399°</w:t>
            </w:r>
          </w:p>
        </w:tc>
      </w:tr>
      <w:tr>
        <w:tc>
          <w:tcPr>
            <w:tcW w:type="dxa" w:w="3672"/>
            <w:tcMar>
              <w:top w:w="90" w:type="dxa"/>
              <w:start w:w="115" w:type="dxa"/>
              <w:bottom w:w="85" w:type="dxa"/>
              <w:end w:w="115" w:type="dxa"/>
            </w:tcMar>
            <w:shd w:fill="F4F7FA"/>
          </w:tcPr>
          <w:p>
            <w:pPr>
              <w:spacing w:after="0"/>
            </w:pPr>
            <w:r>
              <w:rPr>
                <w:b/>
                <w:sz w:val="17"/>
              </w:rPr>
              <w:t>Stationary (persistence)</w:t>
            </w:r>
          </w:p>
        </w:tc>
        <w:tc>
          <w:tcPr>
            <w:tcW w:type="dxa" w:w="1814"/>
            <w:tcMar>
              <w:top w:w="90" w:type="dxa"/>
              <w:start w:w="115" w:type="dxa"/>
              <w:bottom w:w="85" w:type="dxa"/>
              <w:end w:w="115" w:type="dxa"/>
            </w:tcMar>
            <w:shd w:fill="F4F7FA"/>
          </w:tcPr>
          <w:p>
            <w:pPr>
              <w:spacing w:after="0"/>
            </w:pPr>
            <w:r>
              <w:rPr>
                <w:sz w:val="17"/>
              </w:rPr>
              <w:t>0.2433°</w:t>
            </w:r>
          </w:p>
        </w:tc>
        <w:tc>
          <w:tcPr>
            <w:tcW w:type="dxa" w:w="1814"/>
            <w:tcMar>
              <w:top w:w="90" w:type="dxa"/>
              <w:start w:w="115" w:type="dxa"/>
              <w:bottom w:w="85" w:type="dxa"/>
              <w:end w:w="115" w:type="dxa"/>
            </w:tcMar>
            <w:shd w:fill="F4F7FA"/>
          </w:tcPr>
          <w:p>
            <w:pPr>
              <w:spacing w:after="0"/>
            </w:pPr>
            <w:r>
              <w:rPr>
                <w:sz w:val="17"/>
              </w:rPr>
              <w:t>0.4258°</w:t>
            </w:r>
          </w:p>
        </w:tc>
        <w:tc>
          <w:tcPr>
            <w:tcW w:type="dxa" w:w="2059"/>
            <w:tcMar>
              <w:top w:w="90" w:type="dxa"/>
              <w:start w:w="115" w:type="dxa"/>
              <w:bottom w:w="85" w:type="dxa"/>
              <w:end w:w="115" w:type="dxa"/>
            </w:tcMar>
            <w:shd w:fill="F4F7FA"/>
          </w:tcPr>
          <w:p>
            <w:pPr>
              <w:spacing w:after="0"/>
            </w:pPr>
            <w:r>
              <w:rPr>
                <w:sz w:val="17"/>
              </w:rPr>
              <w:t>0.4874°</w:t>
            </w:r>
          </w:p>
        </w:tc>
      </w:tr>
    </w:tbl>
    <w:p>
      <w:r>
        <w:t>For pan, the learned model is 20.55% better than stationary persistence, but its MAE is 15.26% higher than constant velocity. The learned model also has the largest observed tail error: 1.1399° maximum versus 0.4945° for constant velocity.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191193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ail_ris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911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AVENCaption"/>
      </w:pPr>
      <w:r>
        <w:t>Figure 4. Independent pan-error P95. The learned predictor has poorer tail accuracy than both baselines despite improving mean error over persistence.</w:t>
      </w:r>
    </w:p>
    <w:p>
      <w:pPr>
        <w:pStyle w:val="Heading2"/>
      </w:pPr>
      <w:r>
        <w:t>Tilt predictions and capture integrity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2088"/>
        <w:gridCol w:w="2088"/>
        <w:gridCol w:w="2088"/>
      </w:tblGrid>
      <w:tr>
        <w:tc>
          <w:tcPr>
            <w:tcW w:type="dxa" w:w="2344"/>
            <w:shd w:fill="0B2239"/>
            <w:tcMar>
              <w:top w:w="90" w:type="dxa"/>
              <w:start w:w="115" w:type="dxa"/>
              <w:bottom w:w="85" w:type="dxa"/>
              <w:end w:w="11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Tilt: step-8 MAE</w:t>
            </w:r>
          </w:p>
        </w:tc>
        <w:tc>
          <w:tcPr>
            <w:tcW w:type="dxa" w:w="2344"/>
            <w:shd w:fill="0B2239"/>
            <w:tcMar>
              <w:top w:w="90" w:type="dxa"/>
              <w:start w:w="115" w:type="dxa"/>
              <w:bottom w:w="85" w:type="dxa"/>
              <w:end w:w="11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Learned model</w:t>
            </w:r>
          </w:p>
        </w:tc>
        <w:tc>
          <w:tcPr>
            <w:tcW w:type="dxa" w:w="2344"/>
            <w:shd w:fill="0B2239"/>
            <w:tcMar>
              <w:top w:w="90" w:type="dxa"/>
              <w:start w:w="115" w:type="dxa"/>
              <w:bottom w:w="85" w:type="dxa"/>
              <w:end w:w="11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Stationary</w:t>
            </w:r>
          </w:p>
        </w:tc>
        <w:tc>
          <w:tcPr>
            <w:tcW w:type="dxa" w:w="2344"/>
            <w:shd w:fill="0B2239"/>
            <w:tcMar>
              <w:top w:w="90" w:type="dxa"/>
              <w:start w:w="115" w:type="dxa"/>
              <w:bottom w:w="85" w:type="dxa"/>
              <w:end w:w="11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Constant velocity</w:t>
            </w:r>
          </w:p>
        </w:tc>
      </w:tr>
      <w:tr>
        <w:tc>
          <w:tcPr>
            <w:tcW w:type="dxa" w:w="3096"/>
            <w:tcMar>
              <w:top w:w="90" w:type="dxa"/>
              <w:start w:w="115" w:type="dxa"/>
              <w:bottom w:w="85" w:type="dxa"/>
              <w:end w:w="115" w:type="dxa"/>
            </w:tcMar>
            <w:shd w:fill="F4F7FA"/>
          </w:tcPr>
          <w:p>
            <w:pPr>
              <w:spacing w:after="0"/>
            </w:pPr>
            <w:r>
              <w:rPr>
                <w:b/>
                <w:sz w:val="17"/>
              </w:rPr>
              <w:t>Degrees</w:t>
            </w:r>
          </w:p>
        </w:tc>
        <w:tc>
          <w:tcPr>
            <w:tcW w:type="dxa" w:w="2088"/>
            <w:tcMar>
              <w:top w:w="90" w:type="dxa"/>
              <w:start w:w="115" w:type="dxa"/>
              <w:bottom w:w="85" w:type="dxa"/>
              <w:end w:w="115" w:type="dxa"/>
            </w:tcMar>
            <w:shd w:fill="F4F7FA"/>
          </w:tcPr>
          <w:p>
            <w:pPr>
              <w:spacing w:after="0"/>
            </w:pPr>
            <w:r>
              <w:rPr>
                <w:sz w:val="17"/>
              </w:rPr>
              <w:t>0.0225°</w:t>
            </w:r>
          </w:p>
        </w:tc>
        <w:tc>
          <w:tcPr>
            <w:tcW w:type="dxa" w:w="2088"/>
            <w:tcMar>
              <w:top w:w="90" w:type="dxa"/>
              <w:start w:w="115" w:type="dxa"/>
              <w:bottom w:w="85" w:type="dxa"/>
              <w:end w:w="115" w:type="dxa"/>
            </w:tcMar>
            <w:shd w:fill="F4F7FA"/>
          </w:tcPr>
          <w:p>
            <w:pPr>
              <w:spacing w:after="0"/>
            </w:pPr>
            <w:r>
              <w:rPr>
                <w:sz w:val="17"/>
              </w:rPr>
              <w:t>0.0241°</w:t>
            </w:r>
          </w:p>
        </w:tc>
        <w:tc>
          <w:tcPr>
            <w:tcW w:type="dxa" w:w="2088"/>
            <w:tcMar>
              <w:top w:w="90" w:type="dxa"/>
              <w:start w:w="115" w:type="dxa"/>
              <w:bottom w:w="85" w:type="dxa"/>
              <w:end w:w="115" w:type="dxa"/>
            </w:tcMar>
            <w:shd w:fill="F4F7FA"/>
          </w:tcPr>
          <w:p>
            <w:pPr>
              <w:spacing w:after="0"/>
            </w:pPr>
            <w:r>
              <w:rPr>
                <w:sz w:val="17"/>
              </w:rPr>
              <w:t>0.0913°</w:t>
            </w:r>
          </w:p>
        </w:tc>
      </w:tr>
    </w:tbl>
    <w:p>
      <w:r>
        <w:t>For tilt, the learned model slightly improves on persistence and clearly beats a constant-velocity extrapolation. This indicates that pan and tilt have different predictive structure in the present constrained-tripod configuration. The independent run supplied 4,202 tracking-phase states and 1,049 overlapping evaluation windows, with no camera detection failures.</w:t>
      </w:r>
    </w:p>
    <w:p>
      <w:r>
        <w:br w:type="page"/>
      </w:r>
    </w:p>
    <w:p>
      <w:pPr>
        <w:pStyle w:val="Heading1"/>
      </w:pPr>
      <w:r>
        <w:t>5  System-level evidence and setbacks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259398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new_pan_respons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93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AVENCaption"/>
      </w:pPr>
      <w:r>
        <w:t>Figure 5. Vision-derived desired pan and physically observed tripod pan on the independent run. This graph shows the existing tracking controller, not world-model-driven control.</w:t>
      </w:r>
    </w:p>
    <w:p>
      <w:pPr>
        <w:pStyle w:val="Heading2"/>
      </w:pPr>
      <w:r>
        <w:t>Grasp ergonomics: open engineering issue</w:t>
      </w:r>
    </w:p>
    <w:p>
      <w:r>
        <w:t>A side-view inspection revealed an unnatural left-elbow configuration near its upper flexion limit. A 10 cm closer operator stance was explored, together with faster grasp and manual calibration interfaces. The original tracking setup remained the reference baseline after these experimental variants did not produce reliable alignment.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6"/>
        <w:gridCol w:w="5544"/>
      </w:tblGrid>
      <w:tr>
        <w:tc>
          <w:tcPr>
            <w:tcW w:type="dxa" w:w="4687"/>
            <w:shd w:fill="0B2239"/>
            <w:tcMar>
              <w:top w:w="90" w:type="dxa"/>
              <w:start w:w="115" w:type="dxa"/>
              <w:bottom w:w="85" w:type="dxa"/>
              <w:end w:w="11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Experimental change</w:t>
            </w:r>
          </w:p>
        </w:tc>
        <w:tc>
          <w:tcPr>
            <w:tcW w:type="dxa" w:w="4687"/>
            <w:shd w:fill="0B2239"/>
            <w:tcMar>
              <w:top w:w="90" w:type="dxa"/>
              <w:start w:w="115" w:type="dxa"/>
              <w:bottom w:w="85" w:type="dxa"/>
              <w:end w:w="11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Observed issue</w:t>
            </w:r>
          </w:p>
        </w:tc>
      </w:tr>
      <w:tr>
        <w:tc>
          <w:tcPr>
            <w:tcW w:type="dxa" w:w="3816"/>
            <w:tcMar>
              <w:top w:w="90" w:type="dxa"/>
              <w:start w:w="115" w:type="dxa"/>
              <w:bottom w:w="85" w:type="dxa"/>
              <w:end w:w="115" w:type="dxa"/>
            </w:tcMar>
            <w:shd w:fill="F4F7FA"/>
          </w:tcPr>
          <w:p>
            <w:pPr>
              <w:spacing w:after="0"/>
            </w:pPr>
            <w:r>
              <w:rPr>
                <w:b/>
                <w:sz w:val="16"/>
              </w:rPr>
              <w:t>Closer operator + downward elbow objective</w:t>
            </w:r>
          </w:p>
        </w:tc>
        <w:tc>
          <w:tcPr>
            <w:tcW w:type="dxa" w:w="5544"/>
            <w:tcMar>
              <w:top w:w="90" w:type="dxa"/>
              <w:start w:w="115" w:type="dxa"/>
              <w:bottom w:w="85" w:type="dxa"/>
              <w:end w:w="115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Pre-release pan drift reached +7.49°, beyond the ±0.75° permitted limit.</w:t>
            </w:r>
          </w:p>
        </w:tc>
      </w:tr>
      <w:tr>
        <w:tc>
          <w:tcPr>
            <w:tcW w:type="dxa" w:w="3816"/>
            <w:tcMar>
              <w:top w:w="90" w:type="dxa"/>
              <w:start w:w="115" w:type="dxa"/>
              <w:bottom w:w="85" w:type="dxa"/>
              <w:end w:w="115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Closer stance with elbow-prep disabled</w:t>
            </w:r>
          </w:p>
        </w:tc>
        <w:tc>
          <w:tcPr>
            <w:tcW w:type="dxa" w:w="5544"/>
            <w:tcMar>
              <w:top w:w="90" w:type="dxa"/>
              <w:start w:w="115" w:type="dxa"/>
              <w:bottom w:w="85" w:type="dxa"/>
              <w:end w:w="115" w:type="dxa"/>
            </w:tcMar>
          </w:tcPr>
          <w:p>
            <w:pPr>
              <w:spacing w:after="0"/>
            </w:pPr>
            <w:r>
              <w:rPr>
                <w:sz w:val="16"/>
              </w:rPr>
              <w:t>Pre-release pan drift of −1.42°; experiment stopped.</w:t>
            </w:r>
          </w:p>
        </w:tc>
      </w:tr>
      <w:tr>
        <w:tc>
          <w:tcPr>
            <w:tcW w:type="dxa" w:w="3816"/>
            <w:tcMar>
              <w:top w:w="90" w:type="dxa"/>
              <w:start w:w="115" w:type="dxa"/>
              <w:bottom w:w="85" w:type="dxa"/>
              <w:end w:w="115" w:type="dxa"/>
            </w:tcMar>
            <w:shd w:fill="F4F7FA"/>
          </w:tcPr>
          <w:p>
            <w:pPr>
              <w:spacing w:after="0"/>
            </w:pPr>
            <w:r>
              <w:rPr>
                <w:b/>
                <w:sz w:val="16"/>
              </w:rPr>
              <w:t>Closed-grip retargeting</w:t>
            </w:r>
          </w:p>
        </w:tc>
        <w:tc>
          <w:tcPr>
            <w:tcW w:type="dxa" w:w="5544"/>
            <w:tcMar>
              <w:top w:w="90" w:type="dxa"/>
              <w:start w:w="115" w:type="dxa"/>
              <w:bottom w:w="85" w:type="dxa"/>
              <w:end w:w="115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Hand-to-target position error 87.2 mm; assisted grasp correctly refused.</w:t>
            </w:r>
          </w:p>
        </w:tc>
      </w:tr>
      <w:tr>
        <w:tc>
          <w:tcPr>
            <w:tcW w:type="dxa" w:w="3816"/>
            <w:tcMar>
              <w:top w:w="90" w:type="dxa"/>
              <w:start w:w="115" w:type="dxa"/>
              <w:bottom w:w="85" w:type="dxa"/>
              <w:end w:w="115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Viewport gizmo calibration</w:t>
            </w:r>
          </w:p>
        </w:tc>
        <w:tc>
          <w:tcPr>
            <w:tcW w:type="dxa" w:w="5544"/>
            <w:tcMar>
              <w:top w:w="90" w:type="dxa"/>
              <w:start w:w="115" w:type="dxa"/>
              <w:bottom w:w="85" w:type="dxa"/>
              <w:end w:w="115" w:type="dxa"/>
            </w:tcMar>
          </w:tcPr>
          <w:p>
            <w:pPr>
              <w:spacing w:after="0"/>
            </w:pPr>
            <w:r>
              <w:rPr>
                <w:sz w:val="16"/>
              </w:rPr>
              <w:t>Isaac Sim exited; provided shutdown warnings were insufficient to isolate the root exception.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75"/>
      </w:tblGrid>
      <w:tr>
        <w:tc>
          <w:tcPr>
            <w:tcW w:type="dxa" w:w="9375"/>
            <w:shd w:fill="F4F7FA"/>
            <w:tcMar>
              <w:top w:w="170" w:type="dxa"/>
              <w:start w:w="190" w:type="dxa"/>
              <w:bottom w:w="165" w:type="dxa"/>
              <w:end w:w="190" w:type="dxa"/>
            </w:tcMar>
          </w:tcPr>
          <w:p>
            <w:pPr>
              <w:spacing w:after="100"/>
            </w:pPr>
            <w:r>
              <w:rPr>
                <w:b/>
                <w:color w:val="0B2239"/>
                <w:sz w:val="20"/>
              </w:rPr>
              <w:t>Decision for this research milestone</w:t>
            </w:r>
          </w:p>
          <w:p>
            <w:pPr>
              <w:spacing w:after="0" w:line="269" w:lineRule="auto"/>
            </w:pPr>
            <w:r>
              <w:rPr>
                <w:sz w:val="18"/>
              </w:rPr>
              <w:t>Stop further calibration experiments temporarily. Preserve the successful original G1–tripod controller and progress with offline world-model validation; return to grasp ergonomics as a separately controlled engineering workstream.</w:t>
            </w:r>
          </w:p>
        </w:tc>
      </w:tr>
    </w:tbl>
    <w:p>
      <w:pPr>
        <w:spacing w:after="0"/>
      </w:pPr>
    </w:p>
    <w:p>
      <w:pPr>
        <w:pStyle w:val="Heading2"/>
      </w:pPr>
      <w:r>
        <w:t>6  Next research milestones</w:t>
      </w:r>
    </w:p>
    <w:p>
      <w:pPr>
        <w:pStyle w:val="ListBullet"/>
        <w:spacing w:after="60"/>
      </w:pPr>
      <w:r>
        <w:t>World Model V2: predict a learned correction to constant-velocity pan and an appropriate separate tilt prior, with regularisation against excessive overshoot.</w:t>
      </w:r>
    </w:p>
    <w:p>
      <w:pPr>
        <w:pStyle w:val="ListBullet"/>
        <w:spacing w:after="60"/>
      </w:pPr>
      <w:r>
        <w:t>Training diversity: train using multiple distinct trajectories and reserve a third, unseen motion profile for genuine episode-level evaluation.</w:t>
      </w:r>
    </w:p>
    <w:p>
      <w:pPr>
        <w:pStyle w:val="ListBullet"/>
        <w:spacing w:after="60"/>
      </w:pPr>
      <w:r>
        <w:t>Latency-aware evaluation: explicitly align sensor timestamps with robot/actuator states and measure performance under delayed or intermittent RGB-D observations.</w:t>
      </w:r>
    </w:p>
    <w:p>
      <w:pPr>
        <w:pStyle w:val="ListBullet"/>
        <w:spacing w:after="60"/>
      </w:pPr>
      <w:r>
        <w:t>Only after robust generalisation: evaluate model-based action optimisation offline, then integrate a guarded predictive controller into Isaac Sim without replacing the validated baseline.</w:t>
      </w:r>
    </w:p>
    <w:p>
      <w:r>
        <w:br w:type="page"/>
      </w:r>
    </w:p>
    <w:p>
      <w:pPr>
        <w:pStyle w:val="Heading1"/>
      </w:pPr>
      <w:r>
        <w:t>7  Research interpretation and reproducibility</w:t>
      </w:r>
    </w:p>
    <w:p>
      <w:pPr>
        <w:pStyle w:val="Heading2"/>
      </w:pPr>
      <w:r>
        <w:t>Primary finding</w:t>
      </w:r>
    </w:p>
    <w:p>
      <w:r>
        <w:t>In a camera-guidance task combining humanoid joint actuation, assisted grasp and a passive physical tripod, a learned eight-step world model provides useful short-horizon pan estimates compared with a motionless-state assumption. However, a low-complexity constant-velocity model generalises more accurately to the independently recorded, faster actor motion. Therefore, architectural inductive bias and appropriate motion priors may matter more than model capacity at this stage.</w:t>
      </w:r>
    </w:p>
    <w:p>
      <w:pPr>
        <w:pStyle w:val="Heading2"/>
      </w:pPr>
      <w:r>
        <w:t>Evidence boundaries</w:t>
      </w:r>
    </w:p>
    <w:p>
      <w:pPr>
        <w:pStyle w:val="ListBullet"/>
        <w:spacing w:after="60"/>
      </w:pPr>
      <w:r>
        <w:t>One additional trajectory establishes a limited cross-trajectory test, not broad statistical generalisation or a formal controlled benchmark.</w:t>
      </w:r>
    </w:p>
    <w:p>
      <w:pPr>
        <w:pStyle w:val="ListBullet"/>
        <w:spacing w:after="60"/>
      </w:pPr>
      <w:r>
        <w:t>The 1,049 evaluation windows overlap substantially and should not be interpreted as 1,049 independent episodes.</w:t>
      </w:r>
    </w:p>
    <w:p>
      <w:pPr>
        <w:pStyle w:val="ListBullet"/>
        <w:spacing w:after="60"/>
      </w:pPr>
      <w:r>
        <w:t>The predictor receives future recorded joint-position targets for each eight-step rollout; it has not yet learned to select actions, operate under unseen action sequences, or control the robot online.</w:t>
      </w:r>
    </w:p>
    <w:p>
      <w:pPr>
        <w:pStyle w:val="ListBullet"/>
        <w:spacing w:after="60"/>
      </w:pPr>
      <w:r>
        <w:t>The pipeline implements a SuperMimic-inspired differentiable dynamics model. It is not the published SuperMimic training system, and no reinforcement-learning policy has been optimised.</w:t>
      </w:r>
    </w:p>
    <w:p>
      <w:pPr>
        <w:pStyle w:val="ListBullet"/>
        <w:spacing w:after="60"/>
      </w:pPr>
      <w:r>
        <w:t>Perception logging records observation read-time age, not validated camera exposure timestamps; latency claims require dedicated sensor-frame synchronisation experiments.</w:t>
      </w:r>
    </w:p>
    <w:p>
      <w:pPr>
        <w:pStyle w:val="Heading2"/>
      </w:pPr>
      <w:r>
        <w:t>Source artefacts used</w:t>
      </w:r>
    </w:p>
    <w:p>
      <w:pPr>
        <w:pStyle w:val="RAVENSmall"/>
      </w:pPr>
      <w:r>
        <w:t>Primary experimental files (repository-relative paths):</w:t>
      </w:r>
    </w:p>
    <w:p>
      <w:pPr>
        <w:spacing w:after="60"/>
      </w:pPr>
      <w:r>
        <w:rPr>
          <w:b/>
          <w:sz w:val="16"/>
        </w:rPr>
        <w:t>scripts/raven_g1_rl_data_capture.py</w:t>
      </w:r>
      <w:r>
        <w:rPr>
          <w:sz w:val="16"/>
        </w:rPr>
        <w:t xml:space="preserve">  —  120 Hz robot/tripod state–action recorder.</w:t>
      </w:r>
    </w:p>
    <w:p>
      <w:pPr>
        <w:spacing w:after="60"/>
      </w:pPr>
      <w:r>
        <w:rPr>
          <w:b/>
          <w:sz w:val="16"/>
        </w:rPr>
        <w:t>scripts/raven_supermimic_120hz_world_model.py</w:t>
      </w:r>
      <w:r>
        <w:rPr>
          <w:sz w:val="16"/>
        </w:rPr>
        <w:t xml:space="preserve">  —  Offline residual world-model training implementation.</w:t>
      </w:r>
    </w:p>
    <w:p>
      <w:pPr>
        <w:spacing w:after="60"/>
      </w:pPr>
      <w:r>
        <w:rPr>
          <w:b/>
          <w:sz w:val="16"/>
        </w:rPr>
        <w:t>scripts/raven_supermimic_independent_eval.py</w:t>
      </w:r>
      <w:r>
        <w:rPr>
          <w:sz w:val="16"/>
        </w:rPr>
        <w:t xml:space="preserve">  —  Frozen-checkpoint independent generalisation evaluator.</w:t>
      </w:r>
    </w:p>
    <w:p>
      <w:pPr>
        <w:spacing w:after="60"/>
      </w:pPr>
      <w:r>
        <w:rPr>
          <w:b/>
          <w:sz w:val="16"/>
        </w:rPr>
        <w:t>raven_training_results/supermimic_capture/20261025_230816_212515/</w:t>
      </w:r>
      <w:r>
        <w:rPr>
          <w:sz w:val="16"/>
        </w:rPr>
        <w:t xml:space="preserve">  —  Recording A: original capture and world-model checkpoint.</w:t>
      </w:r>
    </w:p>
    <w:p>
      <w:pPr>
        <w:spacing w:after="60"/>
      </w:pPr>
      <w:r>
        <w:rPr>
          <w:b/>
          <w:sz w:val="16"/>
        </w:rPr>
        <w:t>raven_training_results/supermimic_capture/20261026_004925_836186/</w:t>
      </w:r>
      <w:r>
        <w:rPr>
          <w:sz w:val="16"/>
        </w:rPr>
        <w:t xml:space="preserve">  —  Recording B: independent capture and evaluation metrics.</w:t>
      </w:r>
    </w:p>
    <w:p>
      <w:pPr>
        <w:pStyle w:val="Heading2"/>
      </w:pPr>
      <w:r>
        <w:t>Numerical definitions</w:t>
      </w:r>
    </w:p>
    <w:p>
      <w:r>
        <w:t>MAE = mean absolute error; P95 = 95th percentile absolute error; RGB-D = colour plus depth imaging; IK = inverse kinematics; world model = learned mapping from current physical state and action to predicted future state. Smaller error is better for all quoted prediction metrics.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75"/>
      </w:tblGrid>
      <w:tr>
        <w:tc>
          <w:tcPr>
            <w:tcW w:type="dxa" w:w="9375"/>
            <w:shd w:fill="E9F5F5"/>
            <w:tcMar>
              <w:top w:w="170" w:type="dxa"/>
              <w:start w:w="190" w:type="dxa"/>
              <w:bottom w:w="165" w:type="dxa"/>
              <w:end w:w="190" w:type="dxa"/>
            </w:tcMar>
          </w:tcPr>
          <w:p>
            <w:pPr>
              <w:spacing w:after="100"/>
            </w:pPr>
            <w:r>
              <w:rPr>
                <w:b/>
                <w:color w:val="0B2239"/>
                <w:sz w:val="20"/>
              </w:rPr>
              <w:t>Recommended next experiment</w:t>
            </w:r>
          </w:p>
          <w:p>
            <w:pPr>
              <w:spacing w:after="0" w:line="269" w:lineRule="auto"/>
            </w:pPr>
            <w:r>
              <w:rPr>
                <w:sz w:val="18"/>
              </w:rPr>
              <w:t>Implement and evaluate a physics-residual World Model V2, benchmarking against constant-velocity extrapolation on a third withheld actor trajectory. Advance to policy optimisation only if it improves both mean and tail prediction accuracy under unseen conditions.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1051" w:right="1267" w:bottom="950" w:left="1267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587"/>
        <w:sz w:val="14"/>
      </w:rPr>
      <w:t xml:space="preserve">25–26 OCT 2026   •   RESEARCH SESSION NOTE   •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007F86"/>
        <w:sz w:val="16"/>
      </w:rPr>
      <w:t>RAVEN  /  RESEARCH PROGRESS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6" w:lineRule="auto"/>
    </w:pPr>
    <w:rPr>
      <w:rFonts w:ascii="Aptos" w:hAnsi="Aptos"/>
      <w:color w:val="18334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223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07F8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18334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B2239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AVENCaption">
    <w:name w:val="RAVEN Caption"/>
    <w:pPr>
      <w:spacing w:before="60" w:after="180"/>
    </w:pPr>
    <w:rPr>
      <w:rFonts w:ascii="Aptos" w:hAnsi="Aptos"/>
      <w:i/>
      <w:color w:val="647587"/>
      <w:sz w:val="16"/>
    </w:rPr>
  </w:style>
  <w:style w:type="paragraph" w:customStyle="1" w:styleId="RAVENSmall">
    <w:name w:val="RAVEN Small"/>
    <w:pPr>
      <w:spacing w:after="80"/>
    </w:pPr>
    <w:rPr>
      <w:rFonts w:ascii="Aptos" w:hAnsi="Aptos"/>
      <w:color w:val="647587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RAVEN — SuperMimic-Inspired Dynamics Learning: Progress and Research Finding</dc:title>
  <dc:subject>RAVEN PhD research progress report, 25–26 October 2026</dc:subject>
  <dc:creator>RAVEN Research</dc:creator>
  <cp:keywords>RAVEN, digital twin, humanoid robotics, Isaac Sim, model-based reinforcement learning, SuperMimic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