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Summary: Reducing Churn in CloudSync</w:t>
      </w:r>
    </w:p>
    <w:p>
      <w:pPr>
        <w:pStyle w:val="Heading1"/>
      </w:pPr>
      <w:r>
        <w:t>Key Findings</w:t>
      </w:r>
    </w:p>
    <w:p>
      <w:r>
        <w:t>1. Short-tenure users churn more – Customers in the 0–12 months group show the highest churn rate (~40%).</w:t>
      </w:r>
    </w:p>
    <w:p>
      <w:r>
        <w:t>2. Monthly contract users churn more – Churn rate for month-to-month contracts is significantly higher than annual plans.</w:t>
      </w:r>
    </w:p>
    <w:p>
      <w:r>
        <w:t>3. Security and Support features reduce churn – Users who used OnlineSecurity or TechSupport were less likely to churn.</w:t>
      </w:r>
    </w:p>
    <w:p>
      <w:r>
        <w:t>4. Higher Monthly Charges correlate with churn – Customers paying over $80/month are more likely to churn, possibly due to feature overload or billing dissatisfaction.</w:t>
      </w:r>
    </w:p>
    <w:p>
      <w:pPr>
        <w:pStyle w:val="Heading1"/>
      </w:pPr>
      <w:r>
        <w:t>Recommendations</w:t>
      </w:r>
    </w:p>
    <w:p>
      <w:r>
        <w:t>1. Promote Longer-Term Contracts – Offer discounts or rewards for users switching from monthly to yearly contracts. Run A/B tests on contract upsell popups during the 2nd–3rd month of usage.</w:t>
      </w:r>
    </w:p>
    <w:p>
      <w:r>
        <w:t>2. Bundle Security &amp; Support Features – Highlight TechSupport and OnlineSecurity during onboarding. Provide limited-time trials to increase awareness and adoption.</w:t>
      </w:r>
    </w:p>
    <w:p>
      <w:r>
        <w:t>3. Create an Onboarding Journey for New Users – Focus especially on the first 90 days. Introduce in-app walkthroughs, milestone achievements, and weekly tips.</w:t>
      </w:r>
    </w:p>
    <w:p>
      <w:r>
        <w:t>4. Adjust Pricing or Tier Packaging – Identify users with high MonthlyCharges but low engagement. Create a mid-tier product to bridge the gap between basic and premium.</w:t>
      </w:r>
    </w:p>
    <w:p>
      <w:pPr>
        <w:pStyle w:val="Heading1"/>
      </w:pPr>
      <w:r>
        <w:t>Implementation Roadmap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2880"/>
          </w:tcPr>
          <w:p>
            <w:r>
              <w:t>Key Initiatives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Weeks 1–2</w:t>
            </w:r>
          </w:p>
        </w:tc>
        <w:tc>
          <w:tcPr>
            <w:tcW w:type="dxa" w:w="2880"/>
          </w:tcPr>
          <w:p>
            <w:r>
              <w:t>Data pipeline improvements, clean TotalCharges field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Weeks 3–6</w:t>
            </w:r>
          </w:p>
        </w:tc>
        <w:tc>
          <w:tcPr>
            <w:tcW w:type="dxa" w:w="2880"/>
          </w:tcPr>
          <w:p>
            <w:r>
              <w:t>Roll out onboarding + security feature trials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Weeks 7–10</w:t>
            </w:r>
          </w:p>
        </w:tc>
        <w:tc>
          <w:tcPr>
            <w:tcW w:type="dxa" w:w="2880"/>
          </w:tcPr>
          <w:p>
            <w:r>
              <w:t>Promote annual plans via in-app banners and email campaigns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Weeks 11–12</w:t>
            </w:r>
          </w:p>
        </w:tc>
        <w:tc>
          <w:tcPr>
            <w:tcW w:type="dxa" w:w="2880"/>
          </w:tcPr>
          <w:p>
            <w:r>
              <w:t>Monitor churn, collect feedback, iterate on product tiers</w:t>
            </w:r>
          </w:p>
        </w:tc>
      </w:tr>
    </w:tbl>
    <w:p>
      <w:pPr>
        <w:pStyle w:val="Heading1"/>
      </w:pPr>
      <w:r>
        <w:t>Final Note</w:t>
      </w:r>
    </w:p>
    <w:p>
      <w:r>
        <w:t>CloudSync has clear levers to reduce churn through contract optimization, feature promotion, and customer education. These insights—backed by SQL, Python analysis, and model predictions—offer both quick wins and long-term growth strategies.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