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482A7">
      <w:pPr>
        <w:rPr>
          <w:b/>
          <w:bCs/>
          <w:u w:val="single"/>
        </w:rPr>
      </w:pPr>
      <w:r>
        <w:rPr>
          <w:b/>
          <w:bCs/>
          <w:u w:val="single"/>
        </w:rPr>
        <w:t>Design and Implementation of a Secure Telecommunication Company Network System</w:t>
      </w:r>
    </w:p>
    <w:p w14:paraId="0A81CD86">
      <w:r>
        <w:t>Cairo Telco is a fast-growing telecommunication company in Egypt, which offers IT solutions and services to its clients. The company is located in the Egyptian capital city, Cairo, and has occupied the fourth and fifth floors of Pharaoh’s Mega Plaza. The company has its fourth-floor hosting HR and Finance (40), Product Brand and Marketing (45), and finally, Admin and Corporate departments (35). The fifth floor is designed for IT Network &amp; Support (45), Software Engineering department (32).</w:t>
      </w:r>
    </w:p>
    <w:p w14:paraId="4EAEAFA4">
      <w:r>
        <w:t>As a part of ICT infrastructure, the company has subscribed to Sea</w:t>
      </w:r>
      <w:r>
        <w:rPr>
          <w:rFonts w:hint="default"/>
          <w:lang w:val="en-US"/>
        </w:rPr>
        <w:t>-</w:t>
      </w:r>
      <w:r>
        <w:t xml:space="preserve">com ISP for internet services an also has purchased one 5525-X Cisco ASA Firewall, one catalyst 3850 48 port switch, 3 catalyst 2960 48-port switches, 1 </w:t>
      </w:r>
      <w:r>
        <w:rPr>
          <w:rFonts w:hint="default"/>
          <w:lang w:val="en-US"/>
        </w:rPr>
        <w:t>C</w:t>
      </w:r>
      <w:r>
        <w:t xml:space="preserve">isco voice gateway, 1 </w:t>
      </w:r>
      <w:r>
        <w:rPr>
          <w:rFonts w:hint="default"/>
          <w:lang w:val="en-US"/>
        </w:rPr>
        <w:t>C</w:t>
      </w:r>
      <w:r>
        <w:t xml:space="preserve">isco WLC, and 6 LAP. The company uses Windows server 2022to manage the active directory and radius server, the server is responsible for DNS service and for allocating IPv4 addresses to the DHCP hosts in the network. The company has an internally hosted ERP system, Email Server, and File Server. The company has settled on using </w:t>
      </w:r>
      <w:r>
        <w:rPr>
          <w:rFonts w:hint="default"/>
          <w:lang w:val="en-US"/>
        </w:rPr>
        <w:t>C</w:t>
      </w:r>
      <w:r>
        <w:t xml:space="preserve">isco Voice Gateways to provide VoIP or telephony services in the network and </w:t>
      </w:r>
      <w:r>
        <w:rPr>
          <w:rFonts w:hint="default"/>
          <w:lang w:val="en-US"/>
        </w:rPr>
        <w:t>C</w:t>
      </w:r>
      <w:r>
        <w:t>isco WLC to provide central management for A</w:t>
      </w:r>
      <w:r>
        <w:rPr>
          <w:rFonts w:hint="default"/>
          <w:lang w:val="en-US"/>
        </w:rPr>
        <w:t>P’</w:t>
      </w:r>
      <w:r>
        <w:t>s.</w:t>
      </w:r>
    </w:p>
    <w:p w14:paraId="44400E10">
      <w:r>
        <w:t>Cairo telco Leverages using Microsoft Azure cloud platform to facilitate service delivery thus this is the one of the core business functions of the firm. The developers and cloud engineers use several MS Azure resources like VM, blob storage, networking, and security among others to ensure seamless business continuity. The proposed network should allow the team access to these resources.</w:t>
      </w:r>
    </w:p>
    <w:p w14:paraId="038CF09F">
      <w:r>
        <w:t>Due to security requirements, it has been decided that all LAN, WLAN, and VoIP users will be on a separate network segment within the same local area network. The firewall will be used to set security zones and filter traffic that moves in and out of the zones based on the configured inspection policies.</w:t>
      </w:r>
    </w:p>
    <w:p w14:paraId="781D830F">
      <w:r>
        <w:t>You have been hired as a network security engineer to design the network for Cairo Telco according to the requirements set by the senior management. You will consult an appropriate robust network design model to meet the design requirements. You are required to design and implement a secured, reliable, scalable, and robust network system that is paramount to safeguarding the Confidentiality, Integrity, and Availability of data and communication.</w:t>
      </w:r>
    </w:p>
    <w:p w14:paraId="3E8718EA">
      <w:r>
        <w:t>Requirements.</w:t>
      </w:r>
    </w:p>
    <w:p w14:paraId="18F63CAE">
      <w:r>
        <w:t>The company has emphasized high performance, redundancy, scalability, and availability, and hence you are required to provide a complete Cairo Telco network infrastructure design and implementation. The company will be using the following IP address: 10.20.0.0/16 for WLAN, 192.168.10.0/24 for LAN, 172.16.10.0/24 for Data, 10.10.10.0/24 for Voice, 10.10.10.0/28 for DMZ and 197.200.100.0 for public addresses.</w:t>
      </w:r>
    </w:p>
    <w:p w14:paraId="072B2B36">
      <w:r>
        <w:t>Requirements.</w:t>
      </w:r>
    </w:p>
    <w:p w14:paraId="5B70629E">
      <w:r>
        <w:t>1.Design Tool. Use Cisco packet tracer to design and implement the network solution.</w:t>
      </w:r>
    </w:p>
    <w:p w14:paraId="5894CBC0">
      <w:r>
        <w:t>2.Hierarchical Design. Use a hierarchical model providing redundancy.</w:t>
      </w:r>
    </w:p>
    <w:p w14:paraId="76405CED">
      <w:r>
        <w:t>3.ISPs. The network is also expected to connect to a Sea</w:t>
      </w:r>
      <w:r>
        <w:rPr>
          <w:rFonts w:hint="default"/>
          <w:lang w:val="en-US"/>
        </w:rPr>
        <w:t>-</w:t>
      </w:r>
      <w:r>
        <w:t>com Router.</w:t>
      </w:r>
    </w:p>
    <w:p w14:paraId="317F9654">
      <w:r>
        <w:t>4.WLC. Each department is required to have a WAP providing both employees and guest WIFI managed by WLC.</w:t>
      </w:r>
    </w:p>
    <w:p w14:paraId="3C01CC11">
      <w:r>
        <w:t>5.VoIP.Each department should have IP phones.</w:t>
      </w:r>
    </w:p>
    <w:p w14:paraId="7CD4810C">
      <w:r>
        <w:t>6.VLAN. The LAN, WLAN, and VoIP VLANs remain at 50, 60, &amp;101v respectively for the entire network.</w:t>
      </w:r>
    </w:p>
    <w:p w14:paraId="7FE8C3B3">
      <w:r>
        <w:t>7.Ether</w:t>
      </w:r>
      <w:r>
        <w:rPr>
          <w:rFonts w:hint="default"/>
          <w:lang w:val="en-US"/>
        </w:rPr>
        <w:t>-</w:t>
      </w:r>
      <w:r>
        <w:t>Channel. Use Standard LACP as a method of link aggregation.</w:t>
      </w:r>
    </w:p>
    <w:p w14:paraId="39D82292">
      <w:r>
        <w:t>8.STP Port Fast and BPDU guard.  Configure the two protocols to enable faster port transition from blocking to forwarding.</w:t>
      </w:r>
    </w:p>
    <w:p w14:paraId="7A2152A1">
      <w:r>
        <w:t>9.Subnetting. Provided the networks above, carry out sub</w:t>
      </w:r>
      <w:r>
        <w:rPr>
          <w:rFonts w:hint="default"/>
          <w:lang w:val="en-US"/>
        </w:rPr>
        <w:t>-</w:t>
      </w:r>
      <w:r>
        <w:t>netting to allocate the correct number of IP addresses to each department.</w:t>
      </w:r>
    </w:p>
    <w:p w14:paraId="4337854D">
      <w:r>
        <w:t xml:space="preserve">10.Basic settings. Configure basic device settings such us </w:t>
      </w:r>
      <w:r>
        <w:rPr>
          <w:lang w:val="en-US"/>
        </w:rPr>
        <w:t>host-names</w:t>
      </w:r>
      <w:r>
        <w:t>, and console passwords, banner messages, encrypt all passwords, and disable IP domain lookup.</w:t>
      </w:r>
    </w:p>
    <w:p w14:paraId="527C7705">
      <w:r>
        <w:t>11.Inter-VLAN routing. Devices in all the departments are required to communicate with each other with the respective multi</w:t>
      </w:r>
      <w:r>
        <w:rPr>
          <w:rFonts w:hint="default"/>
          <w:lang w:val="en-US"/>
        </w:rPr>
        <w:t>-</w:t>
      </w:r>
      <w:r>
        <w:t>layer switch configured for inter-VLAN routing.</w:t>
      </w:r>
    </w:p>
    <w:p w14:paraId="4851ABE5">
      <w:r>
        <w:t>12.Core Switch. The multi</w:t>
      </w:r>
      <w:r>
        <w:rPr>
          <w:rFonts w:hint="default"/>
          <w:lang w:val="en-US"/>
        </w:rPr>
        <w:t>-</w:t>
      </w:r>
      <w:r>
        <w:t>layer switches are expected to carry out both routing and switching functionalities and thus will be assigned IP addresses.</w:t>
      </w:r>
    </w:p>
    <w:p w14:paraId="78906905">
      <w:r>
        <w:t>13.DHCP Server. All devices in the network (except IP Phones) are expected to obtain an I</w:t>
      </w:r>
      <w:r>
        <w:rPr>
          <w:rFonts w:hint="default"/>
          <w:lang w:val="en-US"/>
        </w:rPr>
        <w:t xml:space="preserve">P </w:t>
      </w:r>
      <w:r>
        <w:t>address dynamically from the dedicated DHCP servers located at the server-side site.</w:t>
      </w:r>
    </w:p>
    <w:p w14:paraId="577C0F12">
      <w:r>
        <w:t>14.Cisco 2811 router. Ensure to have a router that can support telephony service i.e Cisco Catalyst 2811 (the VoIP router should be connected to the 13-switch).</w:t>
      </w:r>
    </w:p>
    <w:p w14:paraId="2A8BCED3">
      <w:r>
        <w:t>15.Static addressing. Devices in the server room are to be allocated IP addresses statically.</w:t>
      </w:r>
    </w:p>
    <w:p w14:paraId="292F0906">
      <w:r>
        <w:t>16.Telephony service. Configure VoIP on the voice gateway router and allocate dial numbers in format (1..).</w:t>
      </w:r>
    </w:p>
    <w:p w14:paraId="7DCE4ED5">
      <w:r>
        <w:t>17.Routing protocol. Use OSPF as the routing protocol to advertise routes both on the routers and multi</w:t>
      </w:r>
      <w:r>
        <w:rPr>
          <w:rFonts w:hint="default"/>
          <w:lang w:val="en-US"/>
        </w:rPr>
        <w:t>-</w:t>
      </w:r>
      <w:r>
        <w:t>layer switches.</w:t>
      </w:r>
    </w:p>
    <w:p w14:paraId="410D5D5C">
      <w:r>
        <w:t xml:space="preserve">18.Standard ACL for SSH. Configure a simple standard ACL on the line VTY to allow only the ICT department </w:t>
      </w:r>
      <w:r>
        <w:rPr>
          <w:rFonts w:hint="default"/>
          <w:lang w:val="en-US"/>
        </w:rPr>
        <w:t xml:space="preserve">(Security Network Engineer) </w:t>
      </w:r>
      <w:r>
        <w:t>to carry out all remote administrative tasks using SSH.</w:t>
      </w:r>
    </w:p>
    <w:p w14:paraId="3E110264">
      <w:r>
        <w:t>19.Cisco ASA Firewall. Configure security levels, zones, and policies to define how resources are accessed in the network.</w:t>
      </w:r>
    </w:p>
    <w:p w14:paraId="2A496898">
      <w:r>
        <w:t>20.Final. Test Communication, ensure everything configured is working as expected.</w:t>
      </w:r>
    </w:p>
    <w:p w14:paraId="0A87E1A1">
      <w:pPr>
        <w:jc w:val="center"/>
        <w:rPr>
          <w:u w:val="single"/>
        </w:rPr>
      </w:pPr>
    </w:p>
    <w:p w14:paraId="336827E8">
      <w:pPr>
        <w:jc w:val="center"/>
        <w:rPr>
          <w:rFonts w:hint="default"/>
          <w:u w:val="single"/>
          <w:lang w:val="en-US"/>
        </w:rPr>
      </w:pPr>
      <w:r>
        <w:rPr>
          <w:rFonts w:hint="default"/>
          <w:u w:val="single"/>
          <w:lang w:val="en-US"/>
        </w:rPr>
        <w:t>Subnetting Table</w:t>
      </w:r>
    </w:p>
    <w:p w14:paraId="0BCFC53F">
      <w:pPr>
        <w:jc w:val="center"/>
        <w:rPr>
          <w:rFonts w:hint="default"/>
          <w:u w:val="single"/>
          <w:lang w:val="en-US"/>
        </w:rPr>
      </w:pPr>
      <w:r>
        <w:rPr>
          <w:rFonts w:hint="default"/>
          <w:u w:val="single"/>
          <w:lang w:val="en-US"/>
        </w:rPr>
        <w:t>Cairo Telco Network</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15"/>
        <w:gridCol w:w="1915"/>
        <w:gridCol w:w="1915"/>
        <w:gridCol w:w="1915"/>
        <w:gridCol w:w="1916"/>
      </w:tblGrid>
      <w:tr w14:paraId="5A47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5" w:type="dxa"/>
          </w:tcPr>
          <w:p w14:paraId="5731511A">
            <w:pPr>
              <w:rPr>
                <w:rFonts w:hint="default"/>
                <w:vertAlign w:val="baseline"/>
                <w:lang w:val="en-US"/>
              </w:rPr>
            </w:pPr>
            <w:r>
              <w:rPr>
                <w:rFonts w:hint="default"/>
                <w:vertAlign w:val="baseline"/>
                <w:lang w:val="en-US"/>
              </w:rPr>
              <w:t>Category</w:t>
            </w:r>
          </w:p>
        </w:tc>
        <w:tc>
          <w:tcPr>
            <w:tcW w:w="1915" w:type="dxa"/>
          </w:tcPr>
          <w:p w14:paraId="715E6315">
            <w:pPr>
              <w:rPr>
                <w:rFonts w:hint="default"/>
                <w:vertAlign w:val="baseline"/>
                <w:lang w:val="en-US"/>
              </w:rPr>
            </w:pPr>
            <w:r>
              <w:rPr>
                <w:rFonts w:hint="default"/>
                <w:vertAlign w:val="baseline"/>
                <w:lang w:val="en-US"/>
              </w:rPr>
              <w:t>Network And Sub-net Mask</w:t>
            </w:r>
          </w:p>
        </w:tc>
        <w:tc>
          <w:tcPr>
            <w:tcW w:w="1915" w:type="dxa"/>
          </w:tcPr>
          <w:p w14:paraId="264936BA">
            <w:pPr>
              <w:rPr>
                <w:rFonts w:hint="default"/>
                <w:vertAlign w:val="baseline"/>
                <w:lang w:val="en-US"/>
              </w:rPr>
            </w:pPr>
            <w:r>
              <w:rPr>
                <w:rFonts w:hint="default"/>
                <w:vertAlign w:val="baseline"/>
                <w:lang w:val="en-US"/>
              </w:rPr>
              <w:t>Valid Host Addresses</w:t>
            </w:r>
          </w:p>
        </w:tc>
        <w:tc>
          <w:tcPr>
            <w:tcW w:w="1915" w:type="dxa"/>
          </w:tcPr>
          <w:p w14:paraId="375320C0">
            <w:pPr>
              <w:rPr>
                <w:rFonts w:hint="default"/>
                <w:vertAlign w:val="baseline"/>
                <w:lang w:val="en-US"/>
              </w:rPr>
            </w:pPr>
            <w:r>
              <w:rPr>
                <w:rFonts w:hint="default"/>
                <w:vertAlign w:val="baseline"/>
                <w:lang w:val="en-US"/>
              </w:rPr>
              <w:t>Default Gateway</w:t>
            </w:r>
          </w:p>
        </w:tc>
        <w:tc>
          <w:tcPr>
            <w:tcW w:w="1916" w:type="dxa"/>
          </w:tcPr>
          <w:p w14:paraId="3E220986">
            <w:pPr>
              <w:rPr>
                <w:rFonts w:hint="default"/>
                <w:vertAlign w:val="baseline"/>
                <w:lang w:val="en-US"/>
              </w:rPr>
            </w:pPr>
            <w:r>
              <w:rPr>
                <w:rFonts w:hint="default"/>
                <w:vertAlign w:val="baseline"/>
                <w:lang w:val="en-US"/>
              </w:rPr>
              <w:t>Broadcast</w:t>
            </w:r>
          </w:p>
        </w:tc>
      </w:tr>
      <w:tr w14:paraId="0649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5" w:type="dxa"/>
          </w:tcPr>
          <w:p w14:paraId="2122A29E">
            <w:pPr>
              <w:rPr>
                <w:rFonts w:hint="default"/>
                <w:vertAlign w:val="baseline"/>
                <w:lang w:val="en-US"/>
              </w:rPr>
            </w:pPr>
            <w:r>
              <w:rPr>
                <w:rFonts w:hint="default"/>
                <w:vertAlign w:val="baseline"/>
                <w:lang w:val="en-US"/>
              </w:rPr>
              <w:t>WLAN</w:t>
            </w:r>
          </w:p>
        </w:tc>
        <w:tc>
          <w:tcPr>
            <w:tcW w:w="1915" w:type="dxa"/>
          </w:tcPr>
          <w:p w14:paraId="28FB0E56">
            <w:pPr>
              <w:rPr>
                <w:vertAlign w:val="baseline"/>
              </w:rPr>
            </w:pPr>
            <w:r>
              <w:t>10.20.0.0/16</w:t>
            </w:r>
          </w:p>
        </w:tc>
        <w:tc>
          <w:tcPr>
            <w:tcW w:w="1915" w:type="dxa"/>
          </w:tcPr>
          <w:p w14:paraId="16D4AF98">
            <w:pPr>
              <w:rPr>
                <w:rFonts w:hint="default"/>
                <w:vertAlign w:val="baseline"/>
                <w:lang w:val="en-US"/>
              </w:rPr>
            </w:pPr>
            <w:r>
              <w:rPr>
                <w:rFonts w:hint="default"/>
                <w:vertAlign w:val="baseline"/>
                <w:lang w:val="en-US"/>
              </w:rPr>
              <w:t>10.20.0.1-10.20.255.254</w:t>
            </w:r>
          </w:p>
        </w:tc>
        <w:tc>
          <w:tcPr>
            <w:tcW w:w="1915" w:type="dxa"/>
          </w:tcPr>
          <w:p w14:paraId="12001AB3">
            <w:pPr>
              <w:rPr>
                <w:rFonts w:hint="default"/>
                <w:vertAlign w:val="baseline"/>
                <w:lang w:val="en-US"/>
              </w:rPr>
            </w:pPr>
            <w:r>
              <w:rPr>
                <w:rFonts w:hint="default"/>
                <w:vertAlign w:val="baseline"/>
                <w:lang w:val="en-US"/>
              </w:rPr>
              <w:t>10.20.0.1</w:t>
            </w:r>
          </w:p>
        </w:tc>
        <w:tc>
          <w:tcPr>
            <w:tcW w:w="1916" w:type="dxa"/>
          </w:tcPr>
          <w:p w14:paraId="3D33B5B2">
            <w:pPr>
              <w:rPr>
                <w:rFonts w:hint="default"/>
                <w:vertAlign w:val="baseline"/>
                <w:lang w:val="en-US"/>
              </w:rPr>
            </w:pPr>
            <w:r>
              <w:rPr>
                <w:rFonts w:hint="default"/>
                <w:vertAlign w:val="baseline"/>
                <w:lang w:val="en-US"/>
              </w:rPr>
              <w:t>10.20.255.254</w:t>
            </w:r>
          </w:p>
        </w:tc>
      </w:tr>
      <w:tr w14:paraId="0789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5" w:type="dxa"/>
          </w:tcPr>
          <w:p w14:paraId="4A7F2B61">
            <w:pPr>
              <w:rPr>
                <w:rFonts w:hint="default"/>
                <w:vertAlign w:val="baseline"/>
                <w:lang w:val="en-US"/>
              </w:rPr>
            </w:pPr>
            <w:r>
              <w:rPr>
                <w:rFonts w:hint="default"/>
                <w:vertAlign w:val="baseline"/>
                <w:lang w:val="en-US"/>
              </w:rPr>
              <w:t>LAN</w:t>
            </w:r>
          </w:p>
        </w:tc>
        <w:tc>
          <w:tcPr>
            <w:tcW w:w="1915" w:type="dxa"/>
          </w:tcPr>
          <w:p w14:paraId="40E0CB7A">
            <w:pPr>
              <w:rPr>
                <w:vertAlign w:val="baseline"/>
              </w:rPr>
            </w:pPr>
            <w:r>
              <w:t>192.168.10.0/24</w:t>
            </w:r>
          </w:p>
        </w:tc>
        <w:tc>
          <w:tcPr>
            <w:tcW w:w="1915" w:type="dxa"/>
          </w:tcPr>
          <w:p w14:paraId="7C2AA572">
            <w:pPr>
              <w:rPr>
                <w:rFonts w:hint="default"/>
                <w:vertAlign w:val="baseline"/>
                <w:lang w:val="en-US"/>
              </w:rPr>
            </w:pPr>
            <w:r>
              <w:rPr>
                <w:rFonts w:hint="default"/>
                <w:vertAlign w:val="baseline"/>
                <w:lang w:val="en-US"/>
              </w:rPr>
              <w:t>192.168.10.1-192.168.10.254</w:t>
            </w:r>
          </w:p>
        </w:tc>
        <w:tc>
          <w:tcPr>
            <w:tcW w:w="1915" w:type="dxa"/>
          </w:tcPr>
          <w:p w14:paraId="0EF8704F">
            <w:pPr>
              <w:rPr>
                <w:rFonts w:hint="default"/>
                <w:vertAlign w:val="baseline"/>
                <w:lang w:val="en-US"/>
              </w:rPr>
            </w:pPr>
            <w:r>
              <w:rPr>
                <w:rFonts w:hint="default"/>
                <w:vertAlign w:val="baseline"/>
                <w:lang w:val="en-US"/>
              </w:rPr>
              <w:t>192.168.10.1</w:t>
            </w:r>
          </w:p>
        </w:tc>
        <w:tc>
          <w:tcPr>
            <w:tcW w:w="1916" w:type="dxa"/>
          </w:tcPr>
          <w:p w14:paraId="4526E477">
            <w:pPr>
              <w:rPr>
                <w:rFonts w:hint="default"/>
                <w:vertAlign w:val="baseline"/>
                <w:lang w:val="en-US"/>
              </w:rPr>
            </w:pPr>
            <w:r>
              <w:rPr>
                <w:rFonts w:hint="default"/>
                <w:vertAlign w:val="baseline"/>
                <w:lang w:val="en-US"/>
              </w:rPr>
              <w:t>192.168.10.255</w:t>
            </w:r>
          </w:p>
        </w:tc>
      </w:tr>
      <w:tr w14:paraId="4D66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5" w:type="dxa"/>
          </w:tcPr>
          <w:p w14:paraId="58489343">
            <w:pPr>
              <w:rPr>
                <w:rFonts w:hint="default"/>
                <w:vertAlign w:val="baseline"/>
                <w:lang w:val="en-US"/>
              </w:rPr>
            </w:pPr>
            <w:r>
              <w:rPr>
                <w:rFonts w:hint="default"/>
                <w:vertAlign w:val="baseline"/>
                <w:lang w:val="en-US"/>
              </w:rPr>
              <w:t>VoIP</w:t>
            </w:r>
          </w:p>
        </w:tc>
        <w:tc>
          <w:tcPr>
            <w:tcW w:w="1915" w:type="dxa"/>
          </w:tcPr>
          <w:p w14:paraId="2E6BE8A7">
            <w:pPr>
              <w:rPr>
                <w:vertAlign w:val="baseline"/>
              </w:rPr>
            </w:pPr>
            <w:r>
              <w:t>172.16.10.0/24</w:t>
            </w:r>
          </w:p>
        </w:tc>
        <w:tc>
          <w:tcPr>
            <w:tcW w:w="1915" w:type="dxa"/>
          </w:tcPr>
          <w:p w14:paraId="3EBBDFD4">
            <w:pPr>
              <w:rPr>
                <w:rFonts w:hint="default"/>
                <w:vertAlign w:val="baseline"/>
                <w:lang w:val="en-US"/>
              </w:rPr>
            </w:pPr>
            <w:r>
              <w:rPr>
                <w:rFonts w:hint="default"/>
                <w:vertAlign w:val="baseline"/>
                <w:lang w:val="en-US"/>
              </w:rPr>
              <w:t>172.16.10.1-172.16.10.254</w:t>
            </w:r>
          </w:p>
        </w:tc>
        <w:tc>
          <w:tcPr>
            <w:tcW w:w="1915" w:type="dxa"/>
          </w:tcPr>
          <w:p w14:paraId="1ED911B0">
            <w:pPr>
              <w:rPr>
                <w:rFonts w:hint="default"/>
                <w:vertAlign w:val="baseline"/>
                <w:lang w:val="en-US"/>
              </w:rPr>
            </w:pPr>
            <w:r>
              <w:rPr>
                <w:rFonts w:hint="default"/>
                <w:vertAlign w:val="baseline"/>
                <w:lang w:val="en-US"/>
              </w:rPr>
              <w:t>172.16.10.1</w:t>
            </w:r>
          </w:p>
        </w:tc>
        <w:tc>
          <w:tcPr>
            <w:tcW w:w="1916" w:type="dxa"/>
          </w:tcPr>
          <w:p w14:paraId="1A114F5F">
            <w:pPr>
              <w:rPr>
                <w:rFonts w:hint="default"/>
                <w:vertAlign w:val="baseline"/>
                <w:lang w:val="en-US"/>
              </w:rPr>
            </w:pPr>
            <w:r>
              <w:rPr>
                <w:rFonts w:hint="default"/>
                <w:vertAlign w:val="baseline"/>
                <w:lang w:val="en-US"/>
              </w:rPr>
              <w:t>172.16.10.255</w:t>
            </w:r>
          </w:p>
        </w:tc>
      </w:tr>
      <w:tr w14:paraId="584B7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5" w:type="dxa"/>
          </w:tcPr>
          <w:p w14:paraId="6F09570F">
            <w:pPr>
              <w:rPr>
                <w:rFonts w:hint="default"/>
                <w:vertAlign w:val="baseline"/>
                <w:lang w:val="en-US"/>
              </w:rPr>
            </w:pPr>
            <w:r>
              <w:rPr>
                <w:rFonts w:hint="default"/>
                <w:vertAlign w:val="baseline"/>
                <w:lang w:val="en-US"/>
              </w:rPr>
              <w:t>DMZ</w:t>
            </w:r>
          </w:p>
        </w:tc>
        <w:tc>
          <w:tcPr>
            <w:tcW w:w="1915" w:type="dxa"/>
          </w:tcPr>
          <w:p w14:paraId="65EB7325">
            <w:pPr>
              <w:rPr>
                <w:vertAlign w:val="baseline"/>
              </w:rPr>
            </w:pPr>
            <w:r>
              <w:t>10.10.10.0/28</w:t>
            </w:r>
          </w:p>
        </w:tc>
        <w:tc>
          <w:tcPr>
            <w:tcW w:w="1915" w:type="dxa"/>
          </w:tcPr>
          <w:p w14:paraId="11B4E222">
            <w:pPr>
              <w:rPr>
                <w:rFonts w:hint="default"/>
                <w:vertAlign w:val="baseline"/>
                <w:lang w:val="en-US"/>
              </w:rPr>
            </w:pPr>
            <w:r>
              <w:rPr>
                <w:rFonts w:hint="default"/>
                <w:vertAlign w:val="baseline"/>
                <w:lang w:val="en-US"/>
              </w:rPr>
              <w:t>10.10.10.1-10.10.10.14</w:t>
            </w:r>
          </w:p>
        </w:tc>
        <w:tc>
          <w:tcPr>
            <w:tcW w:w="1915" w:type="dxa"/>
          </w:tcPr>
          <w:p w14:paraId="1A017A69">
            <w:pPr>
              <w:rPr>
                <w:rFonts w:hint="default"/>
                <w:vertAlign w:val="baseline"/>
                <w:lang w:val="en-US"/>
              </w:rPr>
            </w:pPr>
            <w:r>
              <w:rPr>
                <w:rFonts w:hint="default"/>
                <w:vertAlign w:val="baseline"/>
                <w:lang w:val="en-US"/>
              </w:rPr>
              <w:t>10.10.10.1</w:t>
            </w:r>
          </w:p>
        </w:tc>
        <w:tc>
          <w:tcPr>
            <w:tcW w:w="1916" w:type="dxa"/>
          </w:tcPr>
          <w:p w14:paraId="3678B9F0">
            <w:pPr>
              <w:rPr>
                <w:rFonts w:hint="default"/>
                <w:vertAlign w:val="baseline"/>
                <w:lang w:val="en-US"/>
              </w:rPr>
            </w:pPr>
            <w:r>
              <w:rPr>
                <w:rFonts w:hint="default"/>
                <w:vertAlign w:val="baseline"/>
                <w:lang w:val="en-US"/>
              </w:rPr>
              <w:t>10.10.10.15</w:t>
            </w:r>
          </w:p>
        </w:tc>
      </w:tr>
    </w:tbl>
    <w:p w14:paraId="1D641F14"/>
    <w:p w14:paraId="41683DAF"/>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88"/>
        <w:gridCol w:w="202"/>
        <w:gridCol w:w="4586"/>
      </w:tblGrid>
      <w:tr w14:paraId="3986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tcPr>
          <w:p w14:paraId="407C2E50">
            <w:pPr>
              <w:rPr>
                <w:rFonts w:hint="default"/>
                <w:vertAlign w:val="baseline"/>
                <w:lang w:val="en-US"/>
              </w:rPr>
            </w:pPr>
            <w:r>
              <w:rPr>
                <w:rFonts w:hint="default"/>
                <w:vertAlign w:val="baseline"/>
                <w:lang w:val="en-US"/>
              </w:rPr>
              <w:t>NO</w:t>
            </w:r>
          </w:p>
        </w:tc>
        <w:tc>
          <w:tcPr>
            <w:tcW w:w="4788" w:type="dxa"/>
            <w:gridSpan w:val="2"/>
          </w:tcPr>
          <w:p w14:paraId="285D368E">
            <w:pPr>
              <w:rPr>
                <w:rFonts w:hint="default"/>
                <w:vertAlign w:val="baseline"/>
                <w:lang w:val="en-US"/>
              </w:rPr>
            </w:pPr>
            <w:r>
              <w:rPr>
                <w:rFonts w:hint="default"/>
                <w:vertAlign w:val="baseline"/>
                <w:lang w:val="en-US"/>
              </w:rPr>
              <w:t>Network Address</w:t>
            </w:r>
          </w:p>
        </w:tc>
      </w:tr>
      <w:tr w14:paraId="47E7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90" w:type="dxa"/>
            <w:gridSpan w:val="2"/>
          </w:tcPr>
          <w:p w14:paraId="6DDC293C">
            <w:pPr>
              <w:rPr>
                <w:rFonts w:hint="default"/>
                <w:vertAlign w:val="baseline"/>
                <w:lang w:val="en-US"/>
              </w:rPr>
            </w:pPr>
            <w:r>
              <w:rPr>
                <w:rFonts w:hint="default"/>
                <w:vertAlign w:val="baseline"/>
                <w:lang w:val="en-US"/>
              </w:rPr>
              <w:t>FWL-CORE SW</w:t>
            </w:r>
          </w:p>
        </w:tc>
        <w:tc>
          <w:tcPr>
            <w:tcW w:w="4586" w:type="dxa"/>
          </w:tcPr>
          <w:p w14:paraId="0BCDB036">
            <w:pPr>
              <w:rPr>
                <w:rFonts w:hint="default"/>
                <w:vertAlign w:val="baseline"/>
                <w:lang w:val="en-US"/>
              </w:rPr>
            </w:pPr>
            <w:r>
              <w:rPr>
                <w:rFonts w:hint="default"/>
                <w:vertAlign w:val="baseline"/>
                <w:lang w:val="en-US"/>
              </w:rPr>
              <w:t>10.30.30.0/30</w:t>
            </w:r>
          </w:p>
        </w:tc>
      </w:tr>
      <w:tr w14:paraId="4925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25F98113">
            <w:pPr>
              <w:rPr>
                <w:rFonts w:hint="default"/>
                <w:vertAlign w:val="baseline"/>
                <w:lang w:val="en-US"/>
              </w:rPr>
            </w:pPr>
            <w:r>
              <w:rPr>
                <w:rFonts w:hint="default"/>
                <w:vertAlign w:val="baseline"/>
                <w:lang w:val="en-US"/>
              </w:rPr>
              <w:t>FWL-ISP</w:t>
            </w:r>
          </w:p>
        </w:tc>
        <w:tc>
          <w:tcPr>
            <w:tcW w:w="4788" w:type="dxa"/>
            <w:gridSpan w:val="2"/>
          </w:tcPr>
          <w:p w14:paraId="57AD789F">
            <w:pPr>
              <w:rPr>
                <w:rFonts w:hint="default"/>
                <w:vertAlign w:val="baseline"/>
                <w:lang w:val="en-US"/>
              </w:rPr>
            </w:pPr>
            <w:r>
              <w:rPr>
                <w:rFonts w:hint="default"/>
                <w:vertAlign w:val="baseline"/>
                <w:lang w:val="en-US"/>
              </w:rPr>
              <w:t>197.200.100.0/30</w:t>
            </w:r>
          </w:p>
        </w:tc>
      </w:tr>
      <w:tr w14:paraId="1E730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29981FFD">
            <w:pPr>
              <w:rPr>
                <w:rFonts w:hint="default"/>
                <w:vertAlign w:val="baseline"/>
                <w:lang w:val="en-US"/>
              </w:rPr>
            </w:pPr>
            <w:r>
              <w:rPr>
                <w:rFonts w:hint="default"/>
                <w:vertAlign w:val="baseline"/>
                <w:lang w:val="en-US"/>
              </w:rPr>
              <w:t>ISP - CLOUD</w:t>
            </w:r>
          </w:p>
        </w:tc>
        <w:tc>
          <w:tcPr>
            <w:tcW w:w="4788" w:type="dxa"/>
            <w:gridSpan w:val="2"/>
          </w:tcPr>
          <w:p w14:paraId="4122A3F7">
            <w:pPr>
              <w:rPr>
                <w:rFonts w:hint="default"/>
                <w:vertAlign w:val="baseline"/>
                <w:lang w:val="en-US"/>
              </w:rPr>
            </w:pPr>
            <w:r>
              <w:rPr>
                <w:rFonts w:hint="default"/>
                <w:vertAlign w:val="baseline"/>
                <w:lang w:val="en-US"/>
              </w:rPr>
              <w:t>20.20.20.0/30</w:t>
            </w:r>
          </w:p>
        </w:tc>
      </w:tr>
      <w:tr w14:paraId="5232C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tcPr>
          <w:p w14:paraId="6C06DE7A">
            <w:pPr>
              <w:rPr>
                <w:rFonts w:hint="default"/>
                <w:vertAlign w:val="baseline"/>
                <w:lang w:val="en-US"/>
              </w:rPr>
            </w:pPr>
            <w:r>
              <w:rPr>
                <w:rFonts w:hint="default"/>
                <w:vertAlign w:val="baseline"/>
                <w:lang w:val="en-US"/>
              </w:rPr>
              <w:t>CLOUD</w:t>
            </w:r>
          </w:p>
        </w:tc>
        <w:tc>
          <w:tcPr>
            <w:tcW w:w="4788" w:type="dxa"/>
            <w:gridSpan w:val="2"/>
          </w:tcPr>
          <w:p w14:paraId="4A9CE9C4">
            <w:pPr>
              <w:rPr>
                <w:rFonts w:hint="default"/>
                <w:vertAlign w:val="baseline"/>
                <w:lang w:val="en-US"/>
              </w:rPr>
            </w:pPr>
            <w:r>
              <w:rPr>
                <w:rFonts w:hint="default"/>
                <w:vertAlign w:val="baseline"/>
                <w:lang w:val="en-US"/>
              </w:rPr>
              <w:t>30.30.30.30/8</w:t>
            </w:r>
          </w:p>
        </w:tc>
      </w:tr>
    </w:tbl>
    <w:p w14:paraId="2F04A9C0"/>
    <w:p w14:paraId="57864772">
      <w:bookmarkStart w:id="0" w:name="_GoBack"/>
      <w:bookmarkEnd w:id="0"/>
    </w:p>
    <w:p w14:paraId="4BCC08C2"/>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6603489"/>
      <w:docPartObj>
        <w:docPartGallery w:val="autotext"/>
      </w:docPartObj>
    </w:sdtPr>
    <w:sdtContent>
      <w:p w14:paraId="4A530D5A">
        <w:pPr>
          <w:pStyle w:val="13"/>
          <w:jc w:val="center"/>
        </w:pPr>
        <w:r>
          <w:fldChar w:fldCharType="begin"/>
        </w:r>
        <w:r>
          <w:instrText xml:space="preserve"> PAGE   \* MERGEFORMAT </w:instrText>
        </w:r>
        <w:r>
          <w:fldChar w:fldCharType="separate"/>
        </w:r>
        <w:r>
          <w:t>2</w:t>
        </w:r>
        <w:r>
          <w:fldChar w:fldCharType="end"/>
        </w:r>
      </w:p>
    </w:sdtContent>
  </w:sdt>
  <w:p w14:paraId="04B7816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39C"/>
    <w:rsid w:val="00051965"/>
    <w:rsid w:val="0013412D"/>
    <w:rsid w:val="00262C8D"/>
    <w:rsid w:val="00382794"/>
    <w:rsid w:val="004428BF"/>
    <w:rsid w:val="0054039C"/>
    <w:rsid w:val="005468E5"/>
    <w:rsid w:val="00550670"/>
    <w:rsid w:val="00926041"/>
    <w:rsid w:val="499E1D04"/>
    <w:rsid w:val="4A0D108A"/>
    <w:rsid w:val="50016554"/>
    <w:rsid w:val="605166EB"/>
    <w:rsid w:val="7D865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uiPriority w:val="99"/>
    <w:pPr>
      <w:tabs>
        <w:tab w:val="center" w:pos="4680"/>
        <w:tab w:val="right" w:pos="9360"/>
      </w:tabs>
      <w:spacing w:after="0" w:line="240" w:lineRule="auto"/>
    </w:pPr>
  </w:style>
  <w:style w:type="paragraph" w:styleId="14">
    <w:name w:val="header"/>
    <w:basedOn w:val="1"/>
    <w:link w:val="36"/>
    <w:unhideWhenUsed/>
    <w:uiPriority w:val="99"/>
    <w:pPr>
      <w:tabs>
        <w:tab w:val="center" w:pos="4680"/>
        <w:tab w:val="right" w:pos="9360"/>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771</Words>
  <Characters>4395</Characters>
  <Lines>36</Lines>
  <Paragraphs>10</Paragraphs>
  <TotalTime>516</TotalTime>
  <ScaleCrop>false</ScaleCrop>
  <LinksUpToDate>false</LinksUpToDate>
  <CharactersWithSpaces>5156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2025-11-07T18:22:00Z</dcterms:created>
  <dc:creator>Rawlings Ochieng</dc:creator>
  <cp:lastModifiedBy>ADMIN</cp:lastModifiedBy>
  <dcterms:modified xsi:type="dcterms:W3CDTF">2025-11-17T20:29:22Z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2B804CD2BE0E44D592F3913B2B46928C_12</vt:lpwstr>
  </property>
</Properties>
</file>