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PlayConnect</w:t>
      </w:r>
    </w:p>
    <w:p>
      <w:pPr>
        <w:jc w:val="center"/>
      </w:pPr>
      <w:r>
        <w:rPr>
          <w:b/>
          <w:sz w:val="34"/>
        </w:rPr>
        <w:t>Diagrammi UML e architetturali</w:t>
      </w:r>
    </w:p>
    <w:p>
      <w:pPr>
        <w:jc w:val="center"/>
      </w:pPr>
      <w:r>
        <w:t>Progetto di Laboratorio PISSIR – A.A. 2025/2026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7183"/>
          </w:tcPr>
          <w:p>
            <w:r>
              <w:t>N.</w:t>
            </w:r>
          </w:p>
        </w:tc>
        <w:tc>
          <w:tcPr>
            <w:tcW w:type="dxa" w:w="7183"/>
          </w:tcPr>
          <w:p>
            <w:r>
              <w:t>Diagramma</w:t>
            </w:r>
          </w:p>
        </w:tc>
      </w:tr>
      <w:tr>
        <w:tc>
          <w:tcPr>
            <w:tcW w:type="dxa" w:w="7183"/>
          </w:tcPr>
          <w:p>
            <w:r>
              <w:t>1</w:t>
            </w:r>
          </w:p>
        </w:tc>
        <w:tc>
          <w:tcPr>
            <w:tcW w:type="dxa" w:w="7183"/>
          </w:tcPr>
          <w:p>
            <w:r>
              <w:t>Diagramma dei casi d’uso</w:t>
            </w:r>
          </w:p>
        </w:tc>
      </w:tr>
      <w:tr>
        <w:tc>
          <w:tcPr>
            <w:tcW w:type="dxa" w:w="7183"/>
          </w:tcPr>
          <w:p>
            <w:r>
              <w:t>2</w:t>
            </w:r>
          </w:p>
        </w:tc>
        <w:tc>
          <w:tcPr>
            <w:tcW w:type="dxa" w:w="7183"/>
          </w:tcPr>
          <w:p>
            <w:r>
              <w:t>Architettura generale</w:t>
            </w:r>
          </w:p>
        </w:tc>
      </w:tr>
      <w:tr>
        <w:tc>
          <w:tcPr>
            <w:tcW w:type="dxa" w:w="7183"/>
          </w:tcPr>
          <w:p>
            <w:r>
              <w:t>3</w:t>
            </w:r>
          </w:p>
        </w:tc>
        <w:tc>
          <w:tcPr>
            <w:tcW w:type="dxa" w:w="7183"/>
          </w:tcPr>
          <w:p>
            <w:r>
              <w:t>Diagramma delle classi del dominio</w:t>
            </w:r>
          </w:p>
        </w:tc>
      </w:tr>
      <w:tr>
        <w:tc>
          <w:tcPr>
            <w:tcW w:type="dxa" w:w="7183"/>
          </w:tcPr>
          <w:p>
            <w:r>
              <w:t>4</w:t>
            </w:r>
          </w:p>
        </w:tc>
        <w:tc>
          <w:tcPr>
            <w:tcW w:type="dxa" w:w="7183"/>
          </w:tcPr>
          <w:p>
            <w:r>
              <w:t>Diagramma dei package</w:t>
            </w:r>
          </w:p>
        </w:tc>
      </w:tr>
      <w:tr>
        <w:tc>
          <w:tcPr>
            <w:tcW w:type="dxa" w:w="7183"/>
          </w:tcPr>
          <w:p>
            <w:r>
              <w:t>5</w:t>
            </w:r>
          </w:p>
        </w:tc>
        <w:tc>
          <w:tcPr>
            <w:tcW w:type="dxa" w:w="7183"/>
          </w:tcPr>
          <w:p>
            <w:r>
              <w:t>Classi e moduli di implementazione</w:t>
            </w:r>
          </w:p>
        </w:tc>
      </w:tr>
      <w:tr>
        <w:tc>
          <w:tcPr>
            <w:tcW w:type="dxa" w:w="7183"/>
          </w:tcPr>
          <w:p>
            <w:r>
              <w:t>6</w:t>
            </w:r>
          </w:p>
        </w:tc>
        <w:tc>
          <w:tcPr>
            <w:tcW w:type="dxa" w:w="7183"/>
          </w:tcPr>
          <w:p>
            <w:r>
              <w:t>Diagramma di sequenza: partita online</w:t>
            </w:r>
          </w:p>
        </w:tc>
      </w:tr>
      <w:tr>
        <w:tc>
          <w:tcPr>
            <w:tcW w:type="dxa" w:w="7183"/>
          </w:tcPr>
          <w:p>
            <w:r>
              <w:t>7</w:t>
            </w:r>
          </w:p>
        </w:tc>
        <w:tc>
          <w:tcPr>
            <w:tcW w:type="dxa" w:w="7183"/>
          </w:tcPr>
          <w:p>
            <w:r>
              <w:t>Diagramma di sequenza: coda offline e sincronizzazione</w:t>
            </w:r>
          </w:p>
        </w:tc>
      </w:tr>
      <w:tr>
        <w:tc>
          <w:tcPr>
            <w:tcW w:type="dxa" w:w="7183"/>
          </w:tcPr>
          <w:p>
            <w:r>
              <w:t>8</w:t>
            </w:r>
          </w:p>
        </w:tc>
        <w:tc>
          <w:tcPr>
            <w:tcW w:type="dxa" w:w="7183"/>
          </w:tcPr>
          <w:p>
            <w:r>
              <w:t>Diagramma di deployment Docker Compose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1. Diagramma dei casi d’uso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8636" cy="52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si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8636" cy="52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– Diagramma dei casi d’uso</w:t>
      </w:r>
    </w:p>
    <w:p>
      <w:r>
        <w:br w:type="page"/>
      </w:r>
    </w:p>
    <w:p>
      <w:pPr>
        <w:pStyle w:val="Heading1"/>
        <w:jc w:val="center"/>
      </w:pPr>
      <w:r>
        <w:t>2. Architettura generale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88000" cy="2619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tet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261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– Architettura generale</w:t>
      </w:r>
    </w:p>
    <w:p>
      <w:r>
        <w:br w:type="page"/>
      </w:r>
    </w:p>
    <w:p>
      <w:pPr>
        <w:pStyle w:val="Heading1"/>
        <w:jc w:val="center"/>
      </w:pPr>
      <w:r>
        <w:t>3. Diagramma delle classi del dominio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3581" cy="52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min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3581" cy="52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– Diagramma delle classi del dominio</w:t>
      </w:r>
    </w:p>
    <w:p>
      <w:r>
        <w:br w:type="page"/>
      </w:r>
    </w:p>
    <w:p>
      <w:pPr>
        <w:pStyle w:val="Heading1"/>
        <w:jc w:val="center"/>
      </w:pPr>
      <w:r>
        <w:t>4. Diagramma dei package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88000" cy="3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– Diagramma dei package</w:t>
      </w:r>
    </w:p>
    <w:p>
      <w:r>
        <w:br w:type="page"/>
      </w:r>
    </w:p>
    <w:p>
      <w:pPr>
        <w:pStyle w:val="Heading1"/>
        <w:jc w:val="center"/>
      </w:pPr>
      <w:r>
        <w:t>5. Classi e moduli di implementazione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88000" cy="38493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assi-implementazi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384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– Classi e moduli di implementazione</w:t>
      </w:r>
    </w:p>
    <w:p>
      <w:r>
        <w:br w:type="page"/>
      </w:r>
    </w:p>
    <w:p>
      <w:pPr>
        <w:pStyle w:val="Heading1"/>
        <w:jc w:val="center"/>
      </w:pPr>
      <w:r>
        <w:t>6. Diagramma di sequenza: partita online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88000" cy="18179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quenza-on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181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– Diagramma di sequenza: partita online</w:t>
      </w:r>
    </w:p>
    <w:p>
      <w:r>
        <w:br w:type="page"/>
      </w:r>
    </w:p>
    <w:p>
      <w:pPr>
        <w:pStyle w:val="Heading1"/>
        <w:jc w:val="center"/>
      </w:pPr>
      <w:r>
        <w:t>7. Diagramma di sequenza: coda offline e sincronizzazione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88000" cy="24360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quenza-off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243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– Diagramma di sequenza: coda offline e sincronizzazione</w:t>
      </w:r>
    </w:p>
    <w:p>
      <w:r>
        <w:br w:type="page"/>
      </w:r>
    </w:p>
    <w:p>
      <w:pPr>
        <w:pStyle w:val="Heading1"/>
        <w:jc w:val="center"/>
      </w:pPr>
      <w:r>
        <w:t>8. Diagramma di deployment Docker Compose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5270" cy="52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ploy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5270" cy="52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– Diagramma di deployment Docker Compose</w:t>
      </w:r>
    </w:p>
    <w:sectPr w:rsidR="00FC693F" w:rsidRPr="0006063C" w:rsidSect="00034616">
      <w:pgSz w:w="15840" w:h="12240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