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ОРГАНИЗАЦИОННЫЕ МЕТОДЫ 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Ы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№1</w:t>
      </w:r>
    </w:p>
    <w:p>
      <w:pPr>
        <w:pStyle w:val="BodyText"/>
        <w:jc w:val="center"/>
        <w:rPr>
          <w:b/>
          <w:bCs/>
        </w:rPr>
      </w:pPr>
      <w:r>
        <w:rPr>
          <w:b/>
          <w:bCs/>
          <w:u w:val="single"/>
          <w:lang w:eastAsia="ar-SA"/>
        </w:rPr>
        <w:t>«</w:t>
      </w:r>
      <w:r>
        <w:rPr>
          <w:rFonts w:cs="Times New Roman"/>
          <w:b/>
          <w:bCs/>
          <w:u w:val="single"/>
          <w:lang w:eastAsia="ar-SA"/>
        </w:rPr>
        <w:t>ЗАКРЕПЛЕНИЕ ПРАВА ПРЕДПРИЯТИЯ НА ЗАЩИТУ ИНФОРМАЦИИ</w:t>
      </w:r>
    </w:p>
    <w:p>
      <w:pPr>
        <w:pStyle w:val="BodyText"/>
        <w:jc w:val="center"/>
        <w:rPr>
          <w:b/>
          <w:bCs/>
        </w:rPr>
      </w:pPr>
      <w:r>
        <w:rPr>
          <w:rFonts w:cs="Times New Roman"/>
          <w:b/>
          <w:bCs/>
          <w:u w:val="single"/>
          <w:lang w:eastAsia="ar-SA"/>
        </w:rPr>
        <w:t>В НОРМАТИВНЫХ ДОКУМЕНТАХ</w:t>
      </w:r>
      <w:r>
        <w:rPr>
          <w:b/>
          <w:bCs/>
          <w:u w:val="single"/>
          <w:lang w:eastAsia="ar-SA"/>
        </w:rPr>
        <w:t>»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6"/>
        <w:gridCol w:w="4472"/>
      </w:tblGrid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ДИНРБ-41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«____»___________2024 г.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_______Сахипова Ж.Ш.</w:t>
            </w:r>
          </w:p>
        </w:tc>
      </w:tr>
      <w:tr>
        <w:trPr>
          <w:trHeight w:val="340" w:hRule="atLeast"/>
        </w:trPr>
        <w:tc>
          <w:tcPr>
            <w:tcW w:w="5236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2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«____»____________2024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2024</w:t>
      </w:r>
    </w:p>
    <w:p>
      <w:pPr>
        <w:pStyle w:val="1"/>
        <w:ind w:hanging="0"/>
        <w:jc w:val="left"/>
        <w:rPr>
          <w:b/>
          <w:u w:val="single"/>
        </w:rPr>
      </w:pPr>
      <w:r>
        <w:rPr>
          <w:b/>
          <w:u w:val="single"/>
        </w:rPr>
        <w:t>Лаб</w:t>
      </w:r>
      <w:r>
        <w:rPr>
          <w:b/>
          <w:sz w:val="24"/>
          <w:szCs w:val="24"/>
          <w:u w:val="single"/>
        </w:rPr>
        <w:t xml:space="preserve">ораторная работа №1 </w:t>
      </w:r>
      <w:r>
        <w:rPr>
          <w:rFonts w:cs="Times New Roman"/>
          <w:b/>
          <w:sz w:val="24"/>
          <w:szCs w:val="24"/>
          <w:u w:val="single"/>
        </w:rPr>
        <w:t>«</w:t>
      </w:r>
      <w:r>
        <w:rPr>
          <w:rFonts w:cs="Times New Roman"/>
          <w:b/>
          <w:sz w:val="24"/>
          <w:szCs w:val="24"/>
          <w:u w:val="single"/>
        </w:rPr>
        <w:t>Закрепление права предприятия на защиту информации в нормативных документах</w:t>
      </w:r>
      <w:r>
        <w:rPr>
          <w:rFonts w:cs="Times New Roman"/>
          <w:b/>
          <w:sz w:val="24"/>
          <w:szCs w:val="24"/>
          <w:u w:val="single"/>
        </w:rPr>
        <w:t>»</w:t>
      </w:r>
      <w:r>
        <w:rPr>
          <w:rFonts w:cs="Times New Roman"/>
          <w:b/>
          <w:sz w:val="24"/>
          <w:szCs w:val="24"/>
          <w:u w:val="single"/>
        </w:rPr>
        <w:t>:</w:t>
      </w:r>
    </w:p>
    <w:p>
      <w:pPr>
        <w:pStyle w:val="Normal"/>
        <w:autoSpaceDE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/>
        </w:rPr>
        <w:t> </w:t>
      </w:r>
      <w:r>
        <w:rPr>
          <w:rFonts w:cs="Times New Roman"/>
        </w:rPr>
        <w:t>Задание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>
          <w:rFonts w:ascii="Times New Roman" w:hAnsi="Times New Roman"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>Определите название фирмы, выберите вид и область деятельности.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>
          <w:b w:val="false"/>
          <w:bCs w:val="false"/>
        </w:rPr>
      </w:pPr>
      <w:r>
        <w:rPr>
          <w:rFonts w:cs="Times New Roman"/>
          <w:b w:val="false"/>
          <w:bCs w:val="false"/>
        </w:rPr>
        <w:t>Составьте план мероприятий по защите коммерческой тайны (в соответствии с законом РФ «О коммерческой тайне»).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>
          <w:b w:val="false"/>
          <w:bCs w:val="false"/>
        </w:rPr>
      </w:pPr>
      <w:r>
        <w:rPr>
          <w:rFonts w:cs="Times New Roman"/>
          <w:b w:val="false"/>
          <w:bCs w:val="false"/>
        </w:rPr>
        <w:t>Укажите перечень внутренних документов фирмы, которые будут использоваться в целях правовой защиты секретов вашей фирмы.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>
          <w:rFonts w:ascii="Times New Roman" w:hAnsi="Times New Roman" w:cs="Times New Roman"/>
          <w:b w:val="false"/>
          <w:bCs w:val="false"/>
        </w:rPr>
      </w:pPr>
      <w:r>
        <w:rPr>
          <w:rFonts w:cs="Times New Roman"/>
          <w:b w:val="false"/>
          <w:bCs w:val="false"/>
        </w:rPr>
        <w:t>Составьте перечень сведений, составляющих коммерческую тайну вашей фирмы.</w:t>
      </w:r>
    </w:p>
    <w:p>
      <w:pPr>
        <w:pStyle w:val="Normal"/>
        <w:numPr>
          <w:ilvl w:val="0"/>
          <w:numId w:val="1"/>
        </w:numPr>
        <w:autoSpaceDE w:val="false"/>
        <w:spacing w:lineRule="auto" w:line="360"/>
        <w:rPr>
          <w:b w:val="false"/>
          <w:bCs w:val="false"/>
        </w:rPr>
      </w:pPr>
      <w:r>
        <w:rPr>
          <w:rFonts w:cs="Times New Roman"/>
          <w:b w:val="false"/>
          <w:bCs w:val="false"/>
        </w:rPr>
        <w:t>Опишите методы конкурентной разведки, которые будут использоваться вашей информационно-аналитической службой.</w:t>
      </w:r>
    </w:p>
    <w:p>
      <w:pPr>
        <w:pStyle w:val="Normal"/>
        <w:numPr>
          <w:ilvl w:val="0"/>
          <w:numId w:val="0"/>
        </w:numPr>
        <w:autoSpaceDE w:val="false"/>
        <w:spacing w:lineRule="auto" w:line="360"/>
        <w:ind w:hanging="0" w:left="720"/>
        <w:rPr>
          <w:b w:val="false"/>
          <w:bCs w:val="false"/>
          <w:lang w:val="ru-RU"/>
        </w:rPr>
      </w:pPr>
      <w:r>
        <w:rPr>
          <w:rFonts w:cs="Times New Roman"/>
          <w:b w:val="false"/>
          <w:bCs w:val="false"/>
          <w:lang w:val="ru-RU"/>
        </w:rPr>
        <w:t>ХОД РАБОТЫ:</w:t>
      </w:r>
    </w:p>
    <w:p>
      <w:pPr>
        <w:pStyle w:val="Normal"/>
        <w:numPr>
          <w:ilvl w:val="0"/>
          <w:numId w:val="0"/>
        </w:numPr>
        <w:autoSpaceDE w:val="false"/>
        <w:spacing w:lineRule="auto" w:line="360"/>
        <w:ind w:hanging="0" w:left="72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Название фирмы, вид и область деятельности: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1.Название: "ИнноваТек"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Вид деятельности: Разработка программного обеспечения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Область деятельности: IT-услуги для бизнеса, включая создание программного обеспечения на заказ и хранилище данных.</w:t>
      </w:r>
    </w:p>
    <w:p>
      <w:pPr>
        <w:pStyle w:val="Normal"/>
        <w:autoSpaceDE w:val="false"/>
        <w:spacing w:lineRule="auto" w:line="360"/>
        <w:rPr/>
      </w:pPr>
      <w:r>
        <w:rPr>
          <w:b w:val="false"/>
          <w:bCs w:val="false"/>
          <w:lang w:val="ru-RU"/>
        </w:rPr>
        <w:t>2. План мероприятий по защите коммерческой тайны</w:t>
      </w:r>
    </w:p>
    <w:p>
      <w:pPr>
        <w:pStyle w:val="Normal"/>
        <w:numPr>
          <w:ilvl w:val="0"/>
          <w:numId w:val="3"/>
        </w:numPr>
        <w:autoSpaceDE w:val="false"/>
        <w:spacing w:lineRule="auto" w:line="360"/>
        <w:rPr/>
      </w:pPr>
      <w:r>
        <w:rPr>
          <w:b w:val="false"/>
          <w:bCs w:val="false"/>
          <w:lang w:val="ru-RU"/>
        </w:rPr>
        <w:t>Обучение сотрудников:</w:t>
      </w:r>
    </w:p>
    <w:p>
      <w:pPr>
        <w:pStyle w:val="Normal"/>
        <w:numPr>
          <w:ilvl w:val="1"/>
          <w:numId w:val="12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Регулярные тренинги по защите коммерческой тайны.</w:t>
      </w:r>
    </w:p>
    <w:p>
      <w:pPr>
        <w:pStyle w:val="Normal"/>
        <w:numPr>
          <w:ilvl w:val="1"/>
          <w:numId w:val="12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Информирование о последствиях разглашения тайны.</w:t>
      </w:r>
    </w:p>
    <w:p>
      <w:pPr>
        <w:pStyle w:val="Normal"/>
        <w:numPr>
          <w:ilvl w:val="0"/>
          <w:numId w:val="4"/>
        </w:numPr>
        <w:autoSpaceDE w:val="false"/>
        <w:spacing w:lineRule="auto" w:line="360"/>
        <w:rPr/>
      </w:pPr>
      <w:r>
        <w:rPr>
          <w:b w:val="false"/>
          <w:bCs w:val="false"/>
          <w:lang w:val="ru-RU"/>
        </w:rPr>
        <w:t>Документирование:</w:t>
      </w:r>
    </w:p>
    <w:p>
      <w:pPr>
        <w:pStyle w:val="Normal"/>
        <w:numPr>
          <w:ilvl w:val="1"/>
          <w:numId w:val="11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Ведение учета всех сведений, составляющих коммерческую тайну.</w:t>
      </w:r>
    </w:p>
    <w:p>
      <w:pPr>
        <w:pStyle w:val="Normal"/>
        <w:numPr>
          <w:ilvl w:val="1"/>
          <w:numId w:val="11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Определение и оформление статуса конфиденциальной информации.</w:t>
      </w:r>
    </w:p>
    <w:p>
      <w:pPr>
        <w:pStyle w:val="Normal"/>
        <w:numPr>
          <w:ilvl w:val="0"/>
          <w:numId w:val="5"/>
        </w:numPr>
        <w:autoSpaceDE w:val="false"/>
        <w:spacing w:lineRule="auto" w:line="360"/>
        <w:rPr/>
      </w:pPr>
      <w:r>
        <w:rPr>
          <w:b w:val="false"/>
          <w:bCs w:val="false"/>
          <w:lang w:val="ru-RU"/>
        </w:rPr>
        <w:t>Физические меры защиты:</w:t>
      </w:r>
    </w:p>
    <w:p>
      <w:pPr>
        <w:pStyle w:val="Normal"/>
        <w:numPr>
          <w:ilvl w:val="1"/>
          <w:numId w:val="10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Ограниченный доступ к помещениям с важной информацией.</w:t>
      </w:r>
    </w:p>
    <w:p>
      <w:pPr>
        <w:pStyle w:val="Normal"/>
        <w:numPr>
          <w:ilvl w:val="1"/>
          <w:numId w:val="10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Использование системы видеонаблюдения.</w:t>
      </w:r>
    </w:p>
    <w:p>
      <w:pPr>
        <w:pStyle w:val="Normal"/>
        <w:numPr>
          <w:ilvl w:val="0"/>
          <w:numId w:val="6"/>
        </w:numPr>
        <w:autoSpaceDE w:val="false"/>
        <w:spacing w:lineRule="auto" w:line="360"/>
        <w:rPr/>
      </w:pPr>
      <w:r>
        <w:rPr>
          <w:b w:val="false"/>
          <w:bCs w:val="false"/>
          <w:lang w:val="ru-RU"/>
        </w:rPr>
        <w:t>Технические меры защиты:</w:t>
      </w:r>
    </w:p>
    <w:p>
      <w:pPr>
        <w:pStyle w:val="Normal"/>
        <w:numPr>
          <w:ilvl w:val="1"/>
          <w:numId w:val="9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Шифрование данных.</w:t>
      </w:r>
    </w:p>
    <w:p>
      <w:pPr>
        <w:pStyle w:val="Normal"/>
        <w:numPr>
          <w:ilvl w:val="1"/>
          <w:numId w:val="9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Настройка системы доступа к информационным ресурсам.</w:t>
      </w:r>
    </w:p>
    <w:p>
      <w:pPr>
        <w:pStyle w:val="Normal"/>
        <w:numPr>
          <w:ilvl w:val="0"/>
          <w:numId w:val="7"/>
        </w:numPr>
        <w:autoSpaceDE w:val="false"/>
        <w:spacing w:lineRule="auto" w:line="360"/>
        <w:rPr/>
      </w:pPr>
      <w:r>
        <w:rPr>
          <w:b w:val="false"/>
          <w:bCs w:val="false"/>
          <w:lang w:val="ru-RU"/>
        </w:rPr>
        <w:t>Юридические меры:</w:t>
      </w:r>
    </w:p>
    <w:p>
      <w:pPr>
        <w:pStyle w:val="Normal"/>
        <w:numPr>
          <w:ilvl w:val="1"/>
          <w:numId w:val="8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Подписание соглашений о неразглашении (NDA) с сотрудниками и партнерами.</w:t>
      </w:r>
    </w:p>
    <w:p>
      <w:pPr>
        <w:pStyle w:val="Normal"/>
        <w:numPr>
          <w:ilvl w:val="1"/>
          <w:numId w:val="8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Регистрация коммерческой тайны в установленном порядке.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3. Перечень внутренних документов фирмы:</w:t>
      </w:r>
    </w:p>
    <w:p>
      <w:pPr>
        <w:pStyle w:val="Normal"/>
        <w:numPr>
          <w:ilvl w:val="0"/>
          <w:numId w:val="2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Политика по защите коммерческой тайны.</w:t>
      </w:r>
    </w:p>
    <w:p>
      <w:pPr>
        <w:pStyle w:val="Normal"/>
        <w:numPr>
          <w:ilvl w:val="0"/>
          <w:numId w:val="2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Соглашения о неразглашении (NDA).</w:t>
      </w:r>
    </w:p>
    <w:p>
      <w:pPr>
        <w:pStyle w:val="Normal"/>
        <w:numPr>
          <w:ilvl w:val="0"/>
          <w:numId w:val="2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Регистры коммерческой тайны.</w:t>
      </w:r>
    </w:p>
    <w:p>
      <w:pPr>
        <w:pStyle w:val="Normal"/>
        <w:numPr>
          <w:ilvl w:val="0"/>
          <w:numId w:val="2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Приказы о назначении ответственных лиц.</w:t>
      </w:r>
    </w:p>
    <w:p>
      <w:pPr>
        <w:pStyle w:val="Normal"/>
        <w:numPr>
          <w:ilvl w:val="0"/>
          <w:numId w:val="2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Акты сверки с партнёрами и клиентами.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4. Перечень сведений, составляющих коммерческую тайну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Разработки программного обеспечения.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Клиентская база и соглашения.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Технические спецификации и исходный код.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Стратегические планы и маркетинговые исследования.</w:t>
      </w:r>
    </w:p>
    <w:p>
      <w:pPr>
        <w:pStyle w:val="Normal"/>
        <w:numPr>
          <w:ilvl w:val="0"/>
          <w:numId w:val="13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Финансовые данные и отчеты.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5. Методы конкурентной разведки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Мониторинг открытых источников:</w:t>
      </w:r>
    </w:p>
    <w:p>
      <w:pPr>
        <w:pStyle w:val="Normal"/>
        <w:numPr>
          <w:ilvl w:val="0"/>
          <w:numId w:val="14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Анализ публикаций, новостей и пресс-релизов конкурентов.</w:t>
      </w:r>
    </w:p>
    <w:p>
      <w:pPr>
        <w:pStyle w:val="Normal"/>
        <w:numPr>
          <w:ilvl w:val="0"/>
          <w:numId w:val="14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Посещение выставок и конференций:</w:t>
      </w:r>
    </w:p>
    <w:p>
      <w:pPr>
        <w:pStyle w:val="Normal"/>
        <w:numPr>
          <w:ilvl w:val="0"/>
          <w:numId w:val="14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Обсуждение новинок и технологий с участниками рынка.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Социальные сети и профессиональные платформы:</w:t>
      </w:r>
    </w:p>
    <w:p>
      <w:pPr>
        <w:pStyle w:val="Normal"/>
        <w:numPr>
          <w:ilvl w:val="0"/>
          <w:numId w:val="15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Анализ активности конкурентов на таких платформах, как LinkedIn.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Анализ отзывов клиентов:</w:t>
      </w:r>
    </w:p>
    <w:p>
      <w:pPr>
        <w:pStyle w:val="Normal"/>
        <w:numPr>
          <w:ilvl w:val="0"/>
          <w:numId w:val="16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Сбор обратной связи о продуктах конкурентов.</w:t>
      </w:r>
    </w:p>
    <w:p>
      <w:pPr>
        <w:pStyle w:val="Normal"/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Исследование технологических трендов:</w:t>
      </w:r>
    </w:p>
    <w:p>
      <w:pPr>
        <w:pStyle w:val="Normal"/>
        <w:numPr>
          <w:ilvl w:val="0"/>
          <w:numId w:val="17"/>
        </w:numPr>
        <w:autoSpaceDE w:val="false"/>
        <w:spacing w:lineRule="auto" w:line="36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Изучение изменений в технологиях и их влияние на рынок.</w:t>
      </w:r>
    </w:p>
    <w:p>
      <w:pPr>
        <w:pStyle w:val="1"/>
        <w:spacing w:lineRule="auto" w:line="360"/>
        <w:jc w:val="left"/>
        <w:rPr/>
      </w:pPr>
      <w:r>
        <w:rPr/>
        <w:t xml:space="preserve">Вывод: в ходе выполнения лабораторной работе по </w:t>
      </w:r>
      <w:r>
        <w:rPr/>
        <w:t xml:space="preserve">организационным методам </w:t>
      </w:r>
      <w:r>
        <w:rPr>
          <w:lang w:val="ru-RU"/>
        </w:rPr>
        <w:t>защит</w:t>
      </w:r>
      <w:r>
        <w:rPr>
          <w:lang w:val="ru-RU"/>
        </w:rPr>
        <w:t xml:space="preserve">ы </w:t>
      </w:r>
      <w:r>
        <w:rPr>
          <w:lang w:val="ru-RU"/>
        </w:rPr>
        <w:t xml:space="preserve">информации я изучил  </w:t>
      </w:r>
      <w:r>
        <w:rPr>
          <w:lang w:val="ru-RU"/>
        </w:rPr>
        <w:t>н</w:t>
      </w:r>
      <w:r>
        <w:rPr>
          <w:rFonts w:cs="Times New Roman"/>
          <w:lang w:val="ru-RU"/>
        </w:rPr>
        <w:t xml:space="preserve">ормативно-правовое регулирование профессиональной тайны в РФ </w:t>
      </w:r>
      <w:r>
        <w:rPr>
          <w:rFonts w:cs="Times New Roman"/>
          <w:lang w:val="ru-RU"/>
        </w:rPr>
        <w:t>и конкурентные методы разведки.</w:t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42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5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uppressAutoHyphens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1" w:customStyle="1">
    <w:name w:val="текст1"/>
    <w:basedOn w:val="Normal"/>
    <w:qFormat/>
    <w:rsid w:val="00fd152a"/>
    <w:pPr>
      <w:suppressAutoHyphens w:val="true"/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>
    <w:name w:val="Body Text, Indented"/>
    <w:basedOn w:val="Normal"/>
    <w:link w:val="Style14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LibreOffice/24.2.5.2$Windows_X86_64 LibreOffice_project/bffef4ea93e59bebbeaf7f431bb02b1a39ee8a59</Application>
  <AppVersion>15.0000</AppVersion>
  <Pages>3</Pages>
  <Words>439</Words>
  <Characters>3191</Characters>
  <CharactersWithSpaces>3553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2024-09-15T12:33:11Z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