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ОРГАНИЗАЦИОННЫЕ МЕТОДЫ 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ЗАЩИТЫ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u w:val="single"/>
          <w:lang w:val="en-US" w:eastAsia="ar-SA"/>
        </w:rPr>
        <w:t>4</w:t>
      </w:r>
    </w:p>
    <w:p>
      <w:pPr>
        <w:pStyle w:val="Normal"/>
        <w:jc w:val="center"/>
        <w:rPr>
          <w:b/>
          <w:u w:val="single"/>
        </w:rPr>
      </w:pPr>
      <w:r>
        <w:rPr>
          <w:b/>
          <w:bCs/>
          <w:u w:val="single"/>
          <w:lang w:eastAsia="ar-SA"/>
        </w:rPr>
        <w:t>«</w:t>
      </w:r>
      <w:r>
        <w:rPr>
          <w:rFonts w:cs="Times New Roman"/>
          <w:b/>
          <w:bCs/>
          <w:u w:val="single"/>
          <w:lang w:eastAsia="ar-SA"/>
        </w:rPr>
        <w:t>РАЗРАБОТКА ПОЛИТИКИ БЕЗОПАСНОСТИ ПРЕДПРИЯТИЯ</w:t>
      </w:r>
      <w:r>
        <w:rPr>
          <w:b/>
          <w:bCs/>
          <w:u w:val="single"/>
          <w:lang w:eastAsia="ar-SA"/>
        </w:rPr>
        <w:t>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8"/>
        <w:gridCol w:w="4470"/>
      </w:tblGrid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Normal"/>
        <w:spacing w:lineRule="auto" w:line="360"/>
        <w:jc w:val="center"/>
        <w:rPr/>
      </w:pPr>
      <w:r>
        <w:rPr>
          <w:b/>
          <w:u w:val="single"/>
        </w:rPr>
        <w:t>Лабораторная работа №</w:t>
      </w:r>
      <w:r>
        <w:rPr>
          <w:b/>
          <w:u w:val="single"/>
          <w:lang w:val="en-US"/>
        </w:rPr>
        <w:t>4</w:t>
      </w:r>
      <w:r>
        <w:rPr>
          <w:b/>
          <w:u w:val="single"/>
        </w:rPr>
        <w:t xml:space="preserve"> «</w:t>
      </w:r>
      <w:r>
        <w:rPr>
          <w:rFonts w:cs="Times New Roman"/>
          <w:b/>
          <w:bCs/>
          <w:u w:val="single"/>
        </w:rPr>
        <w:t>РАЗРАБОТКА ПОЛИТИКИ БЕЗОПАСНОСТИ ПРЕДПРИЯТИЯ</w:t>
      </w:r>
      <w:r>
        <w:rPr>
          <w:b/>
          <w:u w:val="single"/>
        </w:rPr>
        <w:t>»: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lang w:val="ru-RU"/>
        </w:rPr>
        <w:t xml:space="preserve">Задание 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Провести аудит информационных процессов фирмы и оценить риски угроз.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Разработать политику безопасности фирмы.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Составить матрицу доступа к конфиденциальной информации.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/>
          <w:lang w:val="ru-RU"/>
        </w:rPr>
        <w:t>Провести аудит безопасности предприятия.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Ход работы: </w:t>
      </w:r>
    </w:p>
    <w:p>
      <w:pPr>
        <w:pStyle w:val="Normal"/>
        <w:spacing w:lineRule="auto" w:line="360"/>
        <w:jc w:val="both"/>
        <w:rPr/>
      </w:pPr>
      <w:r>
        <w:rPr/>
        <w:t>Название: "ИнноваТек"</w:t>
      </w:r>
    </w:p>
    <w:p>
      <w:pPr>
        <w:pStyle w:val="Normal"/>
        <w:spacing w:lineRule="auto" w:line="360"/>
        <w:jc w:val="both"/>
        <w:rPr/>
      </w:pPr>
      <w:r>
        <w:rPr/>
        <w:t>Вид деятельности: Разработка программного обеспечения</w:t>
      </w:r>
    </w:p>
    <w:p>
      <w:pPr>
        <w:pStyle w:val="Normal"/>
        <w:spacing w:lineRule="auto" w:line="360"/>
        <w:jc w:val="both"/>
        <w:rPr/>
      </w:pPr>
      <w:r>
        <w:rPr/>
        <w:t>Область деятельности: IT-услуги для бизнеса, включая создание программного обеспечения на заказ и хранилище данных.</w:t>
      </w:r>
    </w:p>
    <w:p>
      <w:pPr>
        <w:pStyle w:val="Normal"/>
        <w:spacing w:lineRule="auto" w:line="360"/>
        <w:jc w:val="both"/>
        <w:rPr/>
      </w:pPr>
      <w:r>
        <w:rPr/>
        <w:t>1. Аудит информационных процессов и оценка рисков угроз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Шаги: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Сбор данных: Провести интервью с сотрудниками для понимания текущих информационных процессов. Просмотр документации и отчетов.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Идентификация угроз: Определить возможные угрозы, такие как кибератаки, утечка данных, человеческий фактор.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>Оценка рисков: Использовать стандартные методологии (например, STRIDE или PESTLE) для оценки вероятности и влияния каждого риска.</w:t>
      </w:r>
    </w:p>
    <w:p>
      <w:pPr>
        <w:pStyle w:val="Normal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Пример рисков: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Низкая защита от кибератак (например, DDoS).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Неправильное управление доступом к данным.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Отсутствие регулярного резервного копирования.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 xml:space="preserve">2. </w:t>
      </w:r>
      <w:r>
        <w:rPr/>
        <w:t>Разработка политики безопасности фирмы</w:t>
      </w:r>
    </w:p>
    <w:p>
      <w:pPr>
        <w:pStyle w:val="Normal"/>
        <w:spacing w:lineRule="auto" w:line="360"/>
        <w:jc w:val="both"/>
        <w:rPr/>
      </w:pPr>
      <w:r>
        <w:rPr/>
        <w:t>Основные элементы политики: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Цели безопасности: Защита конфиденциальной информации, обеспечение доступности и целостности данных.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Соблюдение законов: Соответствие GDPR и локальному законодательству.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Управление доступом: Правила по предоставлению и отзыву доступа.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Обучение персонала: Обязанности по обучению сотрудников безопасности.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Реакция на инциденты: Процедуры по реагированию на инциденты безопасности.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>3.</w:t>
      </w:r>
      <w:r>
        <w:rPr/>
        <w:t xml:space="preserve"> Матрица доступа к конфиденциальной информации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447"/>
        <w:gridCol w:w="1708"/>
        <w:gridCol w:w="2092"/>
        <w:gridCol w:w="2381"/>
      </w:tblGrid>
      <w:tr>
        <w:trPr>
          <w:tblHeader w:val="true"/>
        </w:trPr>
        <w:tc>
          <w:tcPr>
            <w:tcW w:w="2010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20"/>
              <w:ind w:hanging="0" w:left="0" w:right="0"/>
              <w:jc w:val="both"/>
              <w:rPr/>
            </w:pPr>
            <w:r>
              <w:rPr/>
              <w:t>Должность</w:t>
            </w:r>
          </w:p>
        </w:tc>
        <w:tc>
          <w:tcPr>
            <w:tcW w:w="1447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20"/>
              <w:ind w:hanging="0" w:left="0" w:right="0"/>
              <w:jc w:val="both"/>
              <w:rPr/>
            </w:pPr>
            <w:r>
              <w:rPr/>
              <w:t>Доступ к проектам</w:t>
            </w:r>
          </w:p>
        </w:tc>
        <w:tc>
          <w:tcPr>
            <w:tcW w:w="1708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20"/>
              <w:ind w:hanging="0" w:left="0" w:right="0"/>
              <w:jc w:val="both"/>
              <w:rPr/>
            </w:pPr>
            <w:r>
              <w:rPr/>
              <w:t>Доступ к данным клиентов</w:t>
            </w:r>
          </w:p>
        </w:tc>
        <w:tc>
          <w:tcPr>
            <w:tcW w:w="2092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20"/>
              <w:ind w:hanging="0" w:left="0" w:right="0"/>
              <w:jc w:val="both"/>
              <w:rPr/>
            </w:pPr>
            <w:r>
              <w:rPr/>
              <w:t>Доступ к финансовым данным</w:t>
            </w:r>
          </w:p>
        </w:tc>
        <w:tc>
          <w:tcPr>
            <w:tcW w:w="2381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</w:tcPr>
          <w:p>
            <w:pPr>
              <w:pStyle w:val="Style20"/>
              <w:ind w:hanging="0" w:left="0" w:right="0"/>
              <w:jc w:val="both"/>
              <w:rPr/>
            </w:pPr>
            <w:r>
              <w:rPr/>
              <w:t>Комментарии</w:t>
            </w:r>
          </w:p>
        </w:tc>
      </w:tr>
      <w:tr>
        <w:trPr/>
        <w:tc>
          <w:tcPr>
            <w:tcW w:w="2010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Разработчик</w:t>
            </w:r>
          </w:p>
        </w:tc>
        <w:tc>
          <w:tcPr>
            <w:tcW w:w="1447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Часть проектов</w:t>
            </w:r>
          </w:p>
        </w:tc>
        <w:tc>
          <w:tcPr>
            <w:tcW w:w="1708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Нет</w:t>
            </w:r>
          </w:p>
        </w:tc>
        <w:tc>
          <w:tcPr>
            <w:tcW w:w="2092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Нет</w:t>
            </w:r>
          </w:p>
        </w:tc>
        <w:tc>
          <w:tcPr>
            <w:tcW w:w="2381" w:type="dxa"/>
            <w:tcBorders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Ограниченный доступ</w:t>
            </w:r>
          </w:p>
        </w:tc>
      </w:tr>
      <w:tr>
        <w:trPr/>
        <w:tc>
          <w:tcPr>
            <w:tcW w:w="2010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Менеджер проектов</w:t>
            </w:r>
          </w:p>
        </w:tc>
        <w:tc>
          <w:tcPr>
            <w:tcW w:w="1447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Полный доступ</w:t>
            </w:r>
          </w:p>
        </w:tc>
        <w:tc>
          <w:tcPr>
            <w:tcW w:w="1708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Полный доступ</w:t>
            </w:r>
          </w:p>
        </w:tc>
        <w:tc>
          <w:tcPr>
            <w:tcW w:w="2092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Нет</w:t>
            </w:r>
          </w:p>
        </w:tc>
        <w:tc>
          <w:tcPr>
            <w:tcW w:w="2381" w:type="dxa"/>
            <w:tcBorders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Ответственен за проекты</w:t>
            </w:r>
          </w:p>
        </w:tc>
      </w:tr>
      <w:tr>
        <w:trPr/>
        <w:tc>
          <w:tcPr>
            <w:tcW w:w="2010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Финансовый аналитик</w:t>
            </w:r>
          </w:p>
        </w:tc>
        <w:tc>
          <w:tcPr>
            <w:tcW w:w="1447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Нет</w:t>
            </w:r>
          </w:p>
        </w:tc>
        <w:tc>
          <w:tcPr>
            <w:tcW w:w="1708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Нет</w:t>
            </w:r>
          </w:p>
        </w:tc>
        <w:tc>
          <w:tcPr>
            <w:tcW w:w="2092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Полный доступ</w:t>
            </w:r>
          </w:p>
        </w:tc>
        <w:tc>
          <w:tcPr>
            <w:tcW w:w="2381" w:type="dxa"/>
            <w:tcBorders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Доступ только к финансовым данным</w:t>
            </w:r>
          </w:p>
        </w:tc>
      </w:tr>
      <w:tr>
        <w:trPr/>
        <w:tc>
          <w:tcPr>
            <w:tcW w:w="2010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Администратор системы</w:t>
            </w:r>
          </w:p>
        </w:tc>
        <w:tc>
          <w:tcPr>
            <w:tcW w:w="1447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Полный доступ</w:t>
            </w:r>
          </w:p>
        </w:tc>
        <w:tc>
          <w:tcPr>
            <w:tcW w:w="1708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Полный доступ</w:t>
            </w:r>
          </w:p>
        </w:tc>
        <w:tc>
          <w:tcPr>
            <w:tcW w:w="2092" w:type="dxa"/>
            <w:tcBorders>
              <w:left w:val="single" w:sz="6" w:space="0" w:color="E5E7EB"/>
              <w:bottom w:val="single" w:sz="6" w:space="0" w:color="E5E7EB"/>
            </w:tcBorders>
            <w:vAlign w:val="center"/>
          </w:tcPr>
          <w:p>
            <w:pPr>
              <w:pStyle w:val="Style19"/>
              <w:ind w:hanging="0" w:left="0" w:right="0"/>
              <w:jc w:val="both"/>
              <w:rPr/>
            </w:pPr>
            <w:r>
              <w:rPr/>
              <w:t>Полный доступ</w:t>
            </w:r>
          </w:p>
        </w:tc>
        <w:tc>
          <w:tcPr>
            <w:tcW w:w="2381" w:type="dxa"/>
            <w:tcBorders>
              <w:left w:val="single" w:sz="6" w:space="0" w:color="E5E7EB"/>
              <w:bottom w:val="single" w:sz="6" w:space="0" w:color="E5E7EB"/>
              <w:right w:val="single" w:sz="6" w:space="0" w:color="E5E7EB"/>
            </w:tcBorders>
            <w:vAlign w:val="center"/>
          </w:tcPr>
          <w:p>
            <w:pPr>
              <w:pStyle w:val="Style19"/>
              <w:jc w:val="both"/>
              <w:rPr/>
            </w:pPr>
            <w:r>
              <w:rPr/>
              <w:t>Должен обеспечить безопасность</w:t>
            </w:r>
          </w:p>
        </w:tc>
      </w:tr>
    </w:tbl>
    <w:p>
      <w:pPr>
        <w:pStyle w:val="Normal"/>
        <w:autoSpaceDE w:val="false"/>
        <w:jc w:val="both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4. Аудит безопасности предприятия</w:t>
      </w:r>
    </w:p>
    <w:p>
      <w:pPr>
        <w:pStyle w:val="Normal"/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Методы аудита: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Тестирование на проникновение: Оценка уязвимостей в системе.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Анализ конфигураций: Проверка серверов, сетевых устройств и приложений на наличие безопасных настроек.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Оценка физической безопасности: Проверка доступа к офисам и серверным.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Проверка соблюдения политик: Убедиться, что сотрудники следуют установленным правилам безопасности.</w:t>
      </w:r>
    </w:p>
    <w:p>
      <w:pPr>
        <w:pStyle w:val="Normal"/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Итоговые рекомендации:</w:t>
      </w:r>
    </w:p>
    <w:p>
      <w:pPr>
        <w:pStyle w:val="Normal"/>
        <w:numPr>
          <w:ilvl w:val="0"/>
          <w:numId w:val="6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Составить план исправлений для выявленных уязвимостей.</w:t>
      </w:r>
    </w:p>
    <w:p>
      <w:pPr>
        <w:pStyle w:val="Normal"/>
        <w:numPr>
          <w:ilvl w:val="0"/>
          <w:numId w:val="6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Регулярные тренировки по безопасности.</w:t>
      </w:r>
    </w:p>
    <w:p>
      <w:pPr>
        <w:pStyle w:val="Normal"/>
        <w:numPr>
          <w:ilvl w:val="0"/>
          <w:numId w:val="6"/>
        </w:numPr>
        <w:autoSpaceDE w:val="false"/>
        <w:spacing w:lineRule="auto" w:line="360"/>
        <w:jc w:val="both"/>
        <w:rPr>
          <w:lang w:val="en-US"/>
        </w:rPr>
      </w:pPr>
      <w:r>
        <w:rPr>
          <w:lang w:val="en-US"/>
        </w:rPr>
        <w:t>Поддержание актуальности программного обеспечения.</w:t>
      </w:r>
    </w:p>
    <w:p>
      <w:pPr>
        <w:pStyle w:val="Normal"/>
        <w:autoSpaceDE w:val="false"/>
        <w:jc w:val="both"/>
        <w:rPr/>
      </w:pPr>
      <w:r>
        <w:rPr>
          <w:rFonts w:cs="Times New Roman"/>
          <w:b/>
          <w:bCs/>
        </w:rPr>
        <w:t>Контрольные вопросы:</w:t>
      </w:r>
    </w:p>
    <w:p>
      <w:pPr>
        <w:pStyle w:val="Normal"/>
        <w:autoSpaceDE w:val="false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</w:rPr>
      </w:r>
    </w:p>
    <w:p>
      <w:pPr>
        <w:pStyle w:val="1"/>
        <w:jc w:val="both"/>
        <w:rPr/>
      </w:pPr>
      <w:r>
        <w:rPr/>
        <w:t>1. Политика безопасности фирмы</w:t>
      </w:r>
    </w:p>
    <w:p>
      <w:pPr>
        <w:pStyle w:val="1"/>
        <w:jc w:val="both"/>
        <w:rPr/>
      </w:pPr>
      <w:r>
        <w:rPr/>
        <w:t>Политика безопасности фирмы — это набор документированных правил, норм и процедур, определяющих, как организация будет защищать свои информационные активы и данные. Эта политика включает в себя стратегии по управлению рисками, контроль доступа, предписание пользователей и установление ответственности, а также реагирование на инциденты.</w:t>
      </w:r>
    </w:p>
    <w:p>
      <w:pPr>
        <w:pStyle w:val="1"/>
        <w:jc w:val="both"/>
        <w:rPr/>
      </w:pPr>
      <w:r>
        <w:rPr/>
        <w:t>2. Подготовительный этап при разработке политики безопасности</w:t>
      </w:r>
    </w:p>
    <w:p>
      <w:pPr>
        <w:pStyle w:val="1"/>
        <w:jc w:val="both"/>
        <w:rPr/>
      </w:pPr>
      <w:r>
        <w:rPr/>
        <w:t>Подготовительный этап включает в себя:</w:t>
      </w:r>
    </w:p>
    <w:p>
      <w:pPr>
        <w:pStyle w:val="1"/>
        <w:numPr>
          <w:ilvl w:val="0"/>
          <w:numId w:val="8"/>
        </w:numPr>
        <w:jc w:val="both"/>
        <w:rPr/>
      </w:pPr>
      <w:r>
        <w:rPr/>
        <w:t>Оценку рисков: Анализ потенциальных угроз и уязвимостей информационных систем.</w:t>
      </w:r>
    </w:p>
    <w:p>
      <w:pPr>
        <w:pStyle w:val="1"/>
        <w:numPr>
          <w:ilvl w:val="0"/>
          <w:numId w:val="8"/>
        </w:numPr>
        <w:jc w:val="both"/>
        <w:rPr/>
      </w:pPr>
      <w:r>
        <w:rPr/>
        <w:t>Определение активов: Идентификация и классификация всех информационных активов компании.</w:t>
      </w:r>
    </w:p>
    <w:p>
      <w:pPr>
        <w:pStyle w:val="1"/>
        <w:numPr>
          <w:ilvl w:val="0"/>
          <w:numId w:val="8"/>
        </w:numPr>
        <w:jc w:val="both"/>
        <w:rPr/>
      </w:pPr>
      <w:r>
        <w:rPr/>
        <w:t>Сбор информации: Изучение существующих правил и стандартов безопасности, а также анализа опыта других организаций.</w:t>
      </w:r>
    </w:p>
    <w:p>
      <w:pPr>
        <w:pStyle w:val="1"/>
        <w:numPr>
          <w:ilvl w:val="0"/>
          <w:numId w:val="8"/>
        </w:numPr>
        <w:jc w:val="both"/>
        <w:rPr/>
      </w:pPr>
      <w:r>
        <w:rPr/>
        <w:t>Анализ потребностей и ожиданий: Опрос ключевых сотрудников и заинтересованных сторон для понимания их потребностей в области безопасности.</w:t>
      </w:r>
    </w:p>
    <w:p>
      <w:pPr>
        <w:pStyle w:val="1"/>
        <w:jc w:val="both"/>
        <w:rPr/>
      </w:pPr>
      <w:r>
        <w:rPr/>
        <w:t>3. Содержание политики безопасности</w:t>
      </w:r>
    </w:p>
    <w:p>
      <w:pPr>
        <w:pStyle w:val="1"/>
        <w:jc w:val="both"/>
        <w:rPr/>
      </w:pPr>
      <w:r>
        <w:rPr/>
        <w:t>Содержание политики безопасности может включать:</w:t>
      </w:r>
    </w:p>
    <w:p>
      <w:pPr>
        <w:pStyle w:val="1"/>
        <w:numPr>
          <w:ilvl w:val="0"/>
          <w:numId w:val="10"/>
        </w:numPr>
        <w:jc w:val="both"/>
        <w:rPr/>
      </w:pPr>
      <w:r>
        <w:rPr/>
        <w:t>Цели и задачи безопасности.</w:t>
      </w:r>
    </w:p>
    <w:p>
      <w:pPr>
        <w:pStyle w:val="1"/>
        <w:numPr>
          <w:ilvl w:val="0"/>
          <w:numId w:val="10"/>
        </w:numPr>
        <w:jc w:val="both"/>
        <w:rPr/>
      </w:pPr>
      <w:r>
        <w:rPr/>
        <w:t>Область применения: Определение, какие активы и процессы находятся под защитой.</w:t>
      </w:r>
    </w:p>
    <w:p>
      <w:pPr>
        <w:pStyle w:val="1"/>
        <w:numPr>
          <w:ilvl w:val="0"/>
          <w:numId w:val="10"/>
        </w:numPr>
        <w:jc w:val="both"/>
        <w:rPr/>
      </w:pPr>
      <w:r>
        <w:rPr/>
        <w:t>Роли и ответственности: Назначение ответственных за политику и исполнение мероприятий безопасности.</w:t>
      </w:r>
    </w:p>
    <w:p>
      <w:pPr>
        <w:pStyle w:val="1"/>
        <w:numPr>
          <w:ilvl w:val="0"/>
          <w:numId w:val="10"/>
        </w:numPr>
        <w:jc w:val="both"/>
        <w:rPr/>
      </w:pPr>
      <w:r>
        <w:rPr/>
        <w:t>Стандартные процедуры: Описание мер по защите информации, управление инцидентами и реагирование.</w:t>
      </w:r>
    </w:p>
    <w:p>
      <w:pPr>
        <w:pStyle w:val="1"/>
        <w:numPr>
          <w:ilvl w:val="0"/>
          <w:numId w:val="10"/>
        </w:numPr>
        <w:jc w:val="both"/>
        <w:rPr/>
      </w:pPr>
      <w:r>
        <w:rPr/>
        <w:t>Обучение и повышение осведомленности: Программы обучения сотрудников по вопросам безопасности.</w:t>
      </w:r>
    </w:p>
    <w:p>
      <w:pPr>
        <w:pStyle w:val="1"/>
        <w:numPr>
          <w:ilvl w:val="0"/>
          <w:numId w:val="10"/>
        </w:numPr>
        <w:jc w:val="both"/>
        <w:rPr/>
      </w:pPr>
      <w:r>
        <w:rPr/>
        <w:t>Мониторинг и аудит: Процедуры контроля за соблюдением политики.</w:t>
      </w:r>
    </w:p>
    <w:p>
      <w:pPr>
        <w:pStyle w:val="1"/>
        <w:jc w:val="both"/>
        <w:rPr/>
      </w:pPr>
      <w:r>
        <w:rPr/>
        <w:t>4. Принцип разумной достаточности</w:t>
      </w:r>
    </w:p>
    <w:p>
      <w:pPr>
        <w:pStyle w:val="1"/>
        <w:jc w:val="both"/>
        <w:rPr/>
      </w:pPr>
      <w:r>
        <w:rPr/>
        <w:t>Принцип разумной достаточности предполагает, что меры безопасности должны быть пропорциональны уровням риска и стоимости потерь. Это означает, что организация должна реализовывать такие меры безопасности, которые обеспечивают баланс между защитой информации и доступностью ресурсов.</w:t>
      </w:r>
    </w:p>
    <w:p>
      <w:pPr>
        <w:pStyle w:val="1"/>
        <w:jc w:val="both"/>
        <w:rPr/>
      </w:pPr>
      <w:r>
        <w:rPr/>
        <w:t>5. Общие рекомендации для обеспечения безопасности компьютерной информации</w:t>
      </w:r>
    </w:p>
    <w:p>
      <w:pPr>
        <w:pStyle w:val="1"/>
        <w:numPr>
          <w:ilvl w:val="0"/>
          <w:numId w:val="9"/>
        </w:numPr>
        <w:jc w:val="both"/>
        <w:rPr/>
      </w:pPr>
      <w:r>
        <w:rPr/>
        <w:t>Регулярные обновления ПО: Обновляйте операционные системы и приложения для защиты от уязвимостей.</w:t>
      </w:r>
    </w:p>
    <w:p>
      <w:pPr>
        <w:pStyle w:val="1"/>
        <w:numPr>
          <w:ilvl w:val="0"/>
          <w:numId w:val="9"/>
        </w:numPr>
        <w:jc w:val="both"/>
        <w:rPr/>
      </w:pPr>
      <w:r>
        <w:rPr/>
        <w:t>Управление доступом: Используйте многофакторную аутентификацию и управляйте правами пользователей.</w:t>
      </w:r>
    </w:p>
    <w:p>
      <w:pPr>
        <w:pStyle w:val="1"/>
        <w:numPr>
          <w:ilvl w:val="0"/>
          <w:numId w:val="9"/>
        </w:numPr>
        <w:jc w:val="both"/>
        <w:rPr/>
      </w:pPr>
      <w:r>
        <w:rPr/>
        <w:t>Шифрование данных: Защищайте важные данные с помощью шифрования.</w:t>
      </w:r>
    </w:p>
    <w:p>
      <w:pPr>
        <w:pStyle w:val="1"/>
        <w:numPr>
          <w:ilvl w:val="0"/>
          <w:numId w:val="9"/>
        </w:numPr>
        <w:jc w:val="both"/>
        <w:rPr/>
      </w:pPr>
      <w:r>
        <w:rPr/>
        <w:t>Резервное копирование: Регулярно создавайте резервные копии данных и проводите тестирование на восстановление.</w:t>
      </w:r>
    </w:p>
    <w:p>
      <w:pPr>
        <w:pStyle w:val="1"/>
        <w:numPr>
          <w:ilvl w:val="0"/>
          <w:numId w:val="9"/>
        </w:numPr>
        <w:jc w:val="both"/>
        <w:rPr/>
      </w:pPr>
      <w:r>
        <w:rPr/>
        <w:t>Обучение сотрудников: Повышайте уровень осведомленности сотрудников о возможных угрозах и безопасных практиках.</w:t>
      </w:r>
    </w:p>
    <w:p>
      <w:pPr>
        <w:pStyle w:val="1"/>
        <w:jc w:val="both"/>
        <w:rPr/>
      </w:pPr>
      <w:r>
        <w:rPr/>
        <w:t>6. Аудит безопасности</w:t>
      </w:r>
    </w:p>
    <w:p>
      <w:pPr>
        <w:pStyle w:val="1"/>
        <w:jc w:val="both"/>
        <w:rPr/>
      </w:pPr>
      <w:r>
        <w:rPr/>
        <w:t>Аудит безопасности — это систематический процесс оценки уровня безопасности информационных систем и соответствия установленным политикам и стандартам. Он проводится с использованием множества методов, таких как:</w:t>
      </w:r>
    </w:p>
    <w:p>
      <w:pPr>
        <w:pStyle w:val="1"/>
        <w:numPr>
          <w:ilvl w:val="0"/>
          <w:numId w:val="7"/>
        </w:numPr>
        <w:jc w:val="both"/>
        <w:rPr/>
      </w:pPr>
      <w:r>
        <w:rPr/>
        <w:t>Интервью с ключевыми сотрудниками.</w:t>
      </w:r>
    </w:p>
    <w:p>
      <w:pPr>
        <w:pStyle w:val="1"/>
        <w:numPr>
          <w:ilvl w:val="0"/>
          <w:numId w:val="7"/>
        </w:numPr>
        <w:jc w:val="both"/>
        <w:rPr/>
      </w:pPr>
      <w:r>
        <w:rPr/>
        <w:t>Проверка документации: Анализ политик, процедур и отчетов.</w:t>
      </w:r>
    </w:p>
    <w:p>
      <w:pPr>
        <w:pStyle w:val="1"/>
        <w:numPr>
          <w:ilvl w:val="0"/>
          <w:numId w:val="7"/>
        </w:numPr>
        <w:jc w:val="both"/>
        <w:rPr/>
      </w:pPr>
      <w:r>
        <w:rPr/>
        <w:t>Тестирование систем: Проводится тестирование на уязвимости и оценка защищенности через пентесты.</w:t>
      </w:r>
    </w:p>
    <w:p>
      <w:pPr>
        <w:pStyle w:val="1"/>
        <w:numPr>
          <w:ilvl w:val="0"/>
          <w:numId w:val="7"/>
        </w:numPr>
        <w:jc w:val="both"/>
        <w:rPr/>
      </w:pPr>
      <w:r>
        <w:rPr/>
        <w:t>Сравнение с стандартами: Сравнение практик безопасности с принятыми стандартами (например, ISO, NIST).</w:t>
      </w:r>
    </w:p>
    <w:p>
      <w:pPr>
        <w:pStyle w:val="1"/>
        <w:jc w:val="both"/>
        <w:rPr/>
      </w:pPr>
      <w:r>
        <w:rPr/>
        <w:t>Результаты аудита, как правило, оформляются в виде отчета с рекомендациями по улучшению системы безопасности.</w:t>
      </w:r>
    </w:p>
    <w:p>
      <w:pPr>
        <w:pStyle w:val="1"/>
        <w:spacing w:lineRule="auto" w:line="360"/>
        <w:ind w:hanging="0"/>
        <w:jc w:val="both"/>
        <w:rPr>
          <w:b/>
        </w:rPr>
      </w:pPr>
      <w:r>
        <w:rPr>
          <w:b/>
          <w:bCs/>
        </w:rPr>
        <w:t xml:space="preserve">Вывод: </w:t>
      </w:r>
      <w:r>
        <w:rPr>
          <w:rFonts w:ascii="Times New Roman" w:hAnsi="Times New Roman"/>
          <w:b w:val="false"/>
          <w:bCs w:val="false"/>
        </w:rPr>
        <w:t xml:space="preserve">в ходе выполнения лабораторной работы: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 xml:space="preserve">эффективная политика безопасности фирмы основывается на комплексном подходе, который включает аудит информационных процессов, оценку рисков и разработку четких норм и правил для защиты конфиденциальной информации. Важными аспектами являются определение ролей и обязанностей сотрудников, применение принципа разумной достаточности при разработке мер безопасности и обеспечение регулярной проверки безопасности. Это позволит минимизировать риски угроз, повысить уровень защиты данных и создать культуру безопасности в организации. </w:t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Title"/>
    <w:next w:val="BodyText"/>
    <w:qFormat/>
    <w:pPr>
      <w:spacing w:before="140" w:after="120"/>
      <w:outlineLvl w:val="2"/>
    </w:pPr>
    <w:rPr>
      <w:rFonts w:ascii="Liberation Serif" w:hAnsi="Liberation Serif" w:eastAsia="Segoe UI"/>
      <w:b/>
      <w:bCs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5" w:customStyle="1">
    <w:name w:val="Символ нумерации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2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3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a0deb"/>
    <w:pPr>
      <w:suppressAutoHyphens w:val="false"/>
      <w:spacing w:beforeAutospacing="1" w:afterAutospacing="1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1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LibreOffice/24.2.5.2$Windows_X86_64 LibreOffice_project/bffef4ea93e59bebbeaf7f431bb02b1a39ee8a59</Application>
  <AppVersion>15.0000</AppVersion>
  <Pages>5</Pages>
  <Words>831</Words>
  <Characters>6187</Characters>
  <CharactersWithSpaces>6897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2024-09-28T14:41:37Z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