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11" w:type="dxa"/>
        <w:jc w:val="left"/>
        <w:tblInd w:w="10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242"/>
        <w:gridCol w:w="7368"/>
      </w:tblGrid>
      <w:tr>
        <w:trPr>
          <w:trHeight w:val="285" w:hRule="atLeast"/>
        </w:trPr>
        <w:tc>
          <w:tcPr>
            <w:tcW w:w="2242" w:type="dxa"/>
            <w:tcBorders/>
            <w:shd w:color="auto" w:fill="auto" w:val="clear"/>
          </w:tcPr>
          <w:p>
            <w:pPr>
              <w:pStyle w:val="Normal"/>
              <w:snapToGrid w:val="false"/>
              <w:jc w:val="both"/>
              <w:rPr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114425" cy="1076325"/>
                  <wp:effectExtent l="0" t="0" r="0" b="0"/>
                  <wp:wrapSquare wrapText="bothSides"/>
                  <wp:docPr id="1" name="Рисунок 2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68" w:type="dxa"/>
            <w:tcBorders/>
            <w:shd w:color="auto" w:fill="auto" w:val="clear"/>
          </w:tcPr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агентство по рыболовству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Федеральное государственное бюджетное образовательное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учреждение высшего образования</w:t>
            </w:r>
          </w:p>
          <w:p>
            <w:pPr>
              <w:pStyle w:val="Normal"/>
              <w:ind w:left="-252"/>
              <w:jc w:val="center"/>
              <w:rPr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«Астраханский государственный технический университет»</w:t>
            </w:r>
          </w:p>
          <w:p>
            <w:pPr>
              <w:pStyle w:val="Normal"/>
              <w:ind w:left="-252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Система менеджмента качества в области образования, воспитания, науки и инноваций</w:t>
            </w:r>
          </w:p>
          <w:p>
            <w:pPr>
              <w:pStyle w:val="Normal"/>
              <w:shd w:val="clear" w:color="auto" w:fill="FFFFFF"/>
              <w:jc w:val="center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ООО «ДКС РУС» по международному стандарту ISO 9001:2015</w:t>
            </w:r>
          </w:p>
          <w:p>
            <w:pPr>
              <w:pStyle w:val="Normal"/>
              <w:ind w:left="-252"/>
              <w:jc w:val="center"/>
              <w:rPr>
                <w:b/>
                <w:i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</w:r>
          </w:p>
        </w:tc>
      </w:tr>
    </w:tbl>
    <w:p>
      <w:pPr>
        <w:pStyle w:val="Title"/>
        <w:widowControl w:val="false"/>
        <w:tabs>
          <w:tab w:val="clear" w:pos="708"/>
          <w:tab w:val="left" w:pos="5620" w:leader="none"/>
        </w:tabs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ИНСТИТУТ ИНФОРМАЦИОННЫХ ТЕХНОЛОГИЙ И КОММУНИКАЦИЙ</w:t>
      </w:r>
    </w:p>
    <w:p>
      <w:pPr>
        <w:pStyle w:val="Normal"/>
        <w:widowControl w:val="false"/>
        <w:spacing w:lineRule="auto" w:line="36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КАФЕДРА АВТОМАТИЗИРОВАННЫХ СИСТЕМ ОБРАБОТКИ ИНФОРМАЦИИ И УПРАВЛЕНИЯ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both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 xml:space="preserve">ОРГАНИЗАЦИОННЫЕ МЕТОДЫ </w:t>
      </w:r>
    </w:p>
    <w:p>
      <w:pPr>
        <w:pStyle w:val="Title"/>
        <w:tabs>
          <w:tab w:val="clear" w:pos="708"/>
          <w:tab w:val="left" w:pos="5620" w:leader="none"/>
        </w:tabs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cs="Times New Roman" w:ascii="Times New Roman" w:hAnsi="Times New Roman"/>
          <w:b/>
          <w:sz w:val="32"/>
          <w:szCs w:val="32"/>
          <w:u w:val="single"/>
        </w:rPr>
        <w:t>ЗАЩИТЫ ИНФОРМАЦИИ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>(</w:t>
      </w:r>
      <w:r>
        <w:rPr>
          <w:i/>
          <w:lang w:eastAsia="ar-SA"/>
        </w:rPr>
        <w:t>наименование дисциплины</w:t>
      </w:r>
      <w:r>
        <w:rPr>
          <w:lang w:eastAsia="ar-SA"/>
        </w:rPr>
        <w:t>)</w:t>
      </w:r>
    </w:p>
    <w:p>
      <w:pPr>
        <w:pStyle w:val="BodyText"/>
        <w:tabs>
          <w:tab w:val="clear" w:pos="708"/>
          <w:tab w:val="left" w:pos="5508" w:leader="none"/>
        </w:tabs>
        <w:ind w:left="108"/>
        <w:rPr/>
      </w:pPr>
      <w:r>
        <w:rPr/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cs="Times New Roman" w:ascii="Times New Roman" w:hAnsi="Times New Roman"/>
          <w:b/>
          <w:sz w:val="48"/>
          <w:szCs w:val="48"/>
        </w:rPr>
        <w:t>ОТЧЕТ</w:t>
      </w:r>
    </w:p>
    <w:p>
      <w:pPr>
        <w:pStyle w:val="BodyText"/>
        <w:jc w:val="center"/>
        <w:rPr>
          <w:u w:val="single"/>
          <w:lang w:eastAsia="ar-SA"/>
        </w:rPr>
      </w:pPr>
      <w:r>
        <w:rPr>
          <w:lang w:eastAsia="ar-SA"/>
        </w:rPr>
        <w:t>о выполнении заданий к лабораторной работе №</w:t>
      </w:r>
      <w:r>
        <w:rPr>
          <w:u w:val="single"/>
          <w:lang w:val="en-US" w:eastAsia="ar-SA"/>
        </w:rPr>
        <w:t>5</w:t>
      </w:r>
    </w:p>
    <w:p>
      <w:pPr>
        <w:pStyle w:val="Normal"/>
        <w:jc w:val="center"/>
        <w:rPr>
          <w:b/>
          <w:u w:val="single"/>
        </w:rPr>
      </w:pPr>
      <w:r>
        <w:rPr>
          <w:b/>
          <w:bCs/>
          <w:u w:val="single"/>
          <w:lang w:eastAsia="ar-SA"/>
        </w:rPr>
        <w:t>«</w:t>
      </w:r>
      <w:r>
        <w:rPr>
          <w:rFonts w:cs="Times New Roman"/>
          <w:b/>
          <w:bCs/>
          <w:u w:val="single"/>
          <w:lang w:eastAsia="ar-SA"/>
        </w:rPr>
        <w:t xml:space="preserve">МИНИМИЗАЦИЯ РИСКА </w:t>
      </w:r>
    </w:p>
    <w:p>
      <w:pPr>
        <w:pStyle w:val="Normal"/>
        <w:jc w:val="center"/>
        <w:rPr>
          <w:b/>
          <w:u w:val="single"/>
        </w:rPr>
      </w:pPr>
      <w:r>
        <w:rPr>
          <w:rFonts w:cs="Times New Roman"/>
          <w:b/>
          <w:bCs/>
          <w:u w:val="single"/>
          <w:lang w:eastAsia="ar-SA"/>
        </w:rPr>
        <w:t>И ЗАЩИТА ИНФОРМАЦИИ ПРИ СОВЕРШЕНИИ СДЕЛОК</w:t>
      </w:r>
      <w:r>
        <w:rPr>
          <w:b/>
          <w:bCs/>
          <w:u w:val="single"/>
          <w:lang w:eastAsia="ar-SA"/>
        </w:rPr>
        <w:t>»</w:t>
      </w:r>
    </w:p>
    <w:p>
      <w:pPr>
        <w:pStyle w:val="BodyText"/>
        <w:jc w:val="center"/>
        <w:rPr>
          <w:i/>
          <w:i/>
          <w:lang w:eastAsia="ar-SA"/>
        </w:rPr>
      </w:pPr>
      <w:r>
        <w:rPr>
          <w:i/>
          <w:lang w:eastAsia="ar-SA"/>
        </w:rPr>
        <w:t>(название лабораторной работы)</w:t>
      </w:r>
    </w:p>
    <w:p>
      <w:pPr>
        <w:pStyle w:val="BodyText"/>
        <w:jc w:val="center"/>
        <w:rPr>
          <w:lang w:eastAsia="ar-SA"/>
        </w:rPr>
      </w:pPr>
      <w:r>
        <w:rPr>
          <w:lang w:eastAsia="ar-SA"/>
        </w:rPr>
        <w:t xml:space="preserve"> </w:t>
      </w:r>
    </w:p>
    <w:p>
      <w:pPr>
        <w:pStyle w:val="Title"/>
        <w:tabs>
          <w:tab w:val="clear" w:pos="708"/>
          <w:tab w:val="left" w:pos="3220" w:leader="none"/>
        </w:tabs>
        <w:spacing w:before="0"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32"/>
          <w:szCs w:val="32"/>
        </w:rPr>
        <w:t xml:space="preserve">                               </w:t>
      </w:r>
    </w:p>
    <w:tbl>
      <w:tblPr>
        <w:tblW w:w="9709" w:type="dxa"/>
        <w:jc w:val="left"/>
        <w:tblInd w:w="8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238"/>
        <w:gridCol w:w="4470"/>
      </w:tblGrid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Выполнила: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студент гр. ДИНРБ-41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___________________Кузургалиев Р.А.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«____»___________2024 г.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Максимальное количеству баллов _____</w:t>
            </w:r>
          </w:p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ЗАЩИЩЕНО:</w:t>
            </w:r>
          </w:p>
          <w:p>
            <w:pPr>
              <w:pStyle w:val="Title"/>
              <w:snapToGrid w:val="false"/>
              <w:spacing w:before="0" w:after="0"/>
              <w:jc w:val="both"/>
              <w:rPr/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Получено баллов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  <w:u w:val="single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bCs/>
                <w:sz w:val="24"/>
                <w:u w:val="single"/>
              </w:rPr>
              <w:t>_______Сахипова Ж.Ш.</w:t>
            </w:r>
          </w:p>
        </w:tc>
      </w:tr>
      <w:tr>
        <w:trPr>
          <w:trHeight w:val="340" w:hRule="atLeast"/>
        </w:trPr>
        <w:tc>
          <w:tcPr>
            <w:tcW w:w="5238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</w:r>
          </w:p>
        </w:tc>
        <w:tc>
          <w:tcPr>
            <w:tcW w:w="4470" w:type="dxa"/>
            <w:tcBorders/>
            <w:shd w:color="auto" w:fill="auto" w:val="clear"/>
          </w:tcPr>
          <w:p>
            <w:pPr>
              <w:pStyle w:val="Title"/>
              <w:snapToGrid w:val="false"/>
              <w:spacing w:before="0" w:after="0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cs="Times New Roman" w:ascii="Times New Roman" w:hAnsi="Times New Roman"/>
                <w:bCs/>
                <w:sz w:val="24"/>
              </w:rPr>
              <w:t>«____»____________2024 г.</w:t>
            </w:r>
          </w:p>
        </w:tc>
      </w:tr>
    </w:tbl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  <w:lang w:val="en-US"/>
        </w:rPr>
      </w:pPr>
      <w:r>
        <w:rPr>
          <w:b/>
          <w:lang w:val="en-US"/>
        </w:rPr>
      </w:r>
    </w:p>
    <w:p>
      <w:pPr>
        <w:pStyle w:val="1"/>
        <w:ind w:hanging="0"/>
        <w:jc w:val="center"/>
        <w:rPr>
          <w:b/>
        </w:rPr>
      </w:pPr>
      <w:r>
        <w:rPr>
          <w:b/>
        </w:rPr>
        <w:t>Астрахань – 2024</w:t>
      </w:r>
    </w:p>
    <w:p>
      <w:pPr>
        <w:pStyle w:val="Normal"/>
        <w:spacing w:lineRule="auto" w:line="360"/>
        <w:jc w:val="center"/>
        <w:rPr/>
      </w:pPr>
      <w:r>
        <w:rPr>
          <w:b/>
          <w:u w:val="single"/>
        </w:rPr>
        <w:t>Лабораторная работа №</w:t>
      </w:r>
      <w:r>
        <w:rPr>
          <w:b/>
          <w:u w:val="single"/>
          <w:lang w:val="en-US"/>
        </w:rPr>
        <w:t>5</w:t>
      </w:r>
      <w:r>
        <w:rPr>
          <w:b/>
          <w:u w:val="single"/>
        </w:rPr>
        <w:t xml:space="preserve"> «МИНИМИЗАЦИЯ РИСКА </w:t>
      </w:r>
    </w:p>
    <w:p>
      <w:pPr>
        <w:pStyle w:val="Normal"/>
        <w:spacing w:lineRule="auto" w:line="360"/>
        <w:jc w:val="center"/>
        <w:rPr/>
      </w:pPr>
      <w:r>
        <w:rPr>
          <w:b/>
          <w:u w:val="single"/>
        </w:rPr>
        <w:t>И ЗАЩИТА ИНФОРМАЦИИ ПРИ СОВЕРШЕНИИ СДЕЛОК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Исходные данные для проведения работы</w:t>
      </w:r>
    </w:p>
    <w:p>
      <w:pPr>
        <w:pStyle w:val="Normal"/>
        <w:spacing w:lineRule="auto" w:line="360"/>
        <w:jc w:val="both"/>
        <w:rPr/>
      </w:pPr>
      <w:r>
        <w:rPr/>
        <w:t>1. Условия работы фирмы:</w:t>
      </w:r>
    </w:p>
    <w:p>
      <w:pPr>
        <w:pStyle w:val="Normal"/>
        <w:spacing w:lineRule="auto" w:line="360"/>
        <w:jc w:val="both"/>
        <w:rPr/>
      </w:pPr>
      <w:r>
        <w:rPr/>
        <w:t>Название: "ИнноваТек"</w:t>
      </w:r>
    </w:p>
    <w:p>
      <w:pPr>
        <w:pStyle w:val="Normal"/>
        <w:spacing w:lineRule="auto" w:line="360"/>
        <w:jc w:val="both"/>
        <w:rPr/>
      </w:pPr>
      <w:r>
        <w:rPr/>
        <w:t>Вид деятельности: Разработка программного обеспечения</w:t>
      </w:r>
    </w:p>
    <w:p>
      <w:pPr>
        <w:pStyle w:val="Normal"/>
        <w:spacing w:lineRule="auto" w:line="360"/>
        <w:jc w:val="both"/>
        <w:rPr/>
      </w:pPr>
      <w:r>
        <w:rPr/>
        <w:t>Область деятельности: IT-услуги для бизнеса, включая создание программного обеспечения на заказ и хранилище данных.</w:t>
      </w:r>
    </w:p>
    <w:p>
      <w:pPr>
        <w:pStyle w:val="Normal"/>
        <w:spacing w:lineRule="auto" w:line="360"/>
        <w:jc w:val="both"/>
        <w:rPr/>
      </w:pPr>
      <w:r>
        <w:rPr/>
        <w:t>.2. Ваша фирма собирается совершить коммерческую сделку (по выбору):</w:t>
      </w:r>
    </w:p>
    <w:p>
      <w:pPr>
        <w:pStyle w:val="Normal"/>
        <w:spacing w:lineRule="auto" w:line="360"/>
        <w:jc w:val="both"/>
        <w:rPr/>
      </w:pPr>
      <w:r>
        <w:rPr/>
        <w:t>- купля; - продажа; - участие в совместной разработке или производстве продукции; - вложение инвестиций в производство или в ценные бумаги.</w:t>
      </w:r>
    </w:p>
    <w:p>
      <w:pPr>
        <w:pStyle w:val="Normal"/>
        <w:spacing w:lineRule="auto" w:line="360"/>
        <w:jc w:val="both"/>
        <w:rPr/>
      </w:pPr>
      <w:r>
        <w:rPr/>
        <w:t>3. Процесс заключения сделки включает следующие этапы:</w:t>
      </w:r>
    </w:p>
    <w:p>
      <w:pPr>
        <w:pStyle w:val="Normal"/>
        <w:spacing w:lineRule="auto" w:line="360"/>
        <w:jc w:val="both"/>
        <w:rPr/>
      </w:pPr>
      <w:r>
        <w:rPr/>
        <w:t>- проведение переговоров;</w:t>
      </w:r>
    </w:p>
    <w:p>
      <w:pPr>
        <w:pStyle w:val="Normal"/>
        <w:spacing w:lineRule="auto" w:line="360"/>
        <w:jc w:val="both"/>
        <w:rPr/>
      </w:pPr>
      <w:r>
        <w:rPr/>
        <w:t>- анализ и оценку риска данной сделки;</w:t>
      </w:r>
    </w:p>
    <w:p>
      <w:pPr>
        <w:pStyle w:val="Normal"/>
        <w:spacing w:lineRule="auto" w:line="360"/>
        <w:jc w:val="both"/>
        <w:rPr/>
      </w:pPr>
      <w:r>
        <w:rPr/>
        <w:t>- выбор партнера;- минимизацию риска;</w:t>
      </w:r>
    </w:p>
    <w:p>
      <w:pPr>
        <w:pStyle w:val="Normal"/>
        <w:spacing w:lineRule="auto" w:line="360"/>
        <w:jc w:val="both"/>
        <w:rPr/>
      </w:pPr>
      <w:r>
        <w:rPr/>
        <w:t>- документальное подтверждение сделки;</w:t>
      </w:r>
    </w:p>
    <w:p>
      <w:pPr>
        <w:pStyle w:val="Normal"/>
        <w:spacing w:lineRule="auto" w:line="360"/>
        <w:jc w:val="both"/>
        <w:rPr/>
      </w:pPr>
      <w:r>
        <w:rPr/>
        <w:t>- обеспечение конфиденциальности переговоров (документоборота) и защиту своей коммерческой тайны в процессе совершения сделки.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Задание</w:t>
      </w:r>
    </w:p>
    <w:p>
      <w:pPr>
        <w:pStyle w:val="Normal"/>
        <w:spacing w:lineRule="auto" w:line="360"/>
        <w:jc w:val="both"/>
        <w:rPr/>
      </w:pPr>
      <w:r>
        <w:rPr/>
        <w:t>1. Составьте план телефонного разговора с руководителем фирмы – предполагаемым партнером по сделке (цель, кому, когда, документация, использование тех. средств).</w:t>
      </w:r>
    </w:p>
    <w:p>
      <w:pPr>
        <w:pStyle w:val="Normal"/>
        <w:spacing w:lineRule="auto" w:line="360"/>
        <w:jc w:val="both"/>
        <w:rPr/>
      </w:pPr>
      <w:r>
        <w:rPr/>
        <w:t>2. Проведите анализ и дайте количественную оценку степени риска предстоящей сделки.</w:t>
      </w:r>
    </w:p>
    <w:p>
      <w:pPr>
        <w:pStyle w:val="Normal"/>
        <w:spacing w:lineRule="auto" w:line="360"/>
        <w:jc w:val="both"/>
        <w:rPr/>
      </w:pPr>
      <w:r>
        <w:rPr/>
        <w:t>3. Укажите действия по минимизации риска.</w:t>
      </w:r>
    </w:p>
    <w:p>
      <w:pPr>
        <w:pStyle w:val="Normal"/>
        <w:spacing w:lineRule="auto" w:line="360"/>
        <w:jc w:val="both"/>
        <w:rPr/>
      </w:pPr>
      <w:r>
        <w:rPr/>
        <w:t>4. Каковы будут Ваши действия на всех этапах совершения сделки по снижению предпринимательского риска, обеспечению конфиденциальности переговоров и защите Вашей КТ.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Ход работы: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1. План телефонного разговора с руководителем фирмы-партнера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/>
          <w:bCs/>
        </w:rPr>
        <w:t>Цель разговора:</w:t>
      </w:r>
      <w:r>
        <w:rPr>
          <w:b w:val="false"/>
          <w:bCs w:val="false"/>
        </w:rPr>
        <w:t xml:space="preserve"> Обсудить возможное сотрудничество в области разработки программного обеспечения.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/>
          <w:bCs/>
        </w:rPr>
        <w:t>Кому:</w:t>
      </w:r>
      <w:r>
        <w:rPr>
          <w:b w:val="false"/>
          <w:bCs w:val="false"/>
        </w:rPr>
        <w:t xml:space="preserve"> Руководителю фирмы-партнера.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/>
          <w:bCs/>
        </w:rPr>
        <w:t>Когда</w:t>
      </w:r>
      <w:r>
        <w:rPr>
          <w:b w:val="false"/>
          <w:bCs w:val="false"/>
        </w:rPr>
        <w:t>: Завтра в 10:00 по московскому времени.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Документация:</w:t>
      </w:r>
    </w:p>
    <w:p>
      <w:pPr>
        <w:pStyle w:val="1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Предварительный договор</w:t>
      </w:r>
    </w:p>
    <w:p>
      <w:pPr>
        <w:pStyle w:val="1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Обсуждение условий (проект, сроки, и бюджет)</w:t>
      </w:r>
    </w:p>
    <w:p>
      <w:pPr>
        <w:pStyle w:val="1"/>
        <w:numPr>
          <w:ilvl w:val="0"/>
          <w:numId w:val="13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Анкета для оценки партнера (если применимо)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Использование тех. средств:</w:t>
      </w:r>
    </w:p>
    <w:p>
      <w:pPr>
        <w:pStyle w:val="1"/>
        <w:numPr>
          <w:ilvl w:val="0"/>
          <w:numId w:val="14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Телефон (или видеозвонок через Zoom/Skype).</w:t>
      </w:r>
    </w:p>
    <w:p>
      <w:pPr>
        <w:pStyle w:val="1"/>
        <w:numPr>
          <w:ilvl w:val="0"/>
          <w:numId w:val="14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Презентация на экране (если видео).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2. Анализ и количественная оценка степени риска сделки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Риски сделки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Финансовые риски:</w:t>
      </w:r>
    </w:p>
    <w:p>
      <w:pPr>
        <w:pStyle w:val="1"/>
        <w:numPr>
          <w:ilvl w:val="0"/>
          <w:numId w:val="15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Невыполнение обязательств (например, задержка платежей).</w:t>
      </w:r>
    </w:p>
    <w:p>
      <w:pPr>
        <w:pStyle w:val="1"/>
        <w:numPr>
          <w:ilvl w:val="0"/>
          <w:numId w:val="15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Оценка: 6/10.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Риски производственного процесса:</w:t>
      </w:r>
    </w:p>
    <w:p>
      <w:pPr>
        <w:pStyle w:val="1"/>
        <w:numPr>
          <w:ilvl w:val="0"/>
          <w:numId w:val="1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Упущение сроков или качества разработки.</w:t>
      </w:r>
    </w:p>
    <w:p>
      <w:pPr>
        <w:pStyle w:val="1"/>
        <w:numPr>
          <w:ilvl w:val="0"/>
          <w:numId w:val="16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Оценка: 5/10.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Риски в области интеллектуальной собственности:</w:t>
      </w:r>
    </w:p>
    <w:p>
      <w:pPr>
        <w:pStyle w:val="1"/>
        <w:numPr>
          <w:ilvl w:val="0"/>
          <w:numId w:val="17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Возможное нарушение прав.</w:t>
      </w:r>
    </w:p>
    <w:p>
      <w:pPr>
        <w:pStyle w:val="1"/>
        <w:numPr>
          <w:ilvl w:val="0"/>
          <w:numId w:val="17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Оценка: 7/10.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Контрагентские риски:</w:t>
      </w:r>
    </w:p>
    <w:p>
      <w:pPr>
        <w:pStyle w:val="1"/>
        <w:numPr>
          <w:ilvl w:val="0"/>
          <w:numId w:val="18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Недостаточная репутация партнера.</w:t>
      </w:r>
    </w:p>
    <w:p>
      <w:pPr>
        <w:pStyle w:val="1"/>
        <w:numPr>
          <w:ilvl w:val="0"/>
          <w:numId w:val="18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Оценка: 6/10.</w:t>
      </w:r>
    </w:p>
    <w:p>
      <w:pPr>
        <w:pStyle w:val="1"/>
        <w:numPr>
          <w:ilvl w:val="0"/>
          <w:numId w:val="18"/>
        </w:numPr>
        <w:spacing w:lineRule="auto" w:line="360"/>
        <w:jc w:val="both"/>
        <w:rPr>
          <w:b w:val="false"/>
          <w:bCs w:val="false"/>
        </w:rPr>
      </w:pPr>
      <w:r>
        <w:rPr>
          <w:b w:val="false"/>
          <w:bCs w:val="false"/>
        </w:rPr>
        <w:t>Общая оценка риска: 6/10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3. Действия по минимизации риска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Финансовые риски:</w:t>
      </w:r>
    </w:p>
    <w:p>
      <w:pPr>
        <w:pStyle w:val="1"/>
        <w:numPr>
          <w:ilvl w:val="0"/>
          <w:numId w:val="9"/>
        </w:numPr>
        <w:spacing w:lineRule="auto" w:line="360"/>
        <w:jc w:val="both"/>
        <w:rPr/>
      </w:pPr>
      <w:r>
        <w:rPr>
          <w:b w:val="false"/>
          <w:bCs w:val="false"/>
        </w:rPr>
        <w:t>Использование предоплаты или этапных платежей при выполнении заданий.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Производственные риски:</w:t>
      </w:r>
    </w:p>
    <w:p>
      <w:pPr>
        <w:pStyle w:val="1"/>
        <w:numPr>
          <w:ilvl w:val="0"/>
          <w:numId w:val="10"/>
        </w:numPr>
        <w:spacing w:lineRule="auto" w:line="360"/>
        <w:jc w:val="both"/>
        <w:rPr/>
      </w:pPr>
      <w:r>
        <w:rPr>
          <w:b w:val="false"/>
          <w:bCs w:val="false"/>
        </w:rPr>
        <w:t>Применение системы управления проектами с регулярными отчетами и контрольными точками.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Риски интеллектуальной собственности:</w:t>
      </w:r>
    </w:p>
    <w:p>
      <w:pPr>
        <w:pStyle w:val="1"/>
        <w:numPr>
          <w:ilvl w:val="0"/>
          <w:numId w:val="11"/>
        </w:numPr>
        <w:spacing w:lineRule="auto" w:line="360"/>
        <w:jc w:val="both"/>
        <w:rPr/>
      </w:pPr>
      <w:r>
        <w:rPr>
          <w:b w:val="false"/>
          <w:bCs w:val="false"/>
        </w:rPr>
        <w:t>Проработка и включение в контракт положения о защите интеллектуальной собственности.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Контрагентские риски:</w:t>
      </w:r>
    </w:p>
    <w:p>
      <w:pPr>
        <w:pStyle w:val="1"/>
        <w:numPr>
          <w:ilvl w:val="0"/>
          <w:numId w:val="12"/>
        </w:numPr>
        <w:spacing w:lineRule="auto" w:line="360"/>
        <w:jc w:val="both"/>
        <w:rPr/>
      </w:pPr>
      <w:r>
        <w:rPr>
          <w:b w:val="false"/>
          <w:bCs w:val="false"/>
        </w:rPr>
        <w:t>Проведение детального анализа репутации партнера и рассмотрение его портфолио.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4. Действия по снижению предпринимательского риска, обеспечению конфиденциальности и защите КТ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На всех этапах сделки: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Проведение переговоров:</w:t>
      </w:r>
    </w:p>
    <w:p>
      <w:pPr>
        <w:pStyle w:val="1"/>
        <w:numPr>
          <w:ilvl w:val="0"/>
          <w:numId w:val="8"/>
        </w:numPr>
        <w:spacing w:lineRule="auto" w:line="360"/>
        <w:jc w:val="both"/>
        <w:rPr/>
      </w:pPr>
      <w:r>
        <w:rPr>
          <w:b w:val="false"/>
          <w:bCs w:val="false"/>
        </w:rPr>
        <w:t>Использование соглашения о неразглашении.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Анализ и оценка риска:</w:t>
      </w:r>
    </w:p>
    <w:p>
      <w:pPr>
        <w:pStyle w:val="1"/>
        <w:numPr>
          <w:ilvl w:val="0"/>
          <w:numId w:val="7"/>
        </w:numPr>
        <w:spacing w:lineRule="auto" w:line="360"/>
        <w:jc w:val="both"/>
        <w:rPr/>
      </w:pPr>
      <w:r>
        <w:rPr>
          <w:b w:val="false"/>
          <w:bCs w:val="false"/>
        </w:rPr>
        <w:t>Организация независимого аудита финансового положения партнера.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Выбор партнера:</w:t>
      </w:r>
    </w:p>
    <w:p>
      <w:pPr>
        <w:pStyle w:val="1"/>
        <w:numPr>
          <w:ilvl w:val="0"/>
          <w:numId w:val="6"/>
        </w:numPr>
        <w:spacing w:lineRule="auto" w:line="360"/>
        <w:jc w:val="both"/>
        <w:rPr/>
      </w:pPr>
      <w:r>
        <w:rPr>
          <w:b w:val="false"/>
          <w:bCs w:val="false"/>
        </w:rPr>
        <w:t>Сравнительный анализ двух-трех кандидатов.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Минимизация риска:</w:t>
      </w:r>
    </w:p>
    <w:p>
      <w:pPr>
        <w:pStyle w:val="1"/>
        <w:numPr>
          <w:ilvl w:val="0"/>
          <w:numId w:val="5"/>
        </w:numPr>
        <w:spacing w:lineRule="auto" w:line="360"/>
        <w:jc w:val="both"/>
        <w:rPr/>
      </w:pPr>
      <w:r>
        <w:rPr>
          <w:b w:val="false"/>
          <w:bCs w:val="false"/>
        </w:rPr>
        <w:t>Подписание предварительных договоров и контрактов с четкими условиями.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Документальное подтверждение:</w:t>
      </w:r>
    </w:p>
    <w:p>
      <w:pPr>
        <w:pStyle w:val="1"/>
        <w:numPr>
          <w:ilvl w:val="0"/>
          <w:numId w:val="4"/>
        </w:numPr>
        <w:spacing w:lineRule="auto" w:line="360"/>
        <w:jc w:val="both"/>
        <w:rPr/>
      </w:pPr>
      <w:r>
        <w:rPr>
          <w:b w:val="false"/>
          <w:bCs w:val="false"/>
        </w:rPr>
        <w:t>Убедиться, что все документы заверены и подписаны сторонами.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Обеспечение конфиденциальности:</w:t>
      </w:r>
    </w:p>
    <w:p>
      <w:pPr>
        <w:pStyle w:val="1"/>
        <w:numPr>
          <w:ilvl w:val="0"/>
          <w:numId w:val="3"/>
        </w:numPr>
        <w:spacing w:lineRule="auto" w:line="360"/>
        <w:jc w:val="both"/>
        <w:rPr/>
      </w:pPr>
      <w:r>
        <w:rPr>
          <w:b w:val="false"/>
          <w:bCs w:val="false"/>
        </w:rPr>
        <w:t>Хранение всех документов в защищенных облаках или с использованием шифрования.</w:t>
      </w:r>
    </w:p>
    <w:p>
      <w:pPr>
        <w:pStyle w:val="1"/>
        <w:spacing w:lineRule="auto" w:line="360"/>
        <w:ind w:hanging="0"/>
        <w:jc w:val="both"/>
        <w:rPr>
          <w:b w:val="false"/>
          <w:bCs w:val="false"/>
        </w:rPr>
      </w:pPr>
      <w:r>
        <w:rPr>
          <w:b w:val="false"/>
          <w:bCs w:val="false"/>
        </w:rPr>
        <w:t>Защита КТ:</w:t>
      </w:r>
    </w:p>
    <w:p>
      <w:pPr>
        <w:pStyle w:val="1"/>
        <w:numPr>
          <w:ilvl w:val="0"/>
          <w:numId w:val="2"/>
        </w:numPr>
        <w:spacing w:lineRule="auto" w:line="360"/>
        <w:jc w:val="both"/>
        <w:rPr/>
      </w:pPr>
      <w:r>
        <w:rPr>
          <w:b w:val="false"/>
          <w:bCs w:val="false"/>
        </w:rPr>
        <w:t>Регулярные проверки и обновления системы безопасности данных.</w:t>
      </w:r>
    </w:p>
    <w:p>
      <w:pPr>
        <w:pStyle w:val="1"/>
        <w:spacing w:lineRule="auto" w:line="360"/>
        <w:ind w:hanging="0"/>
        <w:jc w:val="both"/>
        <w:rPr>
          <w:b/>
          <w:bCs/>
        </w:rPr>
      </w:pPr>
      <w:r>
        <w:rPr>
          <w:b/>
          <w:bCs/>
        </w:rPr>
        <w:t>Контрольные вопросы:</w:t>
      </w:r>
    </w:p>
    <w:p>
      <w:pPr>
        <w:pStyle w:val="1"/>
        <w:spacing w:lineRule="auto" w:line="360"/>
        <w:ind w:hanging="0"/>
        <w:jc w:val="both"/>
        <w:rPr/>
      </w:pPr>
      <w:r>
        <w:rPr/>
        <w:t>1. Порядок проведения секретных переговоров и совещаний</w:t>
      </w:r>
    </w:p>
    <w:p>
      <w:pPr>
        <w:pStyle w:val="1"/>
        <w:numPr>
          <w:ilvl w:val="0"/>
          <w:numId w:val="19"/>
        </w:numPr>
        <w:spacing w:lineRule="auto" w:line="360"/>
        <w:jc w:val="both"/>
        <w:rPr/>
      </w:pPr>
      <w:r>
        <w:rPr/>
        <w:t>Подготовка: определение целей, участников, формата и места проведения.</w:t>
      </w:r>
    </w:p>
    <w:p>
      <w:pPr>
        <w:pStyle w:val="1"/>
        <w:numPr>
          <w:ilvl w:val="0"/>
          <w:numId w:val="19"/>
        </w:numPr>
        <w:spacing w:lineRule="auto" w:line="360"/>
        <w:jc w:val="both"/>
        <w:rPr/>
      </w:pPr>
      <w:r>
        <w:rPr/>
        <w:t>Создание конфиденциальной атмосферы: ограничение доступа, использование кодов или шифров.</w:t>
      </w:r>
    </w:p>
    <w:p>
      <w:pPr>
        <w:pStyle w:val="1"/>
        <w:numPr>
          <w:ilvl w:val="0"/>
          <w:numId w:val="19"/>
        </w:numPr>
        <w:spacing w:lineRule="auto" w:line="360"/>
        <w:jc w:val="both"/>
        <w:rPr/>
      </w:pPr>
      <w:r>
        <w:rPr/>
        <w:t>Документация: ведение протоколов, ограничение возможности записи.</w:t>
      </w:r>
    </w:p>
    <w:p>
      <w:pPr>
        <w:pStyle w:val="1"/>
        <w:numPr>
          <w:ilvl w:val="0"/>
          <w:numId w:val="19"/>
        </w:numPr>
        <w:spacing w:lineRule="auto" w:line="360"/>
        <w:jc w:val="both"/>
        <w:rPr/>
      </w:pPr>
      <w:r>
        <w:rPr/>
        <w:t>Обсуждение: соблюдение оговоренных тем, строгое следование повестке.</w:t>
      </w:r>
    </w:p>
    <w:p>
      <w:pPr>
        <w:pStyle w:val="1"/>
        <w:numPr>
          <w:ilvl w:val="0"/>
          <w:numId w:val="19"/>
        </w:numPr>
        <w:spacing w:lineRule="auto" w:line="360"/>
        <w:jc w:val="both"/>
        <w:rPr/>
      </w:pPr>
      <w:r>
        <w:rPr/>
        <w:t>Заключение: подведение итогов, фиксирование действий, контроль за выполнением.</w:t>
      </w:r>
    </w:p>
    <w:p>
      <w:pPr>
        <w:pStyle w:val="1"/>
        <w:spacing w:lineRule="auto" w:line="360"/>
        <w:ind w:hanging="0"/>
        <w:jc w:val="both"/>
        <w:rPr/>
      </w:pPr>
      <w:r>
        <w:rPr/>
        <w:t>2. Соответствие помещений требованиям стандартов по безопасности информации</w:t>
      </w:r>
    </w:p>
    <w:p>
      <w:pPr>
        <w:pStyle w:val="1"/>
        <w:numPr>
          <w:ilvl w:val="0"/>
          <w:numId w:val="20"/>
        </w:numPr>
        <w:spacing w:lineRule="auto" w:line="360"/>
        <w:jc w:val="both"/>
        <w:rPr/>
      </w:pPr>
      <w:r>
        <w:rPr/>
        <w:t>Физическая безопасность: контроль доступа, видеонаблюдение, охрана помещений.</w:t>
      </w:r>
    </w:p>
    <w:p>
      <w:pPr>
        <w:pStyle w:val="1"/>
        <w:numPr>
          <w:ilvl w:val="0"/>
          <w:numId w:val="20"/>
        </w:numPr>
        <w:spacing w:lineRule="auto" w:line="360"/>
        <w:jc w:val="both"/>
        <w:rPr/>
      </w:pPr>
      <w:r>
        <w:rPr/>
        <w:t>Технические меры: системы сигнализации, специализированные мебель и оборудование для защиты информации.</w:t>
      </w:r>
    </w:p>
    <w:p>
      <w:pPr>
        <w:pStyle w:val="1"/>
        <w:numPr>
          <w:ilvl w:val="0"/>
          <w:numId w:val="20"/>
        </w:numPr>
        <w:spacing w:lineRule="auto" w:line="360"/>
        <w:jc w:val="both"/>
        <w:rPr/>
      </w:pPr>
      <w:r>
        <w:rPr/>
        <w:t>Идентификация: использование электронных пропусков, биометрическая идентификация.</w:t>
      </w:r>
    </w:p>
    <w:p>
      <w:pPr>
        <w:pStyle w:val="1"/>
        <w:numPr>
          <w:ilvl w:val="0"/>
          <w:numId w:val="20"/>
        </w:numPr>
        <w:spacing w:lineRule="auto" w:line="360"/>
        <w:jc w:val="both"/>
        <w:rPr/>
      </w:pPr>
      <w:r>
        <w:rPr/>
        <w:t>Обучение персонала: повышение уровня осведомленности о безопасности информации.</w:t>
      </w:r>
    </w:p>
    <w:p>
      <w:pPr>
        <w:pStyle w:val="1"/>
        <w:spacing w:lineRule="auto" w:line="360"/>
        <w:ind w:hanging="0"/>
        <w:jc w:val="both"/>
        <w:rPr/>
      </w:pPr>
      <w:r>
        <w:rPr/>
        <w:t>3. Действия при выборе делового партнера</w:t>
      </w:r>
    </w:p>
    <w:p>
      <w:pPr>
        <w:pStyle w:val="1"/>
        <w:numPr>
          <w:ilvl w:val="0"/>
          <w:numId w:val="21"/>
        </w:numPr>
        <w:spacing w:lineRule="auto" w:line="360"/>
        <w:jc w:val="both"/>
        <w:rPr/>
      </w:pPr>
      <w:r>
        <w:rPr/>
        <w:t>Анализ рынка: изучение репутации и опыта компании.</w:t>
      </w:r>
    </w:p>
    <w:p>
      <w:pPr>
        <w:pStyle w:val="1"/>
        <w:numPr>
          <w:ilvl w:val="0"/>
          <w:numId w:val="21"/>
        </w:numPr>
        <w:spacing w:lineRule="auto" w:line="360"/>
        <w:jc w:val="both"/>
        <w:rPr/>
      </w:pPr>
      <w:r>
        <w:rPr/>
        <w:t>Проверка финансов: анализ финансовой отчетности.</w:t>
      </w:r>
    </w:p>
    <w:p>
      <w:pPr>
        <w:pStyle w:val="1"/>
        <w:numPr>
          <w:ilvl w:val="0"/>
          <w:numId w:val="21"/>
        </w:numPr>
        <w:spacing w:lineRule="auto" w:line="360"/>
        <w:jc w:val="both"/>
        <w:rPr/>
      </w:pPr>
      <w:r>
        <w:rPr/>
        <w:t>Анализ стратегического соответствия: оценка совместимости бизнес-моделей.</w:t>
      </w:r>
    </w:p>
    <w:p>
      <w:pPr>
        <w:pStyle w:val="1"/>
        <w:numPr>
          <w:ilvl w:val="0"/>
          <w:numId w:val="21"/>
        </w:numPr>
        <w:spacing w:lineRule="auto" w:line="360"/>
        <w:jc w:val="both"/>
        <w:rPr/>
      </w:pPr>
      <w:r>
        <w:rPr/>
        <w:t>Оценка партнеров: сбор отзывов и рекомендаций от предыдущих партнеров.</w:t>
      </w:r>
    </w:p>
    <w:p>
      <w:pPr>
        <w:pStyle w:val="1"/>
        <w:spacing w:lineRule="auto" w:line="360"/>
        <w:ind w:hanging="0"/>
        <w:jc w:val="both"/>
        <w:rPr/>
      </w:pPr>
      <w:r>
        <w:rPr/>
        <w:t>4. Проверка достоверности информации о партнере</w:t>
      </w:r>
    </w:p>
    <w:p>
      <w:pPr>
        <w:pStyle w:val="1"/>
        <w:numPr>
          <w:ilvl w:val="0"/>
          <w:numId w:val="22"/>
        </w:numPr>
        <w:spacing w:lineRule="auto" w:line="360"/>
        <w:jc w:val="both"/>
        <w:rPr/>
      </w:pPr>
      <w:r>
        <w:rPr/>
        <w:t>Запрос и анализ документов: финансовые отчеты, лицензии и регистрации.</w:t>
      </w:r>
    </w:p>
    <w:p>
      <w:pPr>
        <w:pStyle w:val="1"/>
        <w:numPr>
          <w:ilvl w:val="0"/>
          <w:numId w:val="22"/>
        </w:numPr>
        <w:spacing w:lineRule="auto" w:line="360"/>
        <w:jc w:val="both"/>
        <w:rPr/>
      </w:pPr>
      <w:r>
        <w:rPr/>
        <w:t>Проверка через открытые источники: новости, публикации, специализированные базы данных.</w:t>
      </w:r>
    </w:p>
    <w:p>
      <w:pPr>
        <w:pStyle w:val="1"/>
        <w:numPr>
          <w:ilvl w:val="0"/>
          <w:numId w:val="22"/>
        </w:numPr>
        <w:spacing w:lineRule="auto" w:line="360"/>
        <w:jc w:val="both"/>
        <w:rPr/>
      </w:pPr>
      <w:r>
        <w:rPr/>
        <w:t>Обратная связь: коммуникация с другими партнерами или клиентами компании.</w:t>
      </w:r>
    </w:p>
    <w:p>
      <w:pPr>
        <w:pStyle w:val="1"/>
        <w:numPr>
          <w:ilvl w:val="0"/>
          <w:numId w:val="22"/>
        </w:numPr>
        <w:spacing w:lineRule="auto" w:line="360"/>
        <w:jc w:val="both"/>
        <w:rPr/>
      </w:pPr>
      <w:r>
        <w:rPr/>
        <w:t>Использование специализированных служб: рейтинговые агентства и исследовательские компании.</w:t>
      </w:r>
    </w:p>
    <w:p>
      <w:pPr>
        <w:pStyle w:val="1"/>
        <w:spacing w:lineRule="auto" w:line="360"/>
        <w:ind w:hanging="0"/>
        <w:jc w:val="both"/>
        <w:rPr/>
      </w:pPr>
      <w:r>
        <w:rPr/>
        <w:t>5. Виды рисков в предпринимательской деятельности</w:t>
      </w:r>
    </w:p>
    <w:p>
      <w:pPr>
        <w:pStyle w:val="1"/>
        <w:numPr>
          <w:ilvl w:val="0"/>
          <w:numId w:val="23"/>
        </w:numPr>
        <w:spacing w:lineRule="auto" w:line="360"/>
        <w:jc w:val="both"/>
        <w:rPr/>
      </w:pPr>
      <w:r>
        <w:rPr/>
        <w:t>Финансовые: неплатежеспособность, колебания валют.</w:t>
      </w:r>
    </w:p>
    <w:p>
      <w:pPr>
        <w:pStyle w:val="1"/>
        <w:numPr>
          <w:ilvl w:val="0"/>
          <w:numId w:val="23"/>
        </w:numPr>
        <w:spacing w:lineRule="auto" w:line="360"/>
        <w:jc w:val="both"/>
        <w:rPr/>
      </w:pPr>
      <w:r>
        <w:rPr/>
        <w:t>Операционные: сбои в бизнес-процессах, нарушения поставок.</w:t>
      </w:r>
    </w:p>
    <w:p>
      <w:pPr>
        <w:pStyle w:val="1"/>
        <w:numPr>
          <w:ilvl w:val="0"/>
          <w:numId w:val="23"/>
        </w:numPr>
        <w:spacing w:lineRule="auto" w:line="360"/>
        <w:jc w:val="both"/>
        <w:rPr/>
      </w:pPr>
      <w:r>
        <w:rPr/>
        <w:t>Рыночные: изменение спроса и предложения.</w:t>
      </w:r>
    </w:p>
    <w:p>
      <w:pPr>
        <w:pStyle w:val="1"/>
        <w:numPr>
          <w:ilvl w:val="0"/>
          <w:numId w:val="23"/>
        </w:numPr>
        <w:spacing w:lineRule="auto" w:line="360"/>
        <w:jc w:val="both"/>
        <w:rPr/>
      </w:pPr>
      <w:r>
        <w:rPr/>
        <w:t>Правовые: изменения в законодательствах, судебные разбирательства.</w:t>
      </w:r>
    </w:p>
    <w:p>
      <w:pPr>
        <w:pStyle w:val="1"/>
        <w:numPr>
          <w:ilvl w:val="0"/>
          <w:numId w:val="23"/>
        </w:numPr>
        <w:spacing w:lineRule="auto" w:line="360"/>
        <w:jc w:val="both"/>
        <w:rPr/>
      </w:pPr>
      <w:r>
        <w:rPr/>
        <w:t>Конкурентные: новые entrants, действия конкурентов.</w:t>
      </w:r>
    </w:p>
    <w:p>
      <w:pPr>
        <w:pStyle w:val="1"/>
        <w:spacing w:lineRule="auto" w:line="360"/>
        <w:ind w:hanging="0"/>
        <w:jc w:val="both"/>
        <w:rPr/>
      </w:pPr>
      <w:r>
        <w:rPr/>
        <w:t>6. Методы анализа риска</w:t>
      </w:r>
    </w:p>
    <w:p>
      <w:pPr>
        <w:pStyle w:val="1"/>
        <w:numPr>
          <w:ilvl w:val="0"/>
          <w:numId w:val="24"/>
        </w:numPr>
        <w:spacing w:lineRule="auto" w:line="360"/>
        <w:jc w:val="both"/>
        <w:rPr/>
      </w:pPr>
      <w:r>
        <w:rPr/>
        <w:t>Качественный анализ: мозговой штурм, SWOT-анализ.</w:t>
      </w:r>
    </w:p>
    <w:p>
      <w:pPr>
        <w:pStyle w:val="1"/>
        <w:numPr>
          <w:ilvl w:val="0"/>
          <w:numId w:val="24"/>
        </w:numPr>
        <w:spacing w:lineRule="auto" w:line="360"/>
        <w:jc w:val="both"/>
        <w:rPr/>
      </w:pPr>
      <w:r>
        <w:rPr/>
        <w:t>Количественный анализ: статистические методы, моделирование.</w:t>
      </w:r>
    </w:p>
    <w:p>
      <w:pPr>
        <w:pStyle w:val="1"/>
        <w:numPr>
          <w:ilvl w:val="0"/>
          <w:numId w:val="24"/>
        </w:numPr>
        <w:spacing w:lineRule="auto" w:line="360"/>
        <w:jc w:val="both"/>
        <w:rPr/>
      </w:pPr>
      <w:r>
        <w:rPr/>
        <w:t>Метод сценариев: оценка последствий различных будущих событий.</w:t>
      </w:r>
    </w:p>
    <w:p>
      <w:pPr>
        <w:pStyle w:val="1"/>
        <w:spacing w:lineRule="auto" w:line="360"/>
        <w:ind w:hanging="0"/>
        <w:jc w:val="both"/>
        <w:rPr/>
      </w:pPr>
      <w:r>
        <w:rPr/>
        <w:t>7. Определение коэффициента риска</w:t>
      </w:r>
    </w:p>
    <w:p>
      <w:pPr>
        <w:pStyle w:val="1"/>
        <w:spacing w:lineRule="auto" w:line="360"/>
        <w:ind w:hanging="0"/>
        <w:jc w:val="both"/>
        <w:rPr/>
      </w:pPr>
      <w:r>
        <w:rPr/>
        <w:t xml:space="preserve">Формула: </w:t>
      </w:r>
      <w:r>
        <w:rPr>
          <w:rFonts w:cs="Times New Roman"/>
        </w:rPr>
        <w:t>Kp = Уmax / C,</w:t>
      </w:r>
    </w:p>
    <w:p>
      <w:pPr>
        <w:pStyle w:val="1"/>
        <w:spacing w:lineRule="auto" w:line="360"/>
        <w:ind w:hanging="0"/>
        <w:jc w:val="both"/>
        <w:rPr/>
      </w:pPr>
      <w:r>
        <w:rPr/>
        <w:t>8. Средства минимизации рисков</w:t>
      </w:r>
    </w:p>
    <w:p>
      <w:pPr>
        <w:pStyle w:val="1"/>
        <w:numPr>
          <w:ilvl w:val="0"/>
          <w:numId w:val="25"/>
        </w:numPr>
        <w:spacing w:lineRule="auto" w:line="360"/>
        <w:jc w:val="both"/>
        <w:rPr/>
      </w:pPr>
      <w:r>
        <w:rPr/>
        <w:t>Финансовые: диверсификация активов, использование деривативов.</w:t>
      </w:r>
    </w:p>
    <w:p>
      <w:pPr>
        <w:pStyle w:val="1"/>
        <w:numPr>
          <w:ilvl w:val="0"/>
          <w:numId w:val="25"/>
        </w:numPr>
        <w:spacing w:lineRule="auto" w:line="360"/>
        <w:jc w:val="both"/>
        <w:rPr/>
      </w:pPr>
      <w:r>
        <w:rPr/>
        <w:t>Организационные: специализированные политики и процедуры.</w:t>
      </w:r>
    </w:p>
    <w:p>
      <w:pPr>
        <w:pStyle w:val="1"/>
        <w:numPr>
          <w:ilvl w:val="0"/>
          <w:numId w:val="25"/>
        </w:numPr>
        <w:spacing w:lineRule="auto" w:line="360"/>
        <w:jc w:val="both"/>
        <w:rPr/>
      </w:pPr>
      <w:r>
        <w:rPr/>
        <w:t>Правовые: контракты, соглашения о неразглашении, страхование.</w:t>
      </w:r>
    </w:p>
    <w:p>
      <w:pPr>
        <w:pStyle w:val="1"/>
        <w:numPr>
          <w:ilvl w:val="0"/>
          <w:numId w:val="25"/>
        </w:numPr>
        <w:spacing w:lineRule="auto" w:line="360"/>
        <w:jc w:val="both"/>
        <w:rPr/>
      </w:pPr>
      <w:r>
        <w:rPr/>
        <w:t>Технические: системы защиты информации, резервирование данных.</w:t>
      </w:r>
    </w:p>
    <w:p>
      <w:pPr>
        <w:pStyle w:val="1"/>
        <w:spacing w:lineRule="auto" w:line="360"/>
        <w:ind w:hanging="0"/>
        <w:jc w:val="both"/>
        <w:rPr/>
      </w:pPr>
      <w:r>
        <w:rPr/>
        <w:t>9. Приемы снижения степени риска</w:t>
      </w:r>
    </w:p>
    <w:p>
      <w:pPr>
        <w:pStyle w:val="1"/>
        <w:numPr>
          <w:ilvl w:val="0"/>
          <w:numId w:val="26"/>
        </w:numPr>
        <w:spacing w:lineRule="auto" w:line="360"/>
        <w:jc w:val="both"/>
        <w:rPr/>
      </w:pPr>
      <w:r>
        <w:rPr/>
        <w:t>Диверсификация: распределение инвестиций между разными активами.</w:t>
      </w:r>
    </w:p>
    <w:p>
      <w:pPr>
        <w:pStyle w:val="1"/>
        <w:numPr>
          <w:ilvl w:val="0"/>
          <w:numId w:val="26"/>
        </w:numPr>
        <w:spacing w:lineRule="auto" w:line="360"/>
        <w:jc w:val="both"/>
        <w:rPr/>
      </w:pPr>
      <w:r>
        <w:rPr/>
        <w:t>Хеджирование: использование финансовых инструментов для защиты от потерь.</w:t>
      </w:r>
    </w:p>
    <w:p>
      <w:pPr>
        <w:pStyle w:val="1"/>
        <w:numPr>
          <w:ilvl w:val="0"/>
          <w:numId w:val="26"/>
        </w:numPr>
        <w:spacing w:lineRule="auto" w:line="360"/>
        <w:jc w:val="both"/>
        <w:rPr/>
      </w:pPr>
      <w:r>
        <w:rPr/>
        <w:t>Страхование: покрытие убытков по страховым полисам.</w:t>
      </w:r>
    </w:p>
    <w:p>
      <w:pPr>
        <w:pStyle w:val="1"/>
        <w:numPr>
          <w:ilvl w:val="0"/>
          <w:numId w:val="26"/>
        </w:numPr>
        <w:spacing w:lineRule="auto" w:line="360"/>
        <w:jc w:val="both"/>
        <w:rPr/>
      </w:pPr>
      <w:r>
        <w:rPr/>
        <w:t>Управление запасами: поддержание оптимального уровня запасов.</w:t>
      </w:r>
    </w:p>
    <w:p>
      <w:pPr>
        <w:pStyle w:val="1"/>
        <w:spacing w:lineRule="auto" w:line="360"/>
        <w:ind w:hanging="0"/>
        <w:jc w:val="both"/>
        <w:rPr/>
      </w:pPr>
      <w:r>
        <w:rPr/>
        <w:t>10. Диверсификация: концепция и виды</w:t>
      </w:r>
    </w:p>
    <w:p>
      <w:pPr>
        <w:pStyle w:val="1"/>
        <w:numPr>
          <w:ilvl w:val="0"/>
          <w:numId w:val="27"/>
        </w:numPr>
        <w:spacing w:lineRule="auto" w:line="360"/>
        <w:jc w:val="both"/>
        <w:rPr/>
      </w:pPr>
      <w:r>
        <w:rPr/>
        <w:t>Диверсификация: стратегия снижения рисков путем распределения активов.</w:t>
      </w:r>
    </w:p>
    <w:p>
      <w:pPr>
        <w:pStyle w:val="1"/>
        <w:numPr>
          <w:ilvl w:val="0"/>
          <w:numId w:val="27"/>
        </w:numPr>
        <w:spacing w:lineRule="auto" w:line="360"/>
        <w:jc w:val="both"/>
        <w:rPr/>
      </w:pPr>
      <w:r>
        <w:rPr/>
        <w:t>Концентрическая диверсификация: выход на новые рынки с продуктами, связанными с основным.</w:t>
      </w:r>
    </w:p>
    <w:p>
      <w:pPr>
        <w:pStyle w:val="1"/>
        <w:numPr>
          <w:ilvl w:val="0"/>
          <w:numId w:val="27"/>
        </w:numPr>
        <w:spacing w:lineRule="auto" w:line="360"/>
        <w:jc w:val="both"/>
        <w:rPr/>
      </w:pPr>
      <w:r>
        <w:rPr/>
        <w:t>Горизонтальная диверсификация: разработка новых, не связанных продуктов на существующем рынке.</w:t>
      </w:r>
    </w:p>
    <w:p>
      <w:pPr>
        <w:pStyle w:val="1"/>
        <w:spacing w:lineRule="auto" w:line="360"/>
        <w:ind w:hanging="0"/>
        <w:jc w:val="both"/>
        <w:rPr/>
      </w:pPr>
      <w:r>
        <w:rPr/>
        <w:t>11. Хеджирование</w:t>
      </w:r>
    </w:p>
    <w:p>
      <w:pPr>
        <w:pStyle w:val="1"/>
        <w:spacing w:lineRule="auto" w:line="360"/>
        <w:ind w:hanging="0"/>
        <w:jc w:val="both"/>
        <w:rPr/>
      </w:pPr>
      <w:r>
        <w:rPr/>
        <w:t>Стратегия защиты от ценовых колебаний или возможных убытков путем заключения противоположных сделок на финансовых рынках.</w:t>
      </w:r>
    </w:p>
    <w:p>
      <w:pPr>
        <w:pStyle w:val="1"/>
        <w:spacing w:lineRule="auto" w:line="360"/>
        <w:ind w:hanging="0"/>
        <w:jc w:val="both"/>
        <w:rPr/>
      </w:pPr>
      <w:r>
        <w:rPr/>
        <w:t>12. Страхование и самострахование</w:t>
      </w:r>
    </w:p>
    <w:p>
      <w:pPr>
        <w:pStyle w:val="1"/>
        <w:numPr>
          <w:ilvl w:val="0"/>
          <w:numId w:val="28"/>
        </w:numPr>
        <w:spacing w:lineRule="auto" w:line="360"/>
        <w:jc w:val="both"/>
        <w:rPr/>
      </w:pPr>
      <w:r>
        <w:rPr/>
        <w:t>Страхование: перераспределение рисков через страховые компании, которые покрывают убытки.</w:t>
      </w:r>
    </w:p>
    <w:p>
      <w:pPr>
        <w:pStyle w:val="1"/>
        <w:numPr>
          <w:ilvl w:val="0"/>
          <w:numId w:val="28"/>
        </w:numPr>
        <w:spacing w:lineRule="auto" w:line="360"/>
        <w:jc w:val="both"/>
        <w:rPr/>
      </w:pPr>
      <w:r>
        <w:rPr/>
        <w:t>Самострахование: создание резервов внутри компании для компенсации потенциальных убытков.</w:t>
      </w:r>
    </w:p>
    <w:p>
      <w:pPr>
        <w:pStyle w:val="1"/>
        <w:spacing w:lineRule="auto" w:line="360"/>
        <w:ind w:hanging="0"/>
        <w:jc w:val="both"/>
        <w:rPr/>
      </w:pPr>
      <w:r>
        <w:rPr/>
        <w:t>13. Прямой и косвенный убыток</w:t>
      </w:r>
    </w:p>
    <w:p>
      <w:pPr>
        <w:pStyle w:val="1"/>
        <w:numPr>
          <w:ilvl w:val="0"/>
          <w:numId w:val="29"/>
        </w:numPr>
        <w:spacing w:lineRule="auto" w:line="360"/>
        <w:jc w:val="both"/>
        <w:rPr/>
      </w:pPr>
      <w:r>
        <w:rPr/>
        <w:t>Прямой убыток: непосредственные потери, понесенные из-за неполучения доходов или активов.</w:t>
      </w:r>
    </w:p>
    <w:p>
      <w:pPr>
        <w:pStyle w:val="1"/>
        <w:numPr>
          <w:ilvl w:val="0"/>
          <w:numId w:val="29"/>
        </w:numPr>
        <w:spacing w:lineRule="auto" w:line="360"/>
        <w:jc w:val="both"/>
        <w:rPr/>
      </w:pPr>
      <w:r>
        <w:rPr/>
        <w:t>Косвенный убыток: убытки, возникшие из-за последствий, например, утрата репутации или рыночных позиций.</w:t>
      </w:r>
    </w:p>
    <w:p>
      <w:pPr>
        <w:pStyle w:val="1"/>
        <w:spacing w:lineRule="auto" w:line="360"/>
        <w:ind w:hanging="0"/>
        <w:jc w:val="both"/>
        <w:rPr>
          <w:b/>
        </w:rPr>
      </w:pPr>
      <w:r>
        <w:rPr>
          <w:b/>
          <w:bCs/>
        </w:rPr>
        <w:t xml:space="preserve">Вывод: </w:t>
      </w:r>
      <w:r>
        <w:rPr>
          <w:b w:val="false"/>
          <w:bCs w:val="false"/>
          <w:i w:val="false"/>
          <w:caps w:val="false"/>
          <w:smallCaps w:val="false"/>
          <w:color w:val="141718"/>
          <w:spacing w:val="0"/>
          <w:sz w:val="24"/>
        </w:rPr>
        <w:t>В ходе подготовки к проведению коммерческой сделки с потенциальным партнером, фирма "ИнноваТек" сформировала комплексный подход к управлению рисками, обеспечению конфиденциальности и защите своей коммерческой тайны. Разработка детального плана телефонного разговора, анализ степени риска и определение мер по его минимизации позволят избежать возможных негативных последствий и обеспечить стабильность бизнеса.</w:t>
      </w:r>
    </w:p>
    <w:p>
      <w:pPr>
        <w:pStyle w:val="1"/>
        <w:numPr>
          <w:ilvl w:val="0"/>
          <w:numId w:val="1"/>
        </w:numPr>
        <w:spacing w:lineRule="auto" w:line="36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141718"/>
          <w:spacing w:val="0"/>
          <w:sz w:val="24"/>
        </w:rPr>
        <w:t>Планирование и структура: Четкое планирование телефонного разговора с подготовленной документацией и использованием современных технологий даст возможность эффективно обсудить условия сделки.</w:t>
      </w:r>
    </w:p>
    <w:p>
      <w:pPr>
        <w:pStyle w:val="1"/>
        <w:numPr>
          <w:ilvl w:val="0"/>
          <w:numId w:val="1"/>
        </w:numPr>
        <w:spacing w:lineRule="auto" w:line="36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141718"/>
          <w:spacing w:val="0"/>
          <w:sz w:val="24"/>
        </w:rPr>
        <w:t>Анализ рисков: Оценка различных видов рисков (финансовых, производственных, интеллектуальных и контрагентских) и определение их количественной степени позволят заранее предугадать и предотвратить проблемы.</w:t>
      </w:r>
    </w:p>
    <w:p>
      <w:pPr>
        <w:pStyle w:val="1"/>
        <w:numPr>
          <w:ilvl w:val="0"/>
          <w:numId w:val="1"/>
        </w:numPr>
        <w:spacing w:lineRule="auto" w:line="360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141718"/>
          <w:spacing w:val="0"/>
          <w:sz w:val="24"/>
        </w:rPr>
        <w:t>Минимизация рисков: Реализация мер по минимизации рисков, включая предоплату, детали контрактов и использование договоров о неразглашении, создаст безопасную среду для ведения бизнеса.</w:t>
      </w:r>
    </w:p>
    <w:p>
      <w:pPr>
        <w:pStyle w:val="1"/>
        <w:numPr>
          <w:ilvl w:val="0"/>
          <w:numId w:val="1"/>
        </w:numPr>
        <w:spacing w:lineRule="auto" w:line="360"/>
        <w:jc w:val="both"/>
        <w:rPr>
          <w:b/>
        </w:rPr>
      </w:pPr>
      <w:r>
        <w:rPr>
          <w:b w:val="false"/>
          <w:bCs w:val="false"/>
          <w:i w:val="false"/>
          <w:caps w:val="false"/>
          <w:smallCaps w:val="false"/>
          <w:color w:val="141718"/>
          <w:spacing w:val="0"/>
          <w:sz w:val="24"/>
        </w:rPr>
        <w:t>Защита информации: Обеспечение конфиденциальности и защита коммерческой тайны через высокие стандарты безопасности данных станет залогом успешного сотрудничества.</w:t>
      </w:r>
    </w:p>
    <w:p>
      <w:pPr>
        <w:pStyle w:val="1"/>
        <w:spacing w:lineRule="auto" w:line="360"/>
        <w:ind w:hanging="0"/>
        <w:jc w:val="both"/>
        <w:rPr>
          <w:b/>
        </w:rPr>
      </w:pPr>
      <w:r>
        <w:rPr>
          <w:b w:val="false"/>
          <w:bCs w:val="false"/>
          <w:i w:val="false"/>
          <w:caps w:val="false"/>
          <w:smallCaps w:val="false"/>
          <w:color w:val="141718"/>
          <w:spacing w:val="0"/>
          <w:sz w:val="24"/>
        </w:rPr>
        <w:t>Системный подход к сделке позволит "ИнноваТек" не только снизить предпринимательские риски, но и наладить долгосрочные и взаимовыгодные отношения с партнерами в сфере разработки программного обеспечения. Таким образом, внедрение предложенных шагов создаст прочную основу для успешного ведения бизнеса и развития компании в будущем.</w:t>
      </w:r>
    </w:p>
    <w:sectPr>
      <w:type w:val="nextPage"/>
      <w:pgSz w:w="11906" w:h="16838"/>
      <w:pgMar w:left="1418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Verdana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7420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3">
    <w:name w:val="Heading 3"/>
    <w:basedOn w:val="Title"/>
    <w:next w:val="BodyText"/>
    <w:qFormat/>
    <w:pPr>
      <w:spacing w:before="140" w:after="120"/>
      <w:outlineLvl w:val="2"/>
    </w:pPr>
    <w:rPr>
      <w:rFonts w:ascii="Liberation Serif" w:hAnsi="Liberation Serif" w:eastAsia="Segoe UI"/>
      <w:b/>
      <w:bCs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Основной текст Знак"/>
    <w:basedOn w:val="DefaultParagraphFont"/>
    <w:qFormat/>
    <w:rsid w:val="00fd15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Основной текст с отступом Знак"/>
    <w:basedOn w:val="DefaultParagraphFont"/>
    <w:link w:val="BodyTextIndented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2" w:customStyle="1">
    <w:name w:val="Основной текст с отступом 2 Знак"/>
    <w:basedOn w:val="DefaultParagraphFont"/>
    <w:link w:val="BodyTextIndent2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4" w:customStyle="1">
    <w:name w:val="Нижний колонтитул Знак"/>
    <w:basedOn w:val="DefaultParagraphFont"/>
    <w:uiPriority w:val="99"/>
    <w:qFormat/>
    <w:rsid w:val="00b10c7b"/>
    <w:rPr>
      <w:rFonts w:ascii="Times New Roman" w:hAnsi="Times New Roman" w:eastAsia="Times New Roman"/>
      <w:sz w:val="24"/>
      <w:szCs w:val="24"/>
    </w:rPr>
  </w:style>
  <w:style w:type="character" w:styleId="Style15" w:customStyle="1">
    <w:name w:val="Символ нумерации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Style16" w:customStyle="1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2"/>
    <w:rsid w:val="00fd152a"/>
    <w:pPr>
      <w:spacing w:before="0" w:after="12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rsid w:val="00fd152a"/>
    <w:pPr>
      <w:keepNext w:val="true"/>
      <w:spacing w:before="240" w:after="120"/>
    </w:pPr>
    <w:rPr>
      <w:rFonts w:ascii="Arial" w:hAnsi="Arial" w:eastAsia="Arial Unicode MS" w:cs="Tahoma"/>
      <w:sz w:val="28"/>
      <w:szCs w:val="28"/>
      <w:lang w:eastAsia="ar-SA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" w:customStyle="1">
    <w:name w:val="текст1"/>
    <w:basedOn w:val="Normal"/>
    <w:qFormat/>
    <w:rsid w:val="00fd152a"/>
    <w:pPr>
      <w:spacing w:lineRule="auto" w:line="360"/>
      <w:ind w:firstLine="709"/>
      <w:jc w:val="both"/>
    </w:pPr>
    <w:rPr>
      <w:lang w:eastAsia="ar-SA"/>
    </w:rPr>
  </w:style>
  <w:style w:type="paragraph" w:styleId="3" w:customStyle="1">
    <w:name w:val="Знак Знак3 Знак"/>
    <w:basedOn w:val="Normal"/>
    <w:qFormat/>
    <w:rsid w:val="00fd152a"/>
    <w:pPr>
      <w:spacing w:lineRule="exact" w:line="240" w:before="0" w:after="160"/>
    </w:pPr>
    <w:rPr>
      <w:rFonts w:ascii="Verdana" w:hAnsi="Verdana"/>
      <w:lang w:val="en-US" w:eastAsia="en-US"/>
    </w:rPr>
  </w:style>
  <w:style w:type="paragraph" w:styleId="ListParagraph">
    <w:name w:val="List Paragraph"/>
    <w:basedOn w:val="Normal"/>
    <w:uiPriority w:val="34"/>
    <w:qFormat/>
    <w:rsid w:val="00e73cff"/>
    <w:pPr>
      <w:ind w:left="708"/>
    </w:pPr>
    <w:rPr/>
  </w:style>
  <w:style w:type="paragraph" w:styleId="BodyTextIndented" w:customStyle="1">
    <w:name w:val="Body Text;Indented"/>
    <w:basedOn w:val="Normal"/>
    <w:link w:val="Style13"/>
    <w:qFormat/>
    <w:rsid w:val="00b10c7b"/>
    <w:pPr>
      <w:spacing w:before="0" w:after="120"/>
      <w:ind w:left="283"/>
    </w:pPr>
    <w:rPr/>
  </w:style>
  <w:style w:type="paragraph" w:styleId="BodyTextIndent2">
    <w:name w:val="Body Text Indent 2"/>
    <w:basedOn w:val="Normal"/>
    <w:link w:val="2"/>
    <w:uiPriority w:val="99"/>
    <w:unhideWhenUsed/>
    <w:qFormat/>
    <w:rsid w:val="00b10c7b"/>
    <w:pPr>
      <w:spacing w:lineRule="auto" w:line="480" w:before="0" w:after="120"/>
      <w:ind w:left="283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b10c7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1a0deb"/>
    <w:pPr>
      <w:suppressAutoHyphens w:val="false"/>
      <w:spacing w:beforeAutospacing="1" w:afterAutospacing="1"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Style21" w:customStyle="1">
    <w:name w:val="Без списка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LibreOffice/24.2.5.2$Windows_X86_64 LibreOffice_project/bffef4ea93e59bebbeaf7f431bb02b1a39ee8a59</Application>
  <AppVersion>15.0000</AppVersion>
  <Pages>7</Pages>
  <Words>1119</Words>
  <Characters>8340</Characters>
  <CharactersWithSpaces>9268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2023-09-17T18:34:00Z</dcterms:created>
  <dc:creator>1</dc:creator>
  <dc:description/>
  <dc:language>ru-RU</dc:language>
  <cp:lastModifiedBy/>
  <dcterms:modified xsi:type="dcterms:W3CDTF">2024-10-05T08:52:33Z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