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15087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FD2159" wp14:editId="3B07ACB7">
            <wp:extent cx="5940425" cy="5797550"/>
            <wp:effectExtent l="0" t="0" r="3175" b="0"/>
            <wp:docPr id="15464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425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9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0407">
        <w:rPr>
          <w:rFonts w:ascii="Times New Roman" w:hAnsi="Times New Roman" w:cs="Times New Roman"/>
          <w:sz w:val="28"/>
          <w:szCs w:val="28"/>
        </w:rPr>
        <w:t>• </w:t>
      </w:r>
      <w:r w:rsidRPr="00E50407">
        <w:rPr>
          <w:rFonts w:ascii="Times New Roman" w:hAnsi="Times New Roman" w:cs="Times New Roman"/>
          <w:b/>
          <w:bCs/>
          <w:sz w:val="28"/>
          <w:szCs w:val="28"/>
        </w:rPr>
        <w:t>Уровень процессов возбуждения</w:t>
      </w:r>
    </w:p>
    <w:p w14:paraId="347AFB00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Высокие баллы – сильная ответная реакция на возбуждение, стимул, быстрые включаемость в работу, врабатываемость и достижение высокой производительности; низкая утомляемость; высокая работоспособность и выносливость.</w:t>
      </w:r>
    </w:p>
    <w:p w14:paraId="6CFBEC10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Низкие баллы – слабая и запоздалая реакция на возбуждение, быстро достигается запредельное торможение, медленные: включаемость в работу, врабатываемость и невысокая производительность труда; высокая утомляемость; низкая работоспособность и выносливость.</w:t>
      </w:r>
    </w:p>
    <w:p w14:paraId="179C2371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• </w:t>
      </w:r>
      <w:r w:rsidRPr="00E50407">
        <w:rPr>
          <w:rFonts w:ascii="Times New Roman" w:hAnsi="Times New Roman" w:cs="Times New Roman"/>
          <w:b/>
          <w:bCs/>
          <w:sz w:val="28"/>
          <w:szCs w:val="28"/>
        </w:rPr>
        <w:t>Уровень процессов торможения</w:t>
      </w:r>
    </w:p>
    <w:p w14:paraId="5C0862D1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 xml:space="preserve">Высокие баллы – сильные нервные процессы со стороны торможения; возбуждения, стимулы легко гасятся; быстрое реагирование ответным </w:t>
      </w:r>
      <w:r w:rsidRPr="00E50407">
        <w:rPr>
          <w:rFonts w:ascii="Times New Roman" w:hAnsi="Times New Roman" w:cs="Times New Roman"/>
          <w:sz w:val="28"/>
          <w:szCs w:val="28"/>
        </w:rPr>
        <w:lastRenderedPageBreak/>
        <w:t>действиям на простые сенсорные сигналы, хорошая реакция; высокий самоконтроль, собранность, бдительность, хладнокровие в поведенческих реакциях.</w:t>
      </w:r>
    </w:p>
    <w:p w14:paraId="48C3D1AE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Низкие баллы – слабость процессов торможения, импульсивность в ответных действиях на стимул, слабый самоконтроль в поведенческих реакциях, определенная расторможенность, нетребовательность и снисходительность к себе; медленное или запоздалое, реагирование ответными действиями на простые сигналы.</w:t>
      </w:r>
    </w:p>
    <w:p w14:paraId="1B4FCD51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• </w:t>
      </w:r>
      <w:r w:rsidRPr="00E50407">
        <w:rPr>
          <w:rFonts w:ascii="Times New Roman" w:hAnsi="Times New Roman" w:cs="Times New Roman"/>
          <w:b/>
          <w:bCs/>
          <w:sz w:val="28"/>
          <w:szCs w:val="28"/>
        </w:rPr>
        <w:t>Уровень подвижности нервных процессов</w:t>
      </w:r>
    </w:p>
    <w:p w14:paraId="5F844C61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Высокие баллы – легкость переключения нервных процессов от возбуждения к торможению и наоборот; быстрый переход от одних видов деятельности к другим; быстрая переключаемость, решительность, смелость в поведенческих реакциях.</w:t>
      </w:r>
    </w:p>
    <w:p w14:paraId="65206362" w14:textId="45EE3D1B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Низкие баллы – характерны для людей, склонных работать по стереотипу, не любящих быстрых и неожиданных изменений в деятельности, не пригодны для работы в быстро меняющихся условиях.</w:t>
      </w:r>
    </w:p>
    <w:p w14:paraId="269189BC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• </w:t>
      </w:r>
      <w:r w:rsidRPr="00E50407">
        <w:rPr>
          <w:rFonts w:ascii="Times New Roman" w:hAnsi="Times New Roman" w:cs="Times New Roman"/>
          <w:b/>
          <w:bCs/>
          <w:sz w:val="28"/>
          <w:szCs w:val="28"/>
        </w:rPr>
        <w:t>Уравновешенность по силе</w:t>
      </w:r>
    </w:p>
    <w:p w14:paraId="385DB0B0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Уравновешенность по силе R равна отношению силы по возбуждению (Fв) к силе по торможению (Fт): R = Fв / Fт.</w:t>
      </w:r>
    </w:p>
    <w:p w14:paraId="7D501D09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Чем ближе к единице значение R, тем более высокой является уравновешенность. Если значение R выходит за пределы интервала 0.85-1.15, то можно утверждать, что человек отличается неуравновешенностью своей психологической активности.</w:t>
      </w:r>
    </w:p>
    <w:p w14:paraId="0576DEF4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Если значение R больше 1,15 – это означает неуравновешенность в сторону возбуждения, то есть процессы возбуждения не уравновешивают собою процессы торможения. При существенном сдвиге баланса нервных процессов в сторону возбуждения, вероятны сильные кратковременные эмоциональные переживания, неустойчивое настроение, хорошая адаптация к новому, рискованность, стремление к цели сильное с полной отдачей, боевое отношение к опасности без особого расчета, плохая помехоустойчивость.</w:t>
      </w:r>
    </w:p>
    <w:p w14:paraId="3C53F3B5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 xml:space="preserve">Если значение R меньше 0,85 – это означает неуравновешенность в сторону торможения, то есть процессы торможения не уравновешивают собою процессы возбуждения. При существенном сдвиге баланса нервных процессов в сторону торможения вероятны уравновешенное поведение, устойчивое настроение, слабые эмоциональные переживания, хорошее терпение, </w:t>
      </w:r>
      <w:r w:rsidRPr="00E50407">
        <w:rPr>
          <w:rFonts w:ascii="Times New Roman" w:hAnsi="Times New Roman" w:cs="Times New Roman"/>
          <w:sz w:val="28"/>
          <w:szCs w:val="28"/>
        </w:rPr>
        <w:lastRenderedPageBreak/>
        <w:t>сдержанность, хладнокровие, невозмутимое отношение к опасности, реальная оценка своих способностей, хорошая помехоустойчивость.</w:t>
      </w:r>
    </w:p>
    <w:p w14:paraId="26BB1B1D" w14:textId="1B2C7368" w:rsidR="00282948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540A1E" wp14:editId="1C3A0BC8">
            <wp:extent cx="5940425" cy="3488690"/>
            <wp:effectExtent l="0" t="0" r="3175" b="0"/>
            <wp:docPr id="90846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66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7D21" w14:textId="346A89F2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63AC767" wp14:editId="7A128907">
            <wp:extent cx="5940425" cy="7529195"/>
            <wp:effectExtent l="0" t="0" r="3175" b="0"/>
            <wp:docPr id="180695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50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BCF4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Эмоциональное выгорание – это выработанный личностью механизм психологической защиты в форме полного или частичного исключения эмоций (понижения их энергетики) в ответ на избранные психотравмирующие воздействия.</w:t>
      </w:r>
    </w:p>
    <w:p w14:paraId="13219238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 xml:space="preserve">Эмоциональное выгорание представляет собой приобретенный стереотип эмоционального, чаще всего профессионального, поведения. «Выгорание» </w:t>
      </w:r>
      <w:r w:rsidRPr="00E50407">
        <w:rPr>
          <w:rFonts w:ascii="Times New Roman" w:hAnsi="Times New Roman" w:cs="Times New Roman"/>
          <w:sz w:val="28"/>
          <w:szCs w:val="28"/>
        </w:rPr>
        <w:lastRenderedPageBreak/>
        <w:t>отчасти функциональный стереотип, поскольку позволяет человеку дозировать и экономно расходовать энергетические ресурсы. В то же время, могут возникать его дисфункциональные следствия, когда «выгорание» отрицательно сказывается на исполнении профессиональной деятельности и отношениях с партнерами.</w:t>
      </w:r>
    </w:p>
    <w:p w14:paraId="09F31CF4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Эмоциональное выгорание является формой профессиональной деформации личности и приобретается в жизнедеятельности человека. Этим «выгорание» отличается от различных форм эмоциональной ригидности, которая, напомним читателю, определяется органическими причинами – свойствами нервной системы, степенью подвижности эмоций, психосоматическими нарушениями.</w:t>
      </w:r>
    </w:p>
    <w:p w14:paraId="4EAA6F5E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Эмоциональное выгорание – динамический процесс и возникает поэтапно, в полном соответствии с механизмом развития стресса. При эмоциональном выгорании налицо все три фазы стресса:</w:t>
      </w:r>
    </w:p>
    <w:p w14:paraId="7B7F41DC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1) нервное (тревожное) напряжение – его создают хроническая психоэмоциональная атмосфера, дестабилизирующая обстановка, повышенная ответственность, трудность контингента;</w:t>
      </w:r>
    </w:p>
    <w:p w14:paraId="5C0E9785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2) резистенция, то есть сопротивление, – человек пытается более или менее успешно оградить себя от неприятных впечатлений;</w:t>
      </w:r>
    </w:p>
    <w:p w14:paraId="36D7BA3C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3) истощение – оскудение психических ресурсов, снижение эмоционального тонуса, которое наступает вследствие того, что проявленное сопротивление оказалось неэффективным.</w:t>
      </w:r>
    </w:p>
    <w:p w14:paraId="0D105F60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Соответственно каждому этапу, возникают отдельные признаки, или симптомы, нарастающего эмоционального выгорания.</w:t>
      </w:r>
    </w:p>
    <w:p w14:paraId="454B0C49" w14:textId="52A3ECAC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BB69CF" wp14:editId="35870D69">
            <wp:extent cx="5940425" cy="5892165"/>
            <wp:effectExtent l="0" t="0" r="3175" b="0"/>
            <wp:docPr id="192863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33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4A50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Синдром психического выгорания рассматривается автором методики как совокупность симптомов трех субшкал.</w:t>
      </w:r>
    </w:p>
    <w:p w14:paraId="084FB6BB" w14:textId="7EE5D4AB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Содержательные характеристики данных субшкал следующие:</w:t>
      </w:r>
    </w:p>
    <w:p w14:paraId="7521C98B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• </w:t>
      </w:r>
      <w:r w:rsidRPr="00E50407">
        <w:rPr>
          <w:rFonts w:ascii="Times New Roman" w:hAnsi="Times New Roman" w:cs="Times New Roman"/>
          <w:b/>
          <w:bCs/>
          <w:sz w:val="28"/>
          <w:szCs w:val="28"/>
        </w:rPr>
        <w:t>Психоэмоциональное истощение</w:t>
      </w:r>
      <w:r w:rsidRPr="00E50407">
        <w:rPr>
          <w:rFonts w:ascii="Times New Roman" w:hAnsi="Times New Roman" w:cs="Times New Roman"/>
          <w:sz w:val="28"/>
          <w:szCs w:val="28"/>
        </w:rPr>
        <w:t> – процесс исчерпания эмоциональных, физических, энергетических ресурсов профессионала, работающего с людьми; проявляется в хроническом эмоциональном и физическом утомлении, равнодушии, холодности по отношению к окружающим с признаками депрессии и раздражительности.</w:t>
      </w:r>
    </w:p>
    <w:p w14:paraId="2C3DE0BE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Проявления на межличностном уровне: психическое истощение, раздражительность, агрессивность, повышенная чувствительность к оценкам других.</w:t>
      </w:r>
    </w:p>
    <w:p w14:paraId="5CE3AD9E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lastRenderedPageBreak/>
        <w:t>Проявления на личностном уровне: низкая эмоциональная толерантность, тревожность.</w:t>
      </w:r>
    </w:p>
    <w:p w14:paraId="7C4B310B" w14:textId="53852961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Проявления на мотивационном уровне: нежелание идти на работу; желание скорее окончить рабочий день; прогулы.</w:t>
      </w:r>
    </w:p>
    <w:p w14:paraId="6BA573B8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• </w:t>
      </w:r>
      <w:r w:rsidRPr="00E50407">
        <w:rPr>
          <w:rFonts w:ascii="Times New Roman" w:hAnsi="Times New Roman" w:cs="Times New Roman"/>
          <w:b/>
          <w:bCs/>
          <w:sz w:val="28"/>
          <w:szCs w:val="28"/>
        </w:rPr>
        <w:t>Личностное отдаление</w:t>
      </w:r>
      <w:r w:rsidRPr="00E50407">
        <w:rPr>
          <w:rFonts w:ascii="Times New Roman" w:hAnsi="Times New Roman" w:cs="Times New Roman"/>
          <w:sz w:val="28"/>
          <w:szCs w:val="28"/>
        </w:rPr>
        <w:t> – специальная форма социальной дезадаптации профессионала, работающего с людьми; проявляется в уменьшении количества контактов с окружающими, повышении раздражительности и нетерпимости в ситуациях общения, негативизме по отношению к другим людям.</w:t>
      </w:r>
    </w:p>
    <w:p w14:paraId="45555C72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Проявления на межличностном уровне: нежелание контактировать с людьми; циничное, негативное отношение к людям.</w:t>
      </w:r>
    </w:p>
    <w:p w14:paraId="76C84BF7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Проявления на личностном уровне: критическое отношение к окружающим и некритичность в оценке самого себя, значимость своей правоты.</w:t>
      </w:r>
    </w:p>
    <w:p w14:paraId="7EE5CE5C" w14:textId="4DF6C7CD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Проявления на мотивационном уровне: снижение включаемости в работу и дела других людей; безразличие к своей карьере.</w:t>
      </w:r>
    </w:p>
    <w:p w14:paraId="512AA252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• </w:t>
      </w:r>
      <w:r w:rsidRPr="00E50407">
        <w:rPr>
          <w:rFonts w:ascii="Times New Roman" w:hAnsi="Times New Roman" w:cs="Times New Roman"/>
          <w:b/>
          <w:bCs/>
          <w:sz w:val="28"/>
          <w:szCs w:val="28"/>
        </w:rPr>
        <w:t>Профессиональная мотивация</w:t>
      </w:r>
      <w:r w:rsidRPr="00E50407">
        <w:rPr>
          <w:rFonts w:ascii="Times New Roman" w:hAnsi="Times New Roman" w:cs="Times New Roman"/>
          <w:sz w:val="28"/>
          <w:szCs w:val="28"/>
        </w:rPr>
        <w:t> – уровень рабочей мотивации и энтузиазма по отношению к работе «альтруистического» содержания. Состояние мотивационной сферы оценивается таким показателем, как продуктивность профессиональной деятельности, оптимизм и заинтересованность в работе, самооценка профессиональной компетентности и степени успешности в работе.</w:t>
      </w:r>
    </w:p>
    <w:p w14:paraId="6BA20A37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Проявления снижения на межличностном уровне: неудовлетворенность работой и отношениями в коллективе.</w:t>
      </w:r>
    </w:p>
    <w:p w14:paraId="426EC56F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Проявления снижения на личностном уровне: заниженная самооценка, неудовлетворенность собой как профессионалом, чувство низкой профессиональной эффективности и удовлетворенности.</w:t>
      </w:r>
    </w:p>
    <w:p w14:paraId="2E990B11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Проявления снижения на мотивационном уровне: снижение потребности в достижениях.</w:t>
      </w:r>
    </w:p>
    <w:p w14:paraId="201E7930" w14:textId="47354270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42AA16" wp14:editId="2E09500D">
            <wp:extent cx="5940425" cy="4433570"/>
            <wp:effectExtent l="0" t="0" r="3175" b="5080"/>
            <wp:docPr id="1249825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825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07CF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• Менее 50 – состояние без депрессии</w:t>
      </w:r>
    </w:p>
    <w:p w14:paraId="5677537C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• 50-59 – легкая депрессия (ситуативного или невротического генеза)</w:t>
      </w:r>
    </w:p>
    <w:p w14:paraId="3ACA9A3B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• 60-69 – маскированная депрессия (субдепрессивное состояние)</w:t>
      </w:r>
    </w:p>
    <w:p w14:paraId="098BAFA4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t>• 70 и более – истинное депрессивное состояние (тяжелая депрессия)</w:t>
      </w:r>
    </w:p>
    <w:p w14:paraId="4EDDD0C3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</w:rPr>
        <w:br/>
      </w:r>
    </w:p>
    <w:p w14:paraId="2E9EACCC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  <w:r w:rsidRPr="00E50407">
        <w:rPr>
          <w:rFonts w:ascii="Times New Roman" w:hAnsi="Times New Roman" w:cs="Times New Roman"/>
          <w:sz w:val="28"/>
          <w:szCs w:val="28"/>
          <w:u w:val="single"/>
        </w:rPr>
        <w:t>Обратите внимание</w:t>
      </w:r>
      <w:r w:rsidRPr="00E50407">
        <w:rPr>
          <w:rFonts w:ascii="Times New Roman" w:hAnsi="Times New Roman" w:cs="Times New Roman"/>
          <w:sz w:val="28"/>
          <w:szCs w:val="28"/>
        </w:rPr>
        <w:t>: в оригинальной методике на основе полученных баллов вычисляется Индексный балл (Index Score) в диапазоне от 25 до 100 (умножением сырого балла на 1.25). Авторские нормы, приведенные выше, относятся к индексным, а не к сырым баллам, о чем в русскоязычных публикациях никогда не упоминается. Однако, в работе 2019 года (Dunstan, Scott) показано, что пороговое значение 50 в сырых баллах, зачастую ошибочно используемое и западными специалистами, на самом деле обладает лучшей специфичностью и чувствительностью, чем авторский порог (50 индексных = 40 сырых).</w:t>
      </w:r>
    </w:p>
    <w:p w14:paraId="5749FC10" w14:textId="77777777" w:rsidR="00E50407" w:rsidRPr="00E50407" w:rsidRDefault="00E50407" w:rsidP="00E5040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E50407" w:rsidRPr="00E504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987"/>
    <w:rsid w:val="000A2987"/>
    <w:rsid w:val="001021B3"/>
    <w:rsid w:val="001E117D"/>
    <w:rsid w:val="00282948"/>
    <w:rsid w:val="00E36A21"/>
    <w:rsid w:val="00E5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9B44F"/>
  <w15:chartTrackingRefBased/>
  <w15:docId w15:val="{736BEE08-2F0A-48DD-9901-6765400BE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9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504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1129</Words>
  <Characters>6439</Characters>
  <Application>Microsoft Office Word</Application>
  <DocSecurity>0</DocSecurity>
  <Lines>53</Lines>
  <Paragraphs>15</Paragraphs>
  <ScaleCrop>false</ScaleCrop>
  <Company/>
  <LinksUpToDate>false</LinksUpToDate>
  <CharactersWithSpaces>7553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Радмир Кузургалиев</dc:creator>
  <cp:keywords/>
  <dc:description/>
  <cp:lastModifiedBy>Радмир Кузургалиев</cp:lastModifiedBy>
  <cp:revision>2</cp:revision>
  <dcterms:created xsi:type="dcterms:W3CDTF">2025-12-02T11:33:00Z</dcterms:created>
  <dcterms:modified xsi:type="dcterms:W3CDTF">2025-12-02T11:43:00Z</dcterms:modified>
</cp:coreProperties>
</file>