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028708" w14:textId="77777777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5E3E0FEA" w14:textId="0E031FB1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 xml:space="preserve"> «Анализ и классификация информационных систем и знакомство со стандартами»</w:t>
      </w:r>
    </w:p>
    <w:p w14:paraId="1D450CD7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дисциплины</w:t>
      </w:r>
    </w:p>
    <w:p w14:paraId="7D0A6792" w14:textId="533842C3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FFC6793" w14:textId="5EF00126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1D06">
        <w:rPr>
          <w:rFonts w:ascii="Times New Roman" w:hAnsi="Times New Roman" w:cs="Times New Roman"/>
          <w:sz w:val="28"/>
          <w:szCs w:val="28"/>
        </w:rPr>
        <w:t>Закрепить теоретические знания о классификации информационных систем, их жизненном цикле и роли архитектуры. Ознакомиться с основными стандартами, применяемыми при разработке и документировании ИС.</w:t>
      </w:r>
    </w:p>
    <w:p w14:paraId="3F5699EB" w14:textId="77777777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Pr="00F41D06">
        <w:rPr>
          <w:rFonts w:ascii="Times New Roman" w:hAnsi="Times New Roman" w:cs="Times New Roman"/>
          <w:sz w:val="28"/>
          <w:szCs w:val="28"/>
        </w:rPr>
        <w:t>. «Анализ и классификация информационных систем и знакомство со стандартами».</w:t>
      </w:r>
    </w:p>
    <w:p w14:paraId="2A4BF72F" w14:textId="31B4945F" w:rsidR="00BF7BA1" w:rsidRPr="00F41D06" w:rsidRDefault="009E2CF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6FB" w:rsidRPr="00F41D06">
        <w:rPr>
          <w:rFonts w:ascii="Times New Roman" w:hAnsi="Times New Roman" w:cs="Times New Roman"/>
          <w:sz w:val="28"/>
          <w:szCs w:val="28"/>
        </w:rPr>
        <w:t xml:space="preserve">Система бронирования авиабилетов предназначена для удобного поиска, бронирования, покупки авиабилетов. </w:t>
      </w:r>
    </w:p>
    <w:p w14:paraId="20CEBD9B" w14:textId="4F93D1D5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КЛАССИФИКАЦИЯ ИНФОРМАЦИОННОЙ СИСТЕМЫ</w:t>
      </w:r>
    </w:p>
    <w:p w14:paraId="4CEAE873" w14:textId="3EFAE992" w:rsidR="00437DCC" w:rsidRPr="00437DCC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сфере применения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475CA6" w14:textId="6A525A87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62AF8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Отраслевая система для сферы транспорта и логистики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BED1241" w14:textId="306351E1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6C7428" w:rsidRPr="006C7428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Система не является универсальной (как, например, бухгалтерская). Она создана специально для автоматизации ключевых бизнес-процессов в авиационной и туристической индустрии: продажа мест, управление пассажиропотоком, оказание сопутствующих услуг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3782935A" w14:textId="2DDA5D02" w:rsidR="004766D0" w:rsidRPr="00743161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архитектуре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626B0" w14:textId="28B757C2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Веб-ориентированная система, построенная по многоуровневой архитектуре, часто с использованием облачных технологий (SaaS).</w:t>
      </w:r>
    </w:p>
    <w:p w14:paraId="1B5157C5" w14:textId="7DB2D40D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Веб-ориентированная  модель выбрана, потому что пользователи работают через удобный интерфейс, а обработка и хранение данных происходят на сервере. Облачный подход (SaaS) обоснован тем, что компания не хочет поддерживать собственную инфраструктуру, а предпочитает гибкость, масштабируемость и доступ из любой точки мира.</w:t>
      </w:r>
    </w:p>
    <w:p w14:paraId="546856C8" w14:textId="2D2EDD22" w:rsidR="004766D0" w:rsidRPr="00743161" w:rsidRDefault="004766D0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2713B" w14:textId="53DD42A3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533F70" w:rsidRPr="00F41D06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78EDA5F" w14:textId="48A63446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</w:t>
      </w:r>
      <w:r w:rsidR="00533F70" w:rsidRPr="00F41D06">
        <w:rPr>
          <w:rFonts w:ascii="Times New Roman" w:hAnsi="Times New Roman" w:cs="Times New Roman"/>
          <w:sz w:val="28"/>
          <w:szCs w:val="28"/>
        </w:rPr>
        <w:t>истема выполняет огромный объем работы автоматически (поиск, блокировка мест, генерация билетов), ключевые решения принимает человек-пользователь (выбор рейса, ввод персональных данных, подтверждение оплаты).</w:t>
      </w:r>
    </w:p>
    <w:p w14:paraId="210E2ED5" w14:textId="79E63F29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типу обработки данных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86AB0" w14:textId="6F741883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Транзакционная с элементами аналитики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62BE526A" w14:textId="40D2888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BE2FE8" w:rsidRPr="00F41D06">
        <w:rPr>
          <w:rFonts w:ascii="Times New Roman" w:hAnsi="Times New Roman" w:cs="Times New Roman"/>
          <w:sz w:val="28"/>
          <w:szCs w:val="28"/>
        </w:rPr>
        <w:t>: Транзакционная обработка необходима для моментального учета операций (например, бронирование билетов или её отмены), что важно для оперативной работы с пользователями. Элементы аналитики добавлены для поддержки стратегических решений — например, анализ направлений или эффективности рейсов, что требует обработки накопленных данных.</w:t>
      </w:r>
    </w:p>
    <w:p w14:paraId="19C8BDA4" w14:textId="1111F19F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масштабу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DF6EA" w14:textId="67593C62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lastRenderedPageBreak/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9E2CF4" w:rsidRPr="009E2CF4">
        <w:rPr>
          <w:rFonts w:ascii="Times New Roman" w:hAnsi="Times New Roman" w:cs="Times New Roman"/>
          <w:sz w:val="28"/>
          <w:szCs w:val="28"/>
        </w:rPr>
        <w:t>Межкорпоративная (межорганизационная) информационная система</w:t>
      </w:r>
      <w:r w:rsidR="004C23F0">
        <w:rPr>
          <w:rFonts w:ascii="Times New Roman" w:hAnsi="Times New Roman" w:cs="Times New Roman"/>
          <w:sz w:val="28"/>
          <w:szCs w:val="28"/>
        </w:rPr>
        <w:t>.</w:t>
      </w:r>
    </w:p>
    <w:p w14:paraId="5C8E8588" w14:textId="3CB57F67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237826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9E2CF4" w:rsidRPr="009E2CF4">
        <w:rPr>
          <w:rFonts w:ascii="Times New Roman" w:hAnsi="Times New Roman" w:cs="Times New Roman"/>
          <w:sz w:val="28"/>
          <w:szCs w:val="28"/>
        </w:rPr>
        <w:t xml:space="preserve">Система по своей сути предназначена для взаимодействия множества независимых организаций: авиакомпаний, турагенств, глобальных дистрибьюторских систем (GDS), платежных шлюзов и конечных </w:t>
      </w:r>
      <w:r w:rsidR="009E2CF4">
        <w:rPr>
          <w:rFonts w:ascii="Times New Roman" w:hAnsi="Times New Roman" w:cs="Times New Roman"/>
          <w:sz w:val="28"/>
          <w:szCs w:val="28"/>
        </w:rPr>
        <w:t>пользователей</w:t>
      </w:r>
      <w:r w:rsidR="009E2CF4" w:rsidRPr="009E2CF4">
        <w:rPr>
          <w:rFonts w:ascii="Times New Roman" w:hAnsi="Times New Roman" w:cs="Times New Roman"/>
          <w:sz w:val="28"/>
          <w:szCs w:val="28"/>
        </w:rPr>
        <w:t xml:space="preserve">. </w:t>
      </w:r>
      <w:r w:rsidR="00DC0015">
        <w:rPr>
          <w:rFonts w:ascii="Times New Roman" w:hAnsi="Times New Roman" w:cs="Times New Roman"/>
          <w:sz w:val="28"/>
          <w:szCs w:val="28"/>
        </w:rPr>
        <w:t>Система</w:t>
      </w:r>
      <w:r w:rsidR="009E2CF4" w:rsidRPr="009E2CF4">
        <w:rPr>
          <w:rFonts w:ascii="Times New Roman" w:hAnsi="Times New Roman" w:cs="Times New Roman"/>
          <w:sz w:val="28"/>
          <w:szCs w:val="28"/>
        </w:rPr>
        <w:t xml:space="preserve"> автоматизирует не только внутренние процессы одной компании, но и кросс-организационные бизнес-процессы (бронирование, расчеты, обмен данными</w:t>
      </w:r>
      <w:r w:rsidR="000E1391">
        <w:rPr>
          <w:rFonts w:ascii="Times New Roman" w:hAnsi="Times New Roman" w:cs="Times New Roman"/>
          <w:sz w:val="28"/>
          <w:szCs w:val="28"/>
        </w:rPr>
        <w:t>, платежи</w:t>
      </w:r>
      <w:r w:rsidR="009E2CF4" w:rsidRPr="009E2CF4">
        <w:rPr>
          <w:rFonts w:ascii="Times New Roman" w:hAnsi="Times New Roman" w:cs="Times New Roman"/>
          <w:sz w:val="28"/>
          <w:szCs w:val="28"/>
        </w:rPr>
        <w:t>)</w:t>
      </w:r>
      <w:r w:rsidR="00DC0015">
        <w:rPr>
          <w:rFonts w:ascii="Times New Roman" w:hAnsi="Times New Roman" w:cs="Times New Roman"/>
          <w:sz w:val="28"/>
          <w:szCs w:val="28"/>
        </w:rPr>
        <w:t>.</w:t>
      </w:r>
    </w:p>
    <w:p w14:paraId="5C694870" w14:textId="786F1FA0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E55FA3" w14:textId="0130290A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B2AD1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DC0015" w:rsidRPr="00DC0015">
        <w:rPr>
          <w:rFonts w:ascii="Times New Roman" w:hAnsi="Times New Roman" w:cs="Times New Roman"/>
          <w:sz w:val="28"/>
          <w:szCs w:val="28"/>
        </w:rPr>
        <w:t>Информационно-расчетная система</w:t>
      </w:r>
      <w:r w:rsidR="00DC0015">
        <w:rPr>
          <w:rFonts w:ascii="Times New Roman" w:hAnsi="Times New Roman" w:cs="Times New Roman"/>
          <w:sz w:val="28"/>
          <w:szCs w:val="28"/>
        </w:rPr>
        <w:t>, с</w:t>
      </w:r>
      <w:r w:rsidR="00DC0015" w:rsidRPr="00DC0015">
        <w:rPr>
          <w:rFonts w:ascii="Times New Roman" w:hAnsi="Times New Roman" w:cs="Times New Roman"/>
          <w:sz w:val="28"/>
          <w:szCs w:val="28"/>
        </w:rPr>
        <w:t>истема управления бизнес-процессами</w:t>
      </w:r>
      <w:r w:rsidR="007A3C1A">
        <w:rPr>
          <w:rFonts w:ascii="Times New Roman" w:hAnsi="Times New Roman" w:cs="Times New Roman"/>
          <w:sz w:val="28"/>
          <w:szCs w:val="28"/>
        </w:rPr>
        <w:t>.</w:t>
      </w:r>
    </w:p>
    <w:p w14:paraId="784ACCDB" w14:textId="24238F04" w:rsidR="00B82C30" w:rsidRPr="00B82C30" w:rsidRDefault="00F62AF8" w:rsidP="00B82C30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FB2AD1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7A3C1A">
        <w:rPr>
          <w:rFonts w:ascii="Times New Roman" w:hAnsi="Times New Roman" w:cs="Times New Roman"/>
          <w:sz w:val="28"/>
          <w:szCs w:val="28"/>
        </w:rPr>
        <w:t>О</w:t>
      </w:r>
      <w:r w:rsidR="007A3C1A" w:rsidRPr="007A3C1A">
        <w:rPr>
          <w:rFonts w:ascii="Times New Roman" w:hAnsi="Times New Roman" w:cs="Times New Roman"/>
          <w:sz w:val="28"/>
          <w:szCs w:val="28"/>
        </w:rPr>
        <w:t>сновное назначение системы — автоматизация ключевых бизнес-процессов в реальном времени: бронирование (транзакция), прием и обработка платежей, управление заказами (изменение, отмена), взаимодействие с внешними системами.</w:t>
      </w:r>
      <w:r w:rsidR="007A3C1A">
        <w:rPr>
          <w:rFonts w:ascii="Times New Roman" w:hAnsi="Times New Roman" w:cs="Times New Roman"/>
          <w:sz w:val="28"/>
          <w:szCs w:val="28"/>
        </w:rPr>
        <w:t xml:space="preserve"> Вспомогательная функция системы – предоставление отчётной и справочной информации пользователям.</w:t>
      </w:r>
    </w:p>
    <w:p w14:paraId="05CBD5B7" w14:textId="1F2520E0" w:rsidR="00F62AF8" w:rsidRPr="00B82C30" w:rsidRDefault="00FB2AD1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АНАЛИЗ СТАНДАРТОВ И НОРМАТИВНЫХ ДОКУМЕНТОВ</w:t>
      </w:r>
    </w:p>
    <w:p w14:paraId="3F088ABC" w14:textId="447682DB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Назначение: Онлайн-система для поиска рейсов, бронирования, оплаты и регистрации на рейс.</w:t>
      </w:r>
    </w:p>
    <w:p w14:paraId="30684788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Особенности: Облачное развертывание (SaaS), обработка большого объема персональных и финансовых данных, интеграция с платежными шлюзами, GDS (глобальными дистрибьюторскими системами), email- и SMS-сервисами.</w:t>
      </w:r>
    </w:p>
    <w:p w14:paraId="2A8B0B43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Регион применения: Россия.</w:t>
      </w:r>
    </w:p>
    <w:p w14:paraId="790848B7" w14:textId="6F6BEC1D" w:rsidR="00251624" w:rsidRPr="00743161" w:rsidRDefault="00251624" w:rsidP="00B82C3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ISO/IEC 25010:2011 — Системы и программное обеспечение. Модель качества</w:t>
      </w:r>
    </w:p>
    <w:p w14:paraId="73C5F923" w14:textId="583AEFA0" w:rsidR="00795E93" w:rsidRPr="00743161" w:rsidRDefault="00795E93" w:rsidP="00437DCC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(пункты стандартов, которые должны быть учтены):</w:t>
      </w:r>
    </w:p>
    <w:p w14:paraId="5E9472C1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Система должна точно выполнять функции поиска рейсов, бронирования, оплаты, управления бронями и отправки уведомлений (Раздел 4.2.1 "Functional suitability").</w:t>
      </w:r>
    </w:p>
    <w:p w14:paraId="72BD8F1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Время отклика не более 2-3 секунд при пиковых нагрузках (например, запуск акционных тарифов, сезон бронирований) до нескольких тысяч одновременных пользователей (Раздел 4.2.3 "Performance efficiency").</w:t>
      </w:r>
    </w:p>
    <w:p w14:paraId="6D279FC6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Защита финансовых транзакций и персональных данных пассажиров (PII) от несанкционированного доступа и мошенничества (Раздел 4.2.5 "Security").</w:t>
      </w:r>
    </w:p>
    <w:p w14:paraId="06C68DE9" w14:textId="77777777" w:rsidR="00251624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использования:</w:t>
      </w:r>
      <w:r w:rsidRPr="00F41D06">
        <w:rPr>
          <w:color w:val="0F1115"/>
          <w:sz w:val="28"/>
          <w:szCs w:val="28"/>
        </w:rPr>
        <w:t> Интуитивно понятный интерфейс для конечных пользователей, позволяющий быстро найти и забронировать билет (Раздел 4.2.7 "Usability").</w:t>
      </w:r>
    </w:p>
    <w:p w14:paraId="270C9DC4" w14:textId="70C4C22F" w:rsidR="00341B95" w:rsidRPr="00341B95" w:rsidRDefault="00341B95" w:rsidP="00341B9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lastRenderedPageBreak/>
        <w:t>Совместимость (Раздел 4.2.2 "Compatibility")</w:t>
      </w:r>
      <w:r w:rsidRPr="00F41D06">
        <w:rPr>
          <w:color w:val="0F1115"/>
          <w:sz w:val="28"/>
          <w:szCs w:val="28"/>
        </w:rPr>
        <w:t> на уровне оборудования или специфического ПО.</w:t>
      </w:r>
      <w:r>
        <w:rPr>
          <w:color w:val="0F1115"/>
          <w:sz w:val="28"/>
          <w:szCs w:val="28"/>
        </w:rPr>
        <w:t xml:space="preserve"> </w:t>
      </w:r>
      <w:r w:rsidRPr="00341B95">
        <w:rPr>
          <w:color w:val="0F1115"/>
          <w:sz w:val="28"/>
          <w:szCs w:val="28"/>
        </w:rPr>
        <w:t>Система является SaaS-решением, работающим через стандартные веб-браузеры</w:t>
      </w:r>
      <w:r w:rsidR="00D10BCE">
        <w:rPr>
          <w:color w:val="0F1115"/>
          <w:sz w:val="28"/>
          <w:szCs w:val="28"/>
        </w:rPr>
        <w:t>(</w:t>
      </w:r>
      <w:r w:rsidR="00D10BCE">
        <w:rPr>
          <w:color w:val="0F1115"/>
          <w:sz w:val="28"/>
          <w:szCs w:val="28"/>
          <w:lang w:val="en-US"/>
        </w:rPr>
        <w:t>Chrome</w:t>
      </w:r>
      <w:r w:rsidR="00D10BCE" w:rsidRPr="00D10BCE">
        <w:rPr>
          <w:color w:val="0F1115"/>
          <w:sz w:val="28"/>
          <w:szCs w:val="28"/>
        </w:rPr>
        <w:t xml:space="preserve">, </w:t>
      </w:r>
      <w:r w:rsidR="00D10BCE">
        <w:rPr>
          <w:color w:val="0F1115"/>
          <w:sz w:val="28"/>
          <w:szCs w:val="28"/>
          <w:lang w:val="en-US"/>
        </w:rPr>
        <w:t>Yandex</w:t>
      </w:r>
      <w:r w:rsidR="00D10BCE" w:rsidRPr="00D10BCE">
        <w:rPr>
          <w:color w:val="0F1115"/>
          <w:sz w:val="28"/>
          <w:szCs w:val="28"/>
        </w:rPr>
        <w:t xml:space="preserve"> </w:t>
      </w:r>
      <w:r w:rsidR="00D10BCE">
        <w:rPr>
          <w:color w:val="0F1115"/>
          <w:sz w:val="28"/>
          <w:szCs w:val="28"/>
          <w:lang w:val="en-US"/>
        </w:rPr>
        <w:t>Browser</w:t>
      </w:r>
      <w:r w:rsidR="00D10BCE" w:rsidRPr="00D10BCE">
        <w:rPr>
          <w:color w:val="0F1115"/>
          <w:sz w:val="28"/>
          <w:szCs w:val="28"/>
        </w:rPr>
        <w:t xml:space="preserve">, </w:t>
      </w:r>
      <w:r w:rsidR="00D10BCE">
        <w:rPr>
          <w:color w:val="0F1115"/>
          <w:sz w:val="28"/>
          <w:szCs w:val="28"/>
          <w:lang w:val="en-US"/>
        </w:rPr>
        <w:t>Edge</w:t>
      </w:r>
      <w:r w:rsidR="00D10BCE" w:rsidRPr="00D10BCE">
        <w:rPr>
          <w:color w:val="0F1115"/>
          <w:sz w:val="28"/>
          <w:szCs w:val="28"/>
        </w:rPr>
        <w:t xml:space="preserve">. </w:t>
      </w:r>
      <w:r w:rsidR="00D10BCE">
        <w:rPr>
          <w:color w:val="0F1115"/>
          <w:sz w:val="28"/>
          <w:szCs w:val="28"/>
          <w:lang w:val="en-US"/>
        </w:rPr>
        <w:t>Mozilla</w:t>
      </w:r>
      <w:r w:rsidR="00D10BCE" w:rsidRPr="004C23F0">
        <w:rPr>
          <w:color w:val="0F1115"/>
          <w:sz w:val="28"/>
          <w:szCs w:val="28"/>
        </w:rPr>
        <w:t xml:space="preserve">, </w:t>
      </w:r>
      <w:r w:rsidR="00D10BCE">
        <w:rPr>
          <w:color w:val="0F1115"/>
          <w:sz w:val="28"/>
          <w:szCs w:val="28"/>
          <w:lang w:val="en-US"/>
        </w:rPr>
        <w:t>Safari</w:t>
      </w:r>
      <w:r w:rsidR="00D10BCE">
        <w:rPr>
          <w:color w:val="0F1115"/>
          <w:sz w:val="28"/>
          <w:szCs w:val="28"/>
        </w:rPr>
        <w:t>)</w:t>
      </w:r>
      <w:r w:rsidRPr="00341B95">
        <w:rPr>
          <w:color w:val="0F1115"/>
          <w:sz w:val="28"/>
          <w:szCs w:val="28"/>
        </w:rPr>
        <w:t xml:space="preserve"> и мобильные приложения. Интеграция с внешними системами (GDS, платежки, email) осуществляется через общедоступные API.</w:t>
      </w:r>
    </w:p>
    <w:p w14:paraId="24C64D58" w14:textId="72C518AE" w:rsidR="00251624" w:rsidRPr="00743161" w:rsidRDefault="00251624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76C88CC5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Функциональность:</w:t>
      </w:r>
      <w:r w:rsidRPr="00F41D06">
        <w:rPr>
          <w:color w:val="0F1115"/>
          <w:sz w:val="28"/>
          <w:szCs w:val="28"/>
        </w:rPr>
        <w:t> Разработать и протестировать модули поиска (интеграция с GDS API), бронирования (блокировка мест), оплаты (интеграция с платежными шлюзами), личного кабинета и админ-панели.</w:t>
      </w:r>
    </w:p>
    <w:p w14:paraId="06CD5A6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Провести стресс-тестирование и нагрузочное тестирование (например, с помощью k6 или JMeter) сценариев поиска рейсов и процесса оплаты под высокой нагрузкой.</w:t>
      </w:r>
    </w:p>
    <w:p w14:paraId="0F12E0F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Внедрить PCI DSS-совместимые решения для оплаты, шифрование данных (TLS 1.3 для передачи, токенизация или AES для хранения платежных данных), защиту от мошеннических транзакций.</w:t>
      </w:r>
    </w:p>
    <w:p w14:paraId="6900C277" w14:textId="77777777" w:rsidR="00251624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Удобство:</w:t>
      </w:r>
      <w:r w:rsidRPr="00F41D06">
        <w:rPr>
          <w:color w:val="0F1115"/>
          <w:sz w:val="28"/>
          <w:szCs w:val="28"/>
        </w:rPr>
        <w:t> Провести юзабилити-тестирование с фокус-группами, внедрить адаптивный и отзывчивый (responsive) веб-дизайн.</w:t>
      </w:r>
    </w:p>
    <w:p w14:paraId="4FF98260" w14:textId="7DEAD156" w:rsidR="0003409D" w:rsidRPr="00F41D06" w:rsidRDefault="0003409D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Совместимость: </w:t>
      </w:r>
      <w:r w:rsidRPr="0003409D">
        <w:rPr>
          <w:color w:val="0F1115"/>
          <w:sz w:val="28"/>
          <w:szCs w:val="28"/>
        </w:rPr>
        <w:t>Разработать и протестировать адаптеры/коннекторы для каждого типа внешнего API. Использовать стандартные форматы обмена данными (JSON, XML) и протоколы (REST, SOAP). Внедрить механизмы обработки сбоев и повтора запросов.</w:t>
      </w:r>
    </w:p>
    <w:p w14:paraId="70B689A3" w14:textId="4A5A25F7" w:rsidR="00251624" w:rsidRPr="00743161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Обоснование (почему необходимо учесть)</w:t>
      </w:r>
      <w:r w:rsidR="00743161">
        <w:rPr>
          <w:b/>
          <w:bCs/>
          <w:color w:val="0F1115"/>
          <w:sz w:val="28"/>
          <w:szCs w:val="28"/>
        </w:rPr>
        <w:t>:</w:t>
      </w:r>
    </w:p>
    <w:p w14:paraId="55E51E7B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Ядро бизнеса. Ошибки в поиске, бронировании или оплате приведут к прямым финансовым потерям и потере клиентов.</w:t>
      </w:r>
    </w:p>
    <w:p w14:paraId="51CF357D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Медленный поиск или "зависание" при оплате приводят к брошенным корзинам и недовольству пользователей, особенно в условиях высокой конкуренции.</w:t>
      </w:r>
    </w:p>
    <w:p w14:paraId="1543F05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Утечка данных банковских карт или паспортов нанесет катастрофический репутационный и финансовый ущерб.</w:t>
      </w:r>
    </w:p>
    <w:p w14:paraId="1EBCF71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использования:</w:t>
      </w:r>
      <w:r w:rsidRPr="00F41D06">
        <w:rPr>
          <w:color w:val="0F1115"/>
          <w:sz w:val="28"/>
          <w:szCs w:val="28"/>
        </w:rPr>
        <w:t> Сложный процесс бронирования отпугнет менее технически подкованных пользователей.</w:t>
      </w:r>
    </w:p>
    <w:p w14:paraId="0FA4293E" w14:textId="3F0CE737" w:rsidR="00795E93" w:rsidRPr="00743161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Федеральный закон РФ № 152-ФЗ "О персональных данных" (в ред. от 31.07.2023)</w:t>
      </w:r>
    </w:p>
    <w:p w14:paraId="3996A25D" w14:textId="52DEFB77" w:rsidR="00795E93" w:rsidRPr="00F41D06" w:rsidRDefault="00795E93" w:rsidP="00437DCC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Описание: Российский закон о защите ПДн</w:t>
      </w:r>
    </w:p>
    <w:p w14:paraId="422A046C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60F88D8E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Локализация данных: Хранение ПДн граждан РФ на территории РФ (Статья 18, часть 5).</w:t>
      </w:r>
    </w:p>
    <w:p w14:paraId="3A5B7720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Согласие на обработку: Получение явного согласия пользователя на обработку его ПДн (для целей, не связанных напрямую с исполнением договора, например, для маркетинга) (Статья 9).</w:t>
      </w:r>
    </w:p>
    <w:p w14:paraId="61F5C7BC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lastRenderedPageBreak/>
        <w:t>Минимизация данных: Сбор только необходимых для продажи авиабилета данных (Статья 5).</w:t>
      </w:r>
    </w:p>
    <w:p w14:paraId="2CFC7195" w14:textId="77777777" w:rsid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Безопасность ПДн: Реализация мер по защите данных от несанкционированного доступа (Статья 19).</w:t>
      </w:r>
    </w:p>
    <w:p w14:paraId="35D2D69C" w14:textId="085CC967" w:rsidR="00024839" w:rsidRDefault="00024839" w:rsidP="00024839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024839">
        <w:rPr>
          <w:color w:val="0F1115"/>
          <w:sz w:val="28"/>
          <w:szCs w:val="28"/>
        </w:rPr>
        <w:t xml:space="preserve">Трансграничная передача: </w:t>
      </w:r>
      <w:r w:rsidR="00741D36" w:rsidRPr="00741D36">
        <w:rPr>
          <w:color w:val="0F1115"/>
          <w:sz w:val="28"/>
          <w:szCs w:val="28"/>
        </w:rPr>
        <w:t>Передача ПДн на территорию иностранного государства должна осуществляться с соблюдением установленных законом требований (Статья 12).</w:t>
      </w:r>
    </w:p>
    <w:p w14:paraId="2B9D2E08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7FBA9A5" w14:textId="3CB3D10F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Локализация: Выбрать облачного провайдера (например, Yandex Cloud) с дата-центрами в России для размещения серверов и баз данных с ПДн.</w:t>
      </w:r>
    </w:p>
    <w:p w14:paraId="7A01DEAD" w14:textId="77777777" w:rsidR="002C495D" w:rsidRDefault="00795E93" w:rsidP="002C495D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2C495D">
        <w:rPr>
          <w:color w:val="0F1115"/>
          <w:sz w:val="28"/>
          <w:szCs w:val="28"/>
        </w:rPr>
        <w:t>Уведомление</w:t>
      </w:r>
      <w:r w:rsidR="00181E6F" w:rsidRPr="002C495D">
        <w:rPr>
          <w:color w:val="0F1115"/>
          <w:sz w:val="28"/>
          <w:szCs w:val="28"/>
        </w:rPr>
        <w:t xml:space="preserve">: </w:t>
      </w:r>
      <w:r w:rsidR="002C495D" w:rsidRPr="002C495D">
        <w:rPr>
          <w:color w:val="0F1115"/>
          <w:sz w:val="28"/>
          <w:szCs w:val="28"/>
        </w:rPr>
        <w:t xml:space="preserve">Подготовить и подать в уполномоченный орган (Роскомнадзор) уведомление об обработке персональных данных. </w:t>
      </w:r>
    </w:p>
    <w:p w14:paraId="49AFF692" w14:textId="7E491893" w:rsidR="002C495D" w:rsidRPr="002C495D" w:rsidRDefault="002C495D" w:rsidP="002C495D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2C495D">
        <w:rPr>
          <w:color w:val="0F1115"/>
          <w:sz w:val="28"/>
          <w:szCs w:val="28"/>
        </w:rPr>
        <w:t>Документировать процессы обработки ПДн во внутренних документах (Политика в отношении обработки ПДн)</w:t>
      </w:r>
      <w:r w:rsidR="00500D11">
        <w:rPr>
          <w:color w:val="0F1115"/>
          <w:sz w:val="28"/>
          <w:szCs w:val="28"/>
        </w:rPr>
        <w:t>.</w:t>
      </w:r>
    </w:p>
    <w:p w14:paraId="03F860EC" w14:textId="2FBB90D5" w:rsidR="00795E93" w:rsidRDefault="00795E93" w:rsidP="00943DB2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2C495D">
        <w:rPr>
          <w:color w:val="0F1115"/>
          <w:sz w:val="28"/>
          <w:szCs w:val="28"/>
        </w:rPr>
        <w:t>Минимизация</w:t>
      </w:r>
      <w:r w:rsidR="00181E6F" w:rsidRPr="002C495D">
        <w:rPr>
          <w:color w:val="0F1115"/>
          <w:sz w:val="28"/>
          <w:szCs w:val="28"/>
        </w:rPr>
        <w:t xml:space="preserve">: </w:t>
      </w:r>
      <w:r w:rsidRPr="002C495D">
        <w:rPr>
          <w:color w:val="0F1115"/>
          <w:sz w:val="28"/>
          <w:szCs w:val="28"/>
        </w:rPr>
        <w:t>Ограничить поля ввода (имя, email, телефон).</w:t>
      </w:r>
    </w:p>
    <w:p w14:paraId="20E52EAA" w14:textId="37D495D2" w:rsidR="00741D36" w:rsidRDefault="00741D36" w:rsidP="00943DB2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Трансграничная передача:</w:t>
      </w:r>
    </w:p>
    <w:p w14:paraId="5FC22DDD" w14:textId="77777777" w:rsidR="00741D36" w:rsidRPr="00024839" w:rsidRDefault="00741D36" w:rsidP="00741D36">
      <w:pPr>
        <w:pStyle w:val="ds-markdown-paragraph"/>
        <w:numPr>
          <w:ilvl w:val="1"/>
          <w:numId w:val="11"/>
        </w:numPr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024839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Выявить все каналы:</w:t>
      </w:r>
      <w:r w:rsidRPr="00024839">
        <w:rPr>
          <w:color w:val="0F1115"/>
          <w:sz w:val="28"/>
          <w:szCs w:val="28"/>
        </w:rPr>
        <w:t> Определить все процессы, при которых ПДн могут покидать территорию РФ (отправка билетов и уведомлений через зарубежные email-сервисы</w:t>
      </w:r>
      <w:r>
        <w:rPr>
          <w:color w:val="0F1115"/>
          <w:sz w:val="28"/>
          <w:szCs w:val="28"/>
        </w:rPr>
        <w:t>,</w:t>
      </w:r>
      <w:r w:rsidRPr="00024839">
        <w:rPr>
          <w:color w:val="0F1115"/>
          <w:sz w:val="28"/>
          <w:szCs w:val="28"/>
        </w:rPr>
        <w:t xml:space="preserve"> интеграция с иностранными GDS/партнерами).</w:t>
      </w:r>
    </w:p>
    <w:p w14:paraId="37666970" w14:textId="77777777" w:rsidR="00741D36" w:rsidRPr="00024839" w:rsidRDefault="00741D36" w:rsidP="00741D36">
      <w:pPr>
        <w:pStyle w:val="ds-markdown-paragraph"/>
        <w:numPr>
          <w:ilvl w:val="1"/>
          <w:numId w:val="11"/>
        </w:numPr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024839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Получить согласие:</w:t>
      </w:r>
      <w:r w:rsidRPr="00024839">
        <w:rPr>
          <w:color w:val="0F1115"/>
          <w:sz w:val="28"/>
          <w:szCs w:val="28"/>
        </w:rPr>
        <w:t> Включить в форму согласия на обработку ПДн ясный и информированный пункт о возможности передачи данных в иностранные государства, не обеспечивающие адекватную защиту прав субъектов ПДн (с указанием этих стран и сервисов), и получить на это согласие субъекта.</w:t>
      </w:r>
    </w:p>
    <w:p w14:paraId="21DE146C" w14:textId="110BC306" w:rsidR="00741D36" w:rsidRPr="00741D36" w:rsidRDefault="00741D36" w:rsidP="00741D36">
      <w:pPr>
        <w:pStyle w:val="ds-markdown-paragraph"/>
        <w:numPr>
          <w:ilvl w:val="1"/>
          <w:numId w:val="11"/>
        </w:numPr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024839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Рассмотреть альтернативы:</w:t>
      </w:r>
      <w:r w:rsidRPr="00024839">
        <w:rPr>
          <w:color w:val="0F1115"/>
          <w:sz w:val="28"/>
          <w:szCs w:val="28"/>
        </w:rPr>
        <w:t> В качестве основного канала для уведомлений российских клиентов рассмотреть использование российских почтовых сервисов.</w:t>
      </w:r>
    </w:p>
    <w:p w14:paraId="205184C0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4180DEDD" w14:textId="0B63E4ED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Локализация</w:t>
      </w:r>
      <w:r w:rsidR="00024839">
        <w:rPr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 xml:space="preserve"> Данные россиян должны храниться в РФ для соблюдения закона. Провайдер с локальными серверами или гибридное решение предотвращает штрафы. </w:t>
      </w:r>
    </w:p>
    <w:p w14:paraId="042CE655" w14:textId="739A8EC4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Уведомление</w:t>
      </w:r>
      <w:r w:rsidR="00024839">
        <w:rPr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 xml:space="preserve"> Регистрация в Роскомнадзоре — формальность, требующая описания целей обработки (ведение клиентской базы). </w:t>
      </w:r>
    </w:p>
    <w:p w14:paraId="16083436" w14:textId="1BF5BE93" w:rsid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Минимизация</w:t>
      </w:r>
      <w:r w:rsidR="00024839">
        <w:rPr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 xml:space="preserve"> Сбор лишних данных запрещен. Ограничение полей ввода минимизирует риски и упрощает управление данными</w:t>
      </w:r>
      <w:r w:rsidR="004C1001">
        <w:rPr>
          <w:color w:val="0F1115"/>
          <w:sz w:val="28"/>
          <w:szCs w:val="28"/>
        </w:rPr>
        <w:t>.</w:t>
      </w:r>
    </w:p>
    <w:p w14:paraId="412D4E95" w14:textId="1686911A" w:rsidR="004C1001" w:rsidRPr="00795E93" w:rsidRDefault="004C1001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Трансграничная передача:</w:t>
      </w:r>
      <w:r w:rsidRPr="004C1001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Pr="004C1001">
        <w:rPr>
          <w:color w:val="0F1115"/>
          <w:sz w:val="28"/>
          <w:szCs w:val="28"/>
        </w:rPr>
        <w:t xml:space="preserve">Отправка билета, содержащего ФИО и паспортные данные, на зарубежный почтовый сервер </w:t>
      </w:r>
      <w:r>
        <w:rPr>
          <w:color w:val="0F1115"/>
          <w:sz w:val="28"/>
          <w:szCs w:val="28"/>
        </w:rPr>
        <w:t xml:space="preserve">- </w:t>
      </w:r>
      <w:r w:rsidRPr="004C1001">
        <w:rPr>
          <w:color w:val="0F1115"/>
          <w:sz w:val="28"/>
          <w:szCs w:val="28"/>
        </w:rPr>
        <w:t>пример трансграничной передачи. Отсутствие правового основания для такой передачи (согласия субъекта) является нарушением.</w:t>
      </w:r>
    </w:p>
    <w:p w14:paraId="61CD862B" w14:textId="77777777" w:rsidR="00795E93" w:rsidRPr="00437DCC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 xml:space="preserve">Требования, которые могут не учитываться (с обоснованием): </w:t>
      </w:r>
    </w:p>
    <w:p w14:paraId="4F862A6B" w14:textId="6F95E374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lastRenderedPageBreak/>
        <w:t>Обезличивание данных</w:t>
      </w:r>
      <w:r w:rsidR="00024839">
        <w:rPr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 xml:space="preserve"> Статья 7 Обработка ПДн в форме, не позволяющей идентифицировать субъекта. </w:t>
      </w:r>
    </w:p>
    <w:p w14:paraId="538A6399" w14:textId="281C47FD" w:rsidR="00795E93" w:rsidRPr="00024839" w:rsidRDefault="00795E93" w:rsidP="00024839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Обоснование: CRM требует точной идентификации клиентов (имя, телефон) для продаж и общения, поэтому обезличивание противоречит</w:t>
      </w:r>
    </w:p>
    <w:p w14:paraId="508F83D3" w14:textId="58D268BC" w:rsidR="00795E93" w:rsidRPr="00743161" w:rsidRDefault="00795E93" w:rsidP="00437DC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ISO/IEC 27001:20</w:t>
      </w:r>
      <w:r w:rsidR="00727C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22</w:t>
      </w:r>
      <w:r w:rsidR="00E60A96" w:rsidRPr="004C23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431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— Информационная безопасность</w:t>
      </w:r>
    </w:p>
    <w:p w14:paraId="2CC11BA2" w14:textId="1860A120" w:rsidR="00795E93" w:rsidRPr="004C23F0" w:rsidRDefault="00795E93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D06">
        <w:rPr>
          <w:rFonts w:ascii="Times New Roman" w:hAnsi="Times New Roman" w:cs="Times New Roman"/>
          <w:sz w:val="28"/>
          <w:szCs w:val="28"/>
          <w:lang w:eastAsia="ru-RU"/>
        </w:rPr>
        <w:t>Описание:</w:t>
      </w:r>
      <w:r w:rsidR="00437DCC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F41D06">
        <w:rPr>
          <w:rFonts w:ascii="Times New Roman" w:hAnsi="Times New Roman" w:cs="Times New Roman"/>
          <w:sz w:val="28"/>
          <w:szCs w:val="28"/>
          <w:lang w:eastAsia="ru-RU"/>
        </w:rPr>
        <w:t>Стандарт управления системой информационной безопасности (СИБ).</w:t>
      </w:r>
    </w:p>
    <w:p w14:paraId="5930265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273BBAAA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Оценка рисков: Регулярная оценка рисков для информации (ПДн, финансовые данные) (Раздел 6.1.2).</w:t>
      </w:r>
    </w:p>
    <w:p w14:paraId="3974C42E" w14:textId="09827033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Управление доступом: Строгий контроль и разграничение прав доступа к данным и функциям системы </w:t>
      </w:r>
      <w:r w:rsidR="00E60A96" w:rsidRPr="00E60A96">
        <w:rPr>
          <w:color w:val="0F1115"/>
          <w:sz w:val="28"/>
          <w:szCs w:val="28"/>
        </w:rPr>
        <w:t xml:space="preserve">(Раздел 5.7, </w:t>
      </w:r>
      <w:r w:rsidR="00E60A96" w:rsidRPr="00795E93">
        <w:rPr>
          <w:color w:val="0F1115"/>
          <w:sz w:val="28"/>
          <w:szCs w:val="28"/>
        </w:rPr>
        <w:t>Приложение</w:t>
      </w:r>
      <w:r w:rsidR="00E60A96" w:rsidRPr="00E60A96">
        <w:rPr>
          <w:color w:val="0F1115"/>
          <w:sz w:val="28"/>
          <w:szCs w:val="28"/>
        </w:rPr>
        <w:t xml:space="preserve"> А.5.18)</w:t>
      </w:r>
      <w:r w:rsidR="00E60A96">
        <w:rPr>
          <w:color w:val="0F1115"/>
          <w:sz w:val="28"/>
          <w:szCs w:val="28"/>
        </w:rPr>
        <w:t>.</w:t>
      </w:r>
    </w:p>
    <w:p w14:paraId="4F96E9EF" w14:textId="2C692024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Инцидент-менеджмент: Процедуры по реагированию на инциденты безопасности </w:t>
      </w:r>
      <w:r w:rsidR="00E60A96" w:rsidRPr="00E60A96">
        <w:rPr>
          <w:color w:val="0F1115"/>
          <w:sz w:val="28"/>
          <w:szCs w:val="28"/>
        </w:rPr>
        <w:t>(Раздел 8.16,</w:t>
      </w:r>
      <w:r w:rsidR="00E60A96">
        <w:rPr>
          <w:color w:val="0F1115"/>
          <w:sz w:val="28"/>
          <w:szCs w:val="28"/>
        </w:rPr>
        <w:t xml:space="preserve"> </w:t>
      </w:r>
      <w:r w:rsidR="00E60A96" w:rsidRPr="00795E93">
        <w:rPr>
          <w:color w:val="0F1115"/>
          <w:sz w:val="28"/>
          <w:szCs w:val="28"/>
        </w:rPr>
        <w:t>Приложение</w:t>
      </w:r>
      <w:r w:rsidR="00E60A96" w:rsidRPr="00E60A96">
        <w:rPr>
          <w:color w:val="0F1115"/>
          <w:sz w:val="28"/>
          <w:szCs w:val="28"/>
        </w:rPr>
        <w:t xml:space="preserve"> А.5.24,</w:t>
      </w:r>
      <w:r w:rsidR="00E60A96">
        <w:rPr>
          <w:color w:val="0F1115"/>
          <w:sz w:val="28"/>
          <w:szCs w:val="28"/>
        </w:rPr>
        <w:t xml:space="preserve"> </w:t>
      </w:r>
      <w:r w:rsidR="00E60A96" w:rsidRPr="00795E93">
        <w:rPr>
          <w:color w:val="0F1115"/>
          <w:sz w:val="28"/>
          <w:szCs w:val="28"/>
        </w:rPr>
        <w:t>Приложение</w:t>
      </w:r>
      <w:r w:rsidR="00E60A96" w:rsidRPr="00E60A96">
        <w:rPr>
          <w:color w:val="0F1115"/>
          <w:sz w:val="28"/>
          <w:szCs w:val="28"/>
        </w:rPr>
        <w:t xml:space="preserve"> А.5.26).</w:t>
      </w:r>
    </w:p>
    <w:p w14:paraId="6B994BC4" w14:textId="77AF6B6B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Криптография: Применение шифрования для защиты конфиденциальной информации (Приложение </w:t>
      </w:r>
      <w:r w:rsidR="00474F53" w:rsidRPr="00474F53">
        <w:rPr>
          <w:color w:val="0F1115"/>
          <w:sz w:val="28"/>
          <w:szCs w:val="28"/>
        </w:rPr>
        <w:t>А.5.31</w:t>
      </w:r>
      <w:r w:rsidRPr="00795E93">
        <w:rPr>
          <w:color w:val="0F1115"/>
          <w:sz w:val="28"/>
          <w:szCs w:val="28"/>
        </w:rPr>
        <w:t>).</w:t>
      </w:r>
    </w:p>
    <w:p w14:paraId="72FC852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5C8D192F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Риски: Провести анализ угроз и уязвимостей (например, по модели STRIDE или OWASP Top 10), уделив особое внимание уязвимостям инъекций (SQL), механизмам аутентификации и сессий.</w:t>
      </w:r>
    </w:p>
    <w:p w14:paraId="2C0C0F32" w14:textId="6D186FF9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Контроль доступа</w:t>
      </w:r>
      <w:r w:rsidRPr="00A4232B">
        <w:rPr>
          <w:color w:val="0F1115"/>
          <w:sz w:val="28"/>
          <w:szCs w:val="28"/>
        </w:rPr>
        <w:t>:</w:t>
      </w:r>
      <w:r w:rsidRPr="00795E93">
        <w:rPr>
          <w:color w:val="0F1115"/>
          <w:sz w:val="28"/>
          <w:szCs w:val="28"/>
        </w:rPr>
        <w:t> Внедрить ролевую модель (RBAC): Пользователь, Менеджер, Администратор. Пользователь имеет доступ только к своим бронированиям.</w:t>
      </w:r>
    </w:p>
    <w:p w14:paraId="65AFB2F3" w14:textId="03597D22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Инциденты</w:t>
      </w:r>
      <w:r w:rsidRPr="00A4232B">
        <w:rPr>
          <w:color w:val="0F1115"/>
          <w:sz w:val="28"/>
          <w:szCs w:val="28"/>
        </w:rPr>
        <w:t>:</w:t>
      </w:r>
      <w:r w:rsidRPr="00795E93">
        <w:rPr>
          <w:color w:val="0F1115"/>
          <w:sz w:val="28"/>
          <w:szCs w:val="28"/>
        </w:rPr>
        <w:t> Настроить систему мониторинга и оповещения (например, в Sentry, Grafana) о подозрительных действиях (множественные failed login attempts, массовые запросы на поиск).</w:t>
      </w:r>
    </w:p>
    <w:p w14:paraId="1B9A7720" w14:textId="7ECC60E2" w:rsidR="00AA4E1A" w:rsidRPr="00A4232B" w:rsidRDefault="00795E93" w:rsidP="00A4232B">
      <w:pPr>
        <w:pStyle w:val="ds-markdown-paragraph"/>
        <w:numPr>
          <w:ilvl w:val="0"/>
          <w:numId w:val="15"/>
        </w:numPr>
        <w:spacing w:after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</w:t>
      </w:r>
      <w:r w:rsidR="00A4232B" w:rsidRPr="00A4232B">
        <w:rPr>
          <w:color w:val="0F1115"/>
          <w:sz w:val="28"/>
          <w:szCs w:val="28"/>
        </w:rPr>
        <w:t>:</w:t>
      </w:r>
      <w:r w:rsidR="00727C5C">
        <w:rPr>
          <w:color w:val="0F1115"/>
          <w:sz w:val="28"/>
          <w:szCs w:val="28"/>
        </w:rPr>
        <w:t xml:space="preserve"> </w:t>
      </w:r>
      <w:r w:rsidRPr="00A4232B">
        <w:rPr>
          <w:color w:val="0F1115"/>
          <w:sz w:val="28"/>
          <w:szCs w:val="28"/>
        </w:rPr>
        <w:t>Использовать современные алгоритмы шифрования (AES-256 для данных, bcrypt для хэшей паролей).</w:t>
      </w:r>
    </w:p>
    <w:p w14:paraId="57A45CA4" w14:textId="3D83B78B" w:rsidR="00FB24E2" w:rsidRPr="00AA4E1A" w:rsidRDefault="00795E93" w:rsidP="00AA4E1A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AA4E1A">
        <w:rPr>
          <w:color w:val="0F1115"/>
          <w:sz w:val="28"/>
          <w:szCs w:val="28"/>
        </w:rPr>
        <w:t>Обоснование:</w:t>
      </w:r>
      <w:r w:rsidR="00AA4E1A">
        <w:rPr>
          <w:color w:val="0F1115"/>
          <w:sz w:val="28"/>
          <w:szCs w:val="28"/>
        </w:rPr>
        <w:t xml:space="preserve"> </w:t>
      </w:r>
      <w:r w:rsidRPr="00AA4E1A">
        <w:rPr>
          <w:color w:val="0F1115"/>
          <w:sz w:val="28"/>
          <w:szCs w:val="28"/>
        </w:rPr>
        <w:t>Система является привлекательной мишенью для злоумышленников (данные карт, ПДн). Внедрение процессов ISMS снижает риски и демонстрирует клиентам серьезный подход к безопасности.</w:t>
      </w:r>
    </w:p>
    <w:p w14:paraId="26EA09C6" w14:textId="504D4D4D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WCAG 2.</w:t>
      </w:r>
      <w:r w:rsidR="004922DD">
        <w:rPr>
          <w:b/>
          <w:bCs/>
          <w:color w:val="0F1115"/>
          <w:sz w:val="28"/>
          <w:szCs w:val="28"/>
        </w:rPr>
        <w:t>2</w:t>
      </w:r>
      <w:r w:rsidRPr="00795E93">
        <w:rPr>
          <w:b/>
          <w:bCs/>
          <w:color w:val="0F1115"/>
          <w:sz w:val="28"/>
          <w:szCs w:val="28"/>
        </w:rPr>
        <w:t xml:space="preserve"> — Руководство по доступности веб-контента</w:t>
      </w:r>
    </w:p>
    <w:p w14:paraId="7B85B509" w14:textId="1111C47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Описание:</w:t>
      </w:r>
      <w:r w:rsidR="00437DCC">
        <w:rPr>
          <w:b/>
          <w:bCs/>
          <w:color w:val="0F1115"/>
          <w:sz w:val="28"/>
          <w:szCs w:val="28"/>
        </w:rPr>
        <w:t> </w:t>
      </w:r>
      <w:r w:rsidRPr="00795E93">
        <w:rPr>
          <w:color w:val="0F1115"/>
          <w:sz w:val="28"/>
          <w:szCs w:val="28"/>
        </w:rPr>
        <w:t>Рекомендации для обеспечения доступности веб-интерфейсов для людей с ограниченными возможностями.</w:t>
      </w:r>
    </w:p>
    <w:p w14:paraId="537F1EBE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 (Уровень AA):</w:t>
      </w:r>
    </w:p>
    <w:p w14:paraId="4ECB3E42" w14:textId="0083112F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Воспринимаемость: Альтернативные тексты для изображений, семантическая верстка</w:t>
      </w:r>
      <w:r w:rsidR="00244E4F" w:rsidRPr="00244E4F">
        <w:rPr>
          <w:color w:val="0F1115"/>
          <w:sz w:val="28"/>
          <w:szCs w:val="28"/>
        </w:rPr>
        <w:t>, адаптивный интерфейс</w:t>
      </w:r>
      <w:r w:rsidR="00244E4F">
        <w:rPr>
          <w:color w:val="0F1115"/>
          <w:sz w:val="28"/>
          <w:szCs w:val="28"/>
        </w:rPr>
        <w:t xml:space="preserve">, </w:t>
      </w:r>
      <w:r w:rsidR="00244E4F" w:rsidRPr="00244E4F">
        <w:rPr>
          <w:color w:val="0F1115"/>
          <w:sz w:val="28"/>
          <w:szCs w:val="28"/>
        </w:rPr>
        <w:t>адаптивный интерфейс</w:t>
      </w:r>
      <w:r w:rsidRPr="00795E93">
        <w:rPr>
          <w:color w:val="0F1115"/>
          <w:sz w:val="28"/>
          <w:szCs w:val="28"/>
        </w:rPr>
        <w:t xml:space="preserve"> (Принцип 1.3).</w:t>
      </w:r>
    </w:p>
    <w:p w14:paraId="20EBEBF1" w14:textId="3BE7ACF3" w:rsidR="00244E4F" w:rsidRDefault="00795E93" w:rsidP="00244E4F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lastRenderedPageBreak/>
        <w:t>Управляемость: Полная навигация и совершение заказа с помощью клавиатуры</w:t>
      </w:r>
      <w:r w:rsidR="00244E4F">
        <w:rPr>
          <w:color w:val="0F1115"/>
          <w:sz w:val="28"/>
          <w:szCs w:val="28"/>
        </w:rPr>
        <w:t xml:space="preserve">, </w:t>
      </w:r>
      <w:r w:rsidR="00244E4F" w:rsidRPr="00244E4F">
        <w:rPr>
          <w:color w:val="0F1115"/>
          <w:sz w:val="28"/>
          <w:szCs w:val="28"/>
        </w:rPr>
        <w:t>достаточное время для взаимодействия</w:t>
      </w:r>
      <w:r w:rsidRPr="00795E93">
        <w:rPr>
          <w:color w:val="0F1115"/>
          <w:sz w:val="28"/>
          <w:szCs w:val="28"/>
        </w:rPr>
        <w:t xml:space="preserve"> (Принцип 2.1</w:t>
      </w:r>
      <w:r w:rsidR="00244E4F" w:rsidRPr="00244E4F">
        <w:rPr>
          <w:color w:val="0F1115"/>
          <w:sz w:val="28"/>
          <w:szCs w:val="28"/>
        </w:rPr>
        <w:t>, 2.2</w:t>
      </w:r>
      <w:r w:rsidRPr="00795E93">
        <w:rPr>
          <w:color w:val="0F1115"/>
          <w:sz w:val="28"/>
          <w:szCs w:val="28"/>
        </w:rPr>
        <w:t>).</w:t>
      </w:r>
    </w:p>
    <w:p w14:paraId="23BE0036" w14:textId="5D4E938F" w:rsidR="00244E4F" w:rsidRPr="00244E4F" w:rsidRDefault="00244E4F" w:rsidP="00244E4F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244E4F">
        <w:rPr>
          <w:color w:val="0F1115"/>
          <w:sz w:val="28"/>
          <w:szCs w:val="28"/>
        </w:rPr>
        <w:t>Понятность: Предсказуемость интерфейса, помощь в избежании и исправлении ошибок (Принцип 3.2, 3.3).</w:t>
      </w:r>
    </w:p>
    <w:p w14:paraId="4C2F8E84" w14:textId="3B24776C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Контрастность: </w:t>
      </w:r>
      <w:r w:rsidR="00244E4F" w:rsidRPr="00244E4F">
        <w:rPr>
          <w:color w:val="0F1115"/>
          <w:sz w:val="28"/>
          <w:szCs w:val="28"/>
        </w:rPr>
        <w:t> Контрастность не только текста, но и интерактивных элементов, видимость фокуса</w:t>
      </w:r>
      <w:r w:rsidRPr="00795E93">
        <w:rPr>
          <w:color w:val="0F1115"/>
          <w:sz w:val="28"/>
          <w:szCs w:val="28"/>
        </w:rPr>
        <w:t xml:space="preserve"> (</w:t>
      </w:r>
      <w:r w:rsidR="00244E4F" w:rsidRPr="00244E4F">
        <w:rPr>
          <w:color w:val="0F1115"/>
          <w:sz w:val="28"/>
          <w:szCs w:val="28"/>
        </w:rPr>
        <w:t>Критерии 1.4.11, 2.4.7, 2.4.13, 2.5.8</w:t>
      </w:r>
      <w:r w:rsidRPr="00795E93">
        <w:rPr>
          <w:color w:val="0F1115"/>
          <w:sz w:val="28"/>
          <w:szCs w:val="28"/>
        </w:rPr>
        <w:t>).</w:t>
      </w:r>
    </w:p>
    <w:p w14:paraId="577B38B1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2D3AB6DE" w14:textId="5F790404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Воспринимаемость: Добавить alt-тексты для логотипов и иконок, использовать семантические теги HTML5 (&lt;header&gt;, &lt;nav&gt;, &lt;main&gt;, &lt;button&gt;).</w:t>
      </w:r>
      <w:r w:rsidR="00512D04" w:rsidRPr="00512D04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="00512D04" w:rsidRPr="00512D04">
        <w:rPr>
          <w:color w:val="0F1115"/>
          <w:sz w:val="28"/>
          <w:szCs w:val="28"/>
        </w:rPr>
        <w:t>Убедиться, что нестандартные элементы интерфейса (например, кастомные всплывающие подсказки) можно легко отключить или они остаются видимыми при наведении фокуса</w:t>
      </w:r>
    </w:p>
    <w:p w14:paraId="408630F3" w14:textId="7924C476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Управляемость: Обеспечить четкую визуальную индикацию фокуса для всех интерактивных элементов, возможность заполнить все формы и нажать все кнопки с клавиатуры.</w:t>
      </w:r>
      <w:r w:rsidR="00512D04" w:rsidRPr="00512D04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="00512D04" w:rsidRPr="00512D04">
        <w:rPr>
          <w:color w:val="0F1115"/>
          <w:sz w:val="28"/>
          <w:szCs w:val="28"/>
        </w:rPr>
        <w:t>Если на странице есть "липкое" (fixed) меню или панель инструментов, убедиться, что они не перекрывают элемент, на котором сфокусирован пользователь</w:t>
      </w:r>
      <w:r w:rsidR="00512D04">
        <w:rPr>
          <w:color w:val="0F1115"/>
          <w:sz w:val="28"/>
          <w:szCs w:val="28"/>
        </w:rPr>
        <w:t>.</w:t>
      </w:r>
    </w:p>
    <w:p w14:paraId="7710ACFF" w14:textId="20C9A6F8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Понятность: Четко маркировать все поля ввода, предоставлять понятные сообщения об ошибках (не просто "Ошибка", а "Номер карты введен неверно").</w:t>
      </w:r>
      <w:r w:rsidR="00512D04" w:rsidRPr="00512D04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="00512D04" w:rsidRPr="00512D04">
        <w:rPr>
          <w:color w:val="0F1115"/>
          <w:sz w:val="28"/>
          <w:szCs w:val="28"/>
        </w:rPr>
        <w:t> Если на сайте есть помощь (например, иконка "?" с подсказкой), она должна быть доступна в последовательном и предсказуемом месте на всех страницах.</w:t>
      </w:r>
    </w:p>
    <w:p w14:paraId="55C9A0DB" w14:textId="783C139A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Контрастность: Проверить и адаптировать цветовую схему (текст/фон) под требования контраста.</w:t>
      </w:r>
      <w:r w:rsidR="00512D04" w:rsidRPr="00512D04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="00512D04" w:rsidRPr="00512D04">
        <w:rPr>
          <w:color w:val="0F1115"/>
          <w:sz w:val="28"/>
          <w:szCs w:val="28"/>
        </w:rPr>
        <w:t>Размер кликабельной области для важных действий (кнопки, иконки) должен быть не менее 24x24 CSS пикселя.</w:t>
      </w:r>
      <w:r w:rsidR="00512D04" w:rsidRPr="00512D04">
        <w:rPr>
          <w:rFonts w:ascii="Segoe UI" w:eastAsiaTheme="minorHAnsi" w:hAnsi="Segoe UI" w:cs="Segoe UI"/>
          <w:color w:val="0F1115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="00512D04" w:rsidRPr="00512D04">
        <w:rPr>
          <w:color w:val="0F1115"/>
          <w:sz w:val="28"/>
          <w:szCs w:val="28"/>
        </w:rPr>
        <w:t>Для форм, ведущих к юридическим или финансовым последствиям (например, покупка билета), должен быть предусмотрен механизм подтверждения (чекбокс "я подтверждаю заказ", страница проверки) или возможность отмены действия.</w:t>
      </w:r>
    </w:p>
    <w:p w14:paraId="46A03E38" w14:textId="4D440F87" w:rsidR="00FB24E2" w:rsidRPr="00512D04" w:rsidRDefault="00FB24E2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  <w:lang w:val="en-US"/>
        </w:rPr>
      </w:pPr>
      <w:r w:rsidRPr="00743161">
        <w:rPr>
          <w:b/>
          <w:bCs/>
          <w:color w:val="0F1115"/>
          <w:sz w:val="28"/>
          <w:szCs w:val="28"/>
          <w:lang w:val="en-US"/>
        </w:rPr>
        <w:t>PCI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DSS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(</w:t>
      </w:r>
      <w:r w:rsidRPr="00743161">
        <w:rPr>
          <w:b/>
          <w:bCs/>
          <w:color w:val="0F1115"/>
          <w:sz w:val="28"/>
          <w:szCs w:val="28"/>
          <w:lang w:val="en-US"/>
        </w:rPr>
        <w:t>Payment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Card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Industry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Data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Security</w:t>
      </w:r>
      <w:r w:rsidRPr="00512D04">
        <w:rPr>
          <w:b/>
          <w:bCs/>
          <w:color w:val="0F1115"/>
          <w:sz w:val="28"/>
          <w:szCs w:val="28"/>
          <w:lang w:val="en-US"/>
        </w:rPr>
        <w:t xml:space="preserve"> </w:t>
      </w:r>
      <w:r w:rsidRPr="00743161">
        <w:rPr>
          <w:b/>
          <w:bCs/>
          <w:color w:val="0F1115"/>
          <w:sz w:val="28"/>
          <w:szCs w:val="28"/>
          <w:lang w:val="en-US"/>
        </w:rPr>
        <w:t>Standard</w:t>
      </w:r>
      <w:r w:rsidRPr="00512D04">
        <w:rPr>
          <w:b/>
          <w:bCs/>
          <w:color w:val="0F1115"/>
          <w:sz w:val="28"/>
          <w:szCs w:val="28"/>
          <w:lang w:val="en-US"/>
        </w:rPr>
        <w:t>)</w:t>
      </w:r>
    </w:p>
    <w:p w14:paraId="0C7FCAB4" w14:textId="70489415" w:rsidR="00FB24E2" w:rsidRPr="00FB24E2" w:rsidRDefault="00FB24E2" w:rsidP="00437DCC">
      <w:pPr>
        <w:pStyle w:val="ds-markdown-paragraph"/>
        <w:spacing w:before="0" w:beforeAutospacing="0" w:after="0" w:afterAutospacing="0"/>
        <w:ind w:firstLine="708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Описание:</w:t>
      </w:r>
      <w:r w:rsidR="00437DCC">
        <w:rPr>
          <w:color w:val="0F1115"/>
          <w:sz w:val="28"/>
          <w:szCs w:val="28"/>
        </w:rPr>
        <w:t xml:space="preserve"> </w:t>
      </w:r>
      <w:r w:rsidRPr="00FB24E2">
        <w:rPr>
          <w:color w:val="0F1115"/>
          <w:sz w:val="28"/>
          <w:szCs w:val="28"/>
        </w:rPr>
        <w:t>Международный стандарт безопасности индустрии платежных карт.</w:t>
      </w:r>
    </w:p>
    <w:p w14:paraId="1D90257F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требования:</w:t>
      </w:r>
    </w:p>
    <w:p w14:paraId="3DFB4544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данных карт: Шифрование данных карт при передаче и хранении.</w:t>
      </w:r>
    </w:p>
    <w:p w14:paraId="6B9D0A28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от уязвимостей: Регулярное тестирование безопасности систем и приложений.</w:t>
      </w:r>
    </w:p>
    <w:p w14:paraId="029B932D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Контроль доступа: Строгое разграничение доступа к данным карт по принципу need-to-know.</w:t>
      </w:r>
    </w:p>
    <w:p w14:paraId="2569D587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lastRenderedPageBreak/>
        <w:t>Политика безопасности: Реализация и соблюдение политик информационной безопасности.</w:t>
      </w:r>
    </w:p>
    <w:p w14:paraId="68316E04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B56755B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Не хранить данные карт: Использовать метод токенизации через интегрированного платежного провайдера (например, CloudPayments, YooKassa). Это самый надежный способ снизить область действия PCI DSS.</w:t>
      </w:r>
    </w:p>
    <w:p w14:paraId="4EE0FF1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передачи: Использовать только защищенные протоколы (TLS) для передачи любых данных на платежную страницу.</w:t>
      </w:r>
    </w:p>
    <w:p w14:paraId="28A7302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Регулярный аудит: Проводить регулярное сканирование на уязвимости (ASV scans) и тесты на проникновение.</w:t>
      </w:r>
    </w:p>
    <w:p w14:paraId="30EF52B6" w14:textId="77777777" w:rsid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Контроль доступа: Реализовать RBAC, чтобы доступ к журналам транзакций и данным карт (даже токенизированным) имел только ограниченный круг персонала.</w:t>
      </w:r>
    </w:p>
    <w:p w14:paraId="59A34CCB" w14:textId="1DECFA4C" w:rsidR="00795E93" w:rsidRPr="000456D1" w:rsidRDefault="00FB24E2" w:rsidP="000456D1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B34C32">
        <w:rPr>
          <w:color w:val="0F1115"/>
          <w:sz w:val="28"/>
          <w:szCs w:val="28"/>
        </w:rPr>
        <w:t>Обоснование:</w:t>
      </w:r>
      <w:r w:rsidR="000456D1">
        <w:rPr>
          <w:color w:val="0F1115"/>
          <w:sz w:val="28"/>
          <w:szCs w:val="28"/>
        </w:rPr>
        <w:t xml:space="preserve"> </w:t>
      </w:r>
      <w:r w:rsidRPr="000456D1">
        <w:rPr>
          <w:color w:val="0F1115"/>
          <w:sz w:val="28"/>
          <w:szCs w:val="28"/>
        </w:rPr>
        <w:t>Прямая работа с данными платежных карт обязывает соблюдать PCI DSS. Несоблюдение стандарта ведет к огромным штрафам от платежных систем и потере возможности принимать карты к оплате.</w:t>
      </w:r>
    </w:p>
    <w:p w14:paraId="14DA5878" w14:textId="639D6378" w:rsidR="00795E93" w:rsidRPr="00B82C30" w:rsidRDefault="00795E93" w:rsidP="00437DCC">
      <w:pPr>
        <w:pStyle w:val="ds-markdown-paragraph"/>
        <w:spacing w:before="120" w:beforeAutospacing="0" w:after="120" w:afterAutospacing="0"/>
        <w:ind w:firstLine="709"/>
        <w:jc w:val="center"/>
        <w:rPr>
          <w:b/>
          <w:bCs/>
          <w:color w:val="0F1115"/>
          <w:sz w:val="32"/>
          <w:szCs w:val="32"/>
        </w:rPr>
      </w:pPr>
      <w:r w:rsidRPr="00B82C30">
        <w:rPr>
          <w:b/>
          <w:bCs/>
          <w:color w:val="0F1115"/>
          <w:sz w:val="32"/>
          <w:szCs w:val="32"/>
        </w:rPr>
        <w:t>Список использованных стандартов и нормативных документов</w:t>
      </w:r>
    </w:p>
    <w:p w14:paraId="1780AF2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25010:2011 — "Systems and software engineering — Systems and software Quality Requirements and Evaluation (SQuaRE) — System and software quality models".</w:t>
      </w:r>
    </w:p>
    <w:p w14:paraId="3ECCA1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Федеральный закон РФ № 152-ФЗ "О персональных данных" — в редакции от 31.07.2023.</w:t>
      </w:r>
    </w:p>
    <w:p w14:paraId="4B52B033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PCI DSS — Payment Card Industry Data Security Standard. v4.0.</w:t>
      </w:r>
    </w:p>
    <w:p w14:paraId="3E3E64DA" w14:textId="7867EC6E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27001:20</w:t>
      </w:r>
      <w:r w:rsidR="009E3279" w:rsidRPr="009E3279">
        <w:rPr>
          <w:color w:val="0F1115"/>
          <w:sz w:val="28"/>
          <w:szCs w:val="28"/>
          <w:lang w:val="en-US"/>
        </w:rPr>
        <w:t>22</w:t>
      </w:r>
      <w:r w:rsidRPr="00795E93">
        <w:rPr>
          <w:color w:val="0F1115"/>
          <w:sz w:val="28"/>
          <w:szCs w:val="28"/>
          <w:lang w:val="en-US"/>
        </w:rPr>
        <w:t> — "Information technology — Security techniques — Information security management systems — Requirements".</w:t>
      </w:r>
    </w:p>
    <w:p w14:paraId="7AAFCE3E" w14:textId="54731CF0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WCAG 2.</w:t>
      </w:r>
      <w:r w:rsidR="009E3279" w:rsidRPr="009E3279">
        <w:rPr>
          <w:color w:val="0F1115"/>
          <w:sz w:val="28"/>
          <w:szCs w:val="28"/>
          <w:lang w:val="en-US"/>
        </w:rPr>
        <w:t>2</w:t>
      </w:r>
      <w:r w:rsidRPr="00795E93">
        <w:rPr>
          <w:color w:val="0F1115"/>
          <w:sz w:val="28"/>
          <w:szCs w:val="28"/>
          <w:lang w:val="en-US"/>
        </w:rPr>
        <w:t> — "Web Content Accessibility Guidelines 2.1".</w:t>
      </w:r>
    </w:p>
    <w:p w14:paraId="06D5F1B5" w14:textId="77777777" w:rsidR="00795E93" w:rsidRPr="00F41D06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  <w:lang w:val="en-US"/>
        </w:rPr>
      </w:pPr>
    </w:p>
    <w:sectPr w:rsidR="00795E93" w:rsidRPr="00F4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4"/>
  </w:num>
  <w:num w:numId="2" w16cid:durableId="344209901">
    <w:abstractNumId w:val="16"/>
  </w:num>
  <w:num w:numId="3" w16cid:durableId="1912154152">
    <w:abstractNumId w:val="7"/>
  </w:num>
  <w:num w:numId="4" w16cid:durableId="1453741181">
    <w:abstractNumId w:val="18"/>
  </w:num>
  <w:num w:numId="5" w16cid:durableId="2020351354">
    <w:abstractNumId w:val="9"/>
  </w:num>
  <w:num w:numId="6" w16cid:durableId="1074081998">
    <w:abstractNumId w:val="19"/>
  </w:num>
  <w:num w:numId="7" w16cid:durableId="763964890">
    <w:abstractNumId w:val="22"/>
  </w:num>
  <w:num w:numId="8" w16cid:durableId="1713530963">
    <w:abstractNumId w:val="1"/>
  </w:num>
  <w:num w:numId="9" w16cid:durableId="2049330351">
    <w:abstractNumId w:val="15"/>
  </w:num>
  <w:num w:numId="10" w16cid:durableId="1430083905">
    <w:abstractNumId w:val="11"/>
  </w:num>
  <w:num w:numId="11" w16cid:durableId="666174828">
    <w:abstractNumId w:val="6"/>
  </w:num>
  <w:num w:numId="12" w16cid:durableId="141314615">
    <w:abstractNumId w:val="10"/>
  </w:num>
  <w:num w:numId="13" w16cid:durableId="845828280">
    <w:abstractNumId w:val="20"/>
  </w:num>
  <w:num w:numId="14" w16cid:durableId="1362828811">
    <w:abstractNumId w:val="13"/>
  </w:num>
  <w:num w:numId="15" w16cid:durableId="2143573105">
    <w:abstractNumId w:val="8"/>
  </w:num>
  <w:num w:numId="16" w16cid:durableId="2080135250">
    <w:abstractNumId w:val="12"/>
  </w:num>
  <w:num w:numId="17" w16cid:durableId="1824852681">
    <w:abstractNumId w:val="14"/>
  </w:num>
  <w:num w:numId="18" w16cid:durableId="1542671072">
    <w:abstractNumId w:val="21"/>
  </w:num>
  <w:num w:numId="19" w16cid:durableId="841316405">
    <w:abstractNumId w:val="5"/>
  </w:num>
  <w:num w:numId="20" w16cid:durableId="2020424998">
    <w:abstractNumId w:val="3"/>
  </w:num>
  <w:num w:numId="21" w16cid:durableId="218250240">
    <w:abstractNumId w:val="0"/>
  </w:num>
  <w:num w:numId="22" w16cid:durableId="1411125227">
    <w:abstractNumId w:val="2"/>
  </w:num>
  <w:num w:numId="23" w16cid:durableId="252010584">
    <w:abstractNumId w:val="17"/>
  </w:num>
  <w:num w:numId="24" w16cid:durableId="3738444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24839"/>
    <w:rsid w:val="0003409D"/>
    <w:rsid w:val="000456D1"/>
    <w:rsid w:val="00083B04"/>
    <w:rsid w:val="000C46FB"/>
    <w:rsid w:val="000C58AB"/>
    <w:rsid w:val="000E1391"/>
    <w:rsid w:val="000E274A"/>
    <w:rsid w:val="00102777"/>
    <w:rsid w:val="00181E6F"/>
    <w:rsid w:val="001A0EBC"/>
    <w:rsid w:val="00237826"/>
    <w:rsid w:val="00244E4F"/>
    <w:rsid w:val="00251624"/>
    <w:rsid w:val="002B55D3"/>
    <w:rsid w:val="002C495D"/>
    <w:rsid w:val="00341B95"/>
    <w:rsid w:val="003C07B5"/>
    <w:rsid w:val="00422C7E"/>
    <w:rsid w:val="00437DCC"/>
    <w:rsid w:val="00474F53"/>
    <w:rsid w:val="004766D0"/>
    <w:rsid w:val="004922DD"/>
    <w:rsid w:val="004C1001"/>
    <w:rsid w:val="004C23F0"/>
    <w:rsid w:val="005003A8"/>
    <w:rsid w:val="00500D11"/>
    <w:rsid w:val="00512D04"/>
    <w:rsid w:val="00533F70"/>
    <w:rsid w:val="005A5072"/>
    <w:rsid w:val="00601E1C"/>
    <w:rsid w:val="00616174"/>
    <w:rsid w:val="00621E7E"/>
    <w:rsid w:val="00622BE6"/>
    <w:rsid w:val="0063075E"/>
    <w:rsid w:val="00655BCE"/>
    <w:rsid w:val="006654AE"/>
    <w:rsid w:val="0067477E"/>
    <w:rsid w:val="00674C81"/>
    <w:rsid w:val="006C7428"/>
    <w:rsid w:val="007077E5"/>
    <w:rsid w:val="00722521"/>
    <w:rsid w:val="00727C5C"/>
    <w:rsid w:val="00741D36"/>
    <w:rsid w:val="00743161"/>
    <w:rsid w:val="00752AA5"/>
    <w:rsid w:val="0079494C"/>
    <w:rsid w:val="00794B8E"/>
    <w:rsid w:val="00795E93"/>
    <w:rsid w:val="007A3C1A"/>
    <w:rsid w:val="008D05C6"/>
    <w:rsid w:val="00950037"/>
    <w:rsid w:val="009E2CF4"/>
    <w:rsid w:val="009E3279"/>
    <w:rsid w:val="00A4232B"/>
    <w:rsid w:val="00A623C7"/>
    <w:rsid w:val="00A87323"/>
    <w:rsid w:val="00AA4E1A"/>
    <w:rsid w:val="00AD04BB"/>
    <w:rsid w:val="00B12F36"/>
    <w:rsid w:val="00B34C32"/>
    <w:rsid w:val="00B82C30"/>
    <w:rsid w:val="00BB253E"/>
    <w:rsid w:val="00BE2FE8"/>
    <w:rsid w:val="00BF7BA1"/>
    <w:rsid w:val="00C103F1"/>
    <w:rsid w:val="00D10BCE"/>
    <w:rsid w:val="00D53273"/>
    <w:rsid w:val="00DC0015"/>
    <w:rsid w:val="00DE1323"/>
    <w:rsid w:val="00E60A96"/>
    <w:rsid w:val="00EC0EED"/>
    <w:rsid w:val="00EC562D"/>
    <w:rsid w:val="00EE1E2A"/>
    <w:rsid w:val="00F15018"/>
    <w:rsid w:val="00F41D06"/>
    <w:rsid w:val="00F62AF8"/>
    <w:rsid w:val="00F85B64"/>
    <w:rsid w:val="00F97370"/>
    <w:rsid w:val="00FB24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  <w:style w:type="character" w:styleId="HTML">
    <w:name w:val="HTML Code"/>
    <w:basedOn w:val="a0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218</cp:revision>
  <dcterms:created xsi:type="dcterms:W3CDTF">2025-09-21T09:27:00Z</dcterms:created>
  <dcterms:modified xsi:type="dcterms:W3CDTF">2025-10-05T10:03:00Z</dcterms:modified>
</cp:coreProperties>
</file>