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633C00" w14:textId="77777777" w:rsidR="00F62503" w:rsidRPr="006C7473" w:rsidRDefault="00611062" w:rsidP="006C7473">
      <w:pPr>
        <w:pStyle w:val="Ttulo1"/>
        <w:spacing w:before="0" w:line="240" w:lineRule="auto"/>
        <w:jc w:val="both"/>
        <w:rPr>
          <w:rFonts w:ascii="Book Antiqua" w:eastAsia="Book Antiqua" w:hAnsi="Book Antiqua" w:cs="Book Antiqua"/>
          <w:i/>
          <w:color w:val="000000"/>
          <w:sz w:val="22"/>
        </w:rPr>
      </w:pPr>
      <w:r w:rsidRPr="006C7473">
        <w:rPr>
          <w:rFonts w:ascii="Book Antiqua" w:eastAsia="Book Antiqua" w:hAnsi="Book Antiqua" w:cs="Book Antiqua"/>
          <w:i/>
          <w:color w:val="000000"/>
          <w:sz w:val="22"/>
        </w:rPr>
        <w:t>International</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Multidisciplinary</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Journal</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of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Technologies</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and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Applications</w:t>
      </w:r>
      <w:r w:rsidR="006B747B">
        <w:rPr>
          <w:rFonts w:ascii="Book Antiqua" w:eastAsia="Book Antiqua" w:hAnsi="Book Antiqua" w:cs="Book Antiqua"/>
          <w:i/>
          <w:color w:val="000000"/>
          <w:sz w:val="22"/>
        </w:rPr>
        <w:t xml:space="preserve"> (IMJETA)</w:t>
      </w:r>
    </w:p>
    <w:p w14:paraId="0D019F66" w14:textId="77777777" w:rsidR="00F62503" w:rsidRDefault="00611062">
      <w:pPr>
        <w:spacing w:after="0" w:line="240" w:lineRule="auto"/>
        <w:rPr>
          <w:rFonts w:ascii="Book Antiqua" w:eastAsia="Book Antiqua" w:hAnsi="Book Antiqua" w:cs="Book Antiqua"/>
          <w:i/>
        </w:rPr>
      </w:pPr>
      <w:r>
        <w:rPr>
          <w:rFonts w:ascii="Book Antiqua" w:eastAsia="Book Antiqua" w:hAnsi="Book Antiqua" w:cs="Book Antiqua"/>
          <w:i/>
        </w:rPr>
        <w:t>Vol. 1, No. 1, pp. a-b, Month 2026</w:t>
      </w:r>
    </w:p>
    <w:p w14:paraId="124CC5E7" w14:textId="77777777" w:rsidR="00F62503" w:rsidRDefault="00611062">
      <w:pPr>
        <w:spacing w:after="0" w:line="240" w:lineRule="auto"/>
        <w:rPr>
          <w:rFonts w:ascii="Book Antiqua" w:eastAsia="Book Antiqua" w:hAnsi="Book Antiqua" w:cs="Book Antiqua"/>
          <w:i/>
        </w:rPr>
      </w:pPr>
      <w:r>
        <w:rPr>
          <w:rFonts w:ascii="Book Antiqua" w:eastAsia="Book Antiqua" w:hAnsi="Book Antiqua" w:cs="Book Antiqua"/>
          <w:i/>
        </w:rPr>
        <w:t>Received Month 00, 2026; Revised Month 00, 2026; Accepted Month 00, 2026</w:t>
      </w:r>
    </w:p>
    <w:p w14:paraId="2650EB16" w14:textId="77777777" w:rsidR="00F62503" w:rsidRDefault="00611062">
      <w:pPr>
        <w:spacing w:after="0" w:line="240" w:lineRule="auto"/>
        <w:rPr>
          <w:rFonts w:ascii="Book Antiqua" w:eastAsia="Book Antiqua" w:hAnsi="Book Antiqua" w:cs="Book Antiqua"/>
          <w:i/>
        </w:rPr>
      </w:pPr>
      <w:r>
        <w:rPr>
          <w:rFonts w:ascii="Book Antiqua" w:eastAsia="Book Antiqua" w:hAnsi="Book Antiqua" w:cs="Book Antiqua"/>
          <w:i/>
        </w:rPr>
        <w:t>Published Month 00 2026</w:t>
      </w:r>
    </w:p>
    <w:p>
      <w:pPr>
        <w:spacing w:before="240" w:after="240"/>
        <w:jc w:val="left"/>
      </w:pPr>
      <w:r>
        <w:rPr>
          <w:rFonts w:ascii="Book Antiqua" w:hAnsi="Book Antiqua"/>
          <w:b/>
          <w:i w:val="0"/>
          <w:color w:val="000000"/>
          <w:sz w:val="36"/>
        </w:rPr>
        <w:t>Evaluation of Spatial SQL Injection Vulnerabilities in PostGIS-Based Cadastral Information Systems</w:t>
      </w:r>
    </w:p>
    <w:p>
      <w:pPr>
        <w:spacing w:after="80"/>
      </w:pPr>
      <w:r>
        <w:rPr>
          <w:rFonts w:ascii="Book Antiqua" w:hAnsi="Book Antiqua"/>
          <w:b/>
          <w:i w:val="0"/>
          <w:color w:val="000000"/>
          <w:sz w:val="22"/>
        </w:rPr>
        <w:t>Rodrigo Surname1[0000-0002-XXXX-XXXX]</w:t>
      </w:r>
    </w:p>
    <w:p>
      <w:pPr>
        <w:spacing w:after="40"/>
      </w:pPr>
      <w:r>
        <w:rPr>
          <w:rFonts w:ascii="Book Antiqua" w:hAnsi="Book Antiqua"/>
          <w:b w:val="0"/>
          <w:i/>
          <w:color w:val="000000"/>
          <w:sz w:val="20"/>
        </w:rPr>
        <w:t>1National University / Doctoral Program in Cybersecurity</w:t>
      </w:r>
    </w:p>
    <w:p>
      <w:pPr>
        <w:spacing w:after="240"/>
      </w:pPr>
      <w:r>
        <w:rPr>
          <w:rFonts w:ascii="Book Antiqua" w:hAnsi="Book Antiqua"/>
          <w:b w:val="0"/>
          <w:i w:val="0"/>
          <w:color w:val="000000"/>
          <w:sz w:val="20"/>
        </w:rPr>
        <w:t>investigador.catastro@doctorado.edu.pe</w:t>
      </w:r>
    </w:p>
    <w:p>
      <w:pPr>
        <w:spacing w:after="120" w:line="240" w:lineRule="auto"/>
        <w:ind w:left="720" w:right="720"/>
      </w:pPr>
      <w:r>
        <w:rPr>
          <w:rFonts w:ascii="Book Antiqua" w:hAnsi="Book Antiqua"/>
          <w:b/>
          <w:i w:val="0"/>
          <w:color w:val="000000"/>
          <w:sz w:val="20"/>
        </w:rPr>
        <w:t xml:space="preserve">Abstract. </w:t>
      </w:r>
      <w:r>
        <w:rPr>
          <w:rFonts w:ascii="Book Antiqua" w:hAnsi="Book Antiqua"/>
          <w:b w:val="0"/>
          <w:i w:val="0"/>
          <w:color w:val="000000"/>
          <w:sz w:val="20"/>
        </w:rPr>
        <w:t>The integration of spatial databases into web architectures has expanded the attack surface for modern applications; however, the specific risks associated with spatial SQL injections remain largely underexplored. This paper investigates the exploitation and mitigation of spatial SQL injections within cadastral information systems utilizing PostGIS. A containerized testbed was developed using Docker to simulate a critical infrastructure API built with Python (FastAPI) and PostgreSQL/PostGIS. The study demonstrates how attackers can leverage spatial functions (e.g., ST_DWithin, ST_Intersects) to manipulate geospatial logic, exfiltrate unauthorized zoning data, or induce denial-of-service states. Furthermore, the research evaluates the performance impact of implementing robust mitigation strategies, comparing vulnerable dynamic spatial queries with parameterized queries executed via Object-Relational Mapping (ORM) tools such as SQLAlchemy and GeoAlchemy2. Results demonstrate that the proposed pipeline neutralized 100% of the attack vectors with a mean latency overhead of 2.63 ms (+15.24%) and a 12.59% improvement in tail stability (p99). We conclude that effective spatial injection mitigation relies on enforcing in-memory topological validation and rigid ORM parameterization at the application layer rather than perimeter firewalls, securing cadastral integrity with minimal operational overhead.</w:t>
      </w:r>
    </w:p>
    <w:p>
      <w:pPr>
        <w:spacing w:after="280"/>
        <w:ind w:left="720" w:right="720"/>
      </w:pPr>
      <w:r>
        <w:rPr>
          <w:rFonts w:ascii="Book Antiqua" w:hAnsi="Book Antiqua"/>
          <w:b/>
          <w:i w:val="0"/>
          <w:color w:val="000000"/>
          <w:sz w:val="20"/>
        </w:rPr>
        <w:t xml:space="preserve">Keywords: </w:t>
      </w:r>
      <w:r>
        <w:rPr>
          <w:rFonts w:ascii="Book Antiqua" w:hAnsi="Book Antiqua"/>
          <w:b w:val="0"/>
          <w:i w:val="0"/>
          <w:color w:val="000000"/>
          <w:sz w:val="20"/>
        </w:rPr>
        <w:t>Spatial injections; Cadastral systems; Geospatial cybersecurity; Penetration testing; Databases</w:t>
      </w:r>
    </w:p>
    <w:p>
      <w:pPr>
        <w:keepNext/>
        <w:spacing w:before="240" w:after="80"/>
      </w:pPr>
      <w:r>
        <w:rPr>
          <w:rFonts w:ascii="Book Antiqua" w:hAnsi="Book Antiqua"/>
          <w:b/>
          <w:i w:val="0"/>
          <w:color w:val="000000"/>
          <w:sz w:val="24"/>
        </w:rPr>
        <w:t>1. Introduction</w:t>
      </w:r>
    </w:p>
    <w:p>
      <w:pPr>
        <w:spacing w:after="80" w:line="240" w:lineRule="auto"/>
      </w:pPr>
      <w:r>
        <w:rPr>
          <w:rFonts w:ascii="Book Antiqua" w:hAnsi="Book Antiqua"/>
          <w:b w:val="0"/>
          <w:i w:val="0"/>
          <w:color w:val="000000"/>
          <w:sz w:val="22"/>
        </w:rPr>
        <w:t>Modern cadastral information systems expose web services and spatial geoportals over client-server architectures to administer land tenure, municipal zoning, and property taxation (Lemmen et al., 2015). Within this operational domain, PostgreSQL along with its PostGIS spatial extension represents the predominant open-source solution for storing and querying official vector cartography (Obe &amp; Hsu, 2021).</w:t>
      </w:r>
    </w:p>
    <w:p>
      <w:pPr>
        <w:spacing w:after="80" w:line="240" w:lineRule="auto"/>
        <w:ind w:firstLine="432"/>
      </w:pPr>
      <w:r>
        <w:rPr>
          <w:rFonts w:ascii="Book Antiqua" w:hAnsi="Book Antiqua"/>
          <w:b w:val="0"/>
          <w:i w:val="0"/>
          <w:color w:val="000000"/>
          <w:sz w:val="22"/>
        </w:rPr>
        <w:t>However, exposing these spatial data services via REST APIs introduces attack vectors whenever queries are constructed through string concatenation within spatial functions. While classical SQL injection and its risks in web applications have been extensively documented (Clarke, 2012; Halfond et al., 2006; OWASP Foundation, 2021), manipulating PostGIS geometric operators—such as ST_DWithin, ST_Intersects, or ST_Buffer—exhibits distinct mechanics: unsanitized input not only circumvents relational filters or exfiltrates records, but also triggers denial-of-service conditions through topological calculations of high algorithmic complexity.</w:t>
      </w:r>
    </w:p>
    <w:p>
      <w:pPr>
        <w:spacing w:after="80" w:line="240" w:lineRule="auto"/>
        <w:ind w:firstLine="432"/>
      </w:pPr>
      <w:r>
        <w:rPr>
          <w:rFonts w:ascii="Book Antiqua" w:hAnsi="Book Antiqua"/>
          <w:b w:val="0"/>
          <w:i w:val="0"/>
          <w:color w:val="000000"/>
          <w:sz w:val="22"/>
        </w:rPr>
        <w:t>This article presents an experimental evaluation of spatial SQL injection vulnerabilities in PostGIS-based cadastral systems. The study: (1) documents and evaluates six attack vectors mapped to the CIA triad (Confidentiality, Integrity, and Availability); (2) implements a reproducible testbed over an experimental dataset of 1,500 urban parcels structured under the ISO 19152 (LADM) standard; and (3) quantifies the latency and throughput impact of a mitigation architecture combining strongly typed ORM compilation (GeoAlchemy2) with pre-execution validation via Shapely and Pydantic.</w:t>
      </w:r>
    </w:p>
    <w:p>
      <w:pPr>
        <w:keepNext/>
        <w:spacing w:before="240" w:after="80"/>
      </w:pPr>
      <w:r>
        <w:rPr>
          <w:rFonts w:ascii="Book Antiqua" w:hAnsi="Book Antiqua"/>
          <w:b/>
          <w:i w:val="0"/>
          <w:color w:val="000000"/>
          <w:sz w:val="24"/>
        </w:rPr>
        <w:t>2. Related Work</w:t>
      </w:r>
    </w:p>
    <w:p>
      <w:pPr>
        <w:keepNext/>
        <w:spacing w:before="160" w:after="60"/>
      </w:pPr>
      <w:r>
        <w:rPr>
          <w:rFonts w:ascii="Book Antiqua" w:hAnsi="Book Antiqua"/>
          <w:b/>
          <w:i w:val="0"/>
          <w:color w:val="000000"/>
          <w:sz w:val="22"/>
        </w:rPr>
        <w:t>2.1. Spatial SQL Injections and Topological Operators</w:t>
      </w:r>
    </w:p>
    <w:p>
      <w:pPr>
        <w:spacing w:after="80" w:line="240" w:lineRule="auto"/>
      </w:pPr>
      <w:r>
        <w:rPr>
          <w:rFonts w:ascii="Book Antiqua" w:hAnsi="Book Antiqua"/>
          <w:b w:val="0"/>
          <w:i w:val="0"/>
          <w:color w:val="000000"/>
          <w:sz w:val="22"/>
        </w:rPr>
        <w:t>Seminal literature in computer security has established robust taxonomies for SQLi attacks. Halfond et al. (2006) categorized these threats into tautologies, union queries, blind injections, and stored procedure piggybacking. Clarke (2012) expanded upon this by examining the abstract syntax trees (AST) generated by database parsers when unsanitized parameters are concatenated. However, these classical frameworks fail to account for how spatial algebraic operators (Egenhofer, 1994) redefine logical evaluation conditions. Unlike scalar values, a geometric expression processes multiple dimensions, spatial reference system identifiers (SRID), and minimum bounding boxes, significantly expanding the syntactic escape surface. This theoretical gap in classical injection models leaves topological predicate manipulation in spatial relational engines unaddressed.</w:t>
      </w:r>
    </w:p>
    <w:p>
      <w:pPr>
        <w:keepNext/>
        <w:spacing w:before="160" w:after="60"/>
      </w:pPr>
      <w:r>
        <w:rPr>
          <w:rFonts w:ascii="Book Antiqua" w:hAnsi="Book Antiqua"/>
          <w:b/>
          <w:i w:val="0"/>
          <w:color w:val="000000"/>
          <w:sz w:val="22"/>
        </w:rPr>
        <w:t>2.2. Geospatial Access Control Models and Spatial Inference Breaches</w:t>
      </w:r>
    </w:p>
    <w:p>
      <w:pPr>
        <w:spacing w:after="80" w:line="240" w:lineRule="auto"/>
      </w:pPr>
      <w:r>
        <w:rPr>
          <w:rFonts w:ascii="Book Antiqua" w:hAnsi="Book Antiqua"/>
          <w:b w:val="0"/>
          <w:i w:val="0"/>
          <w:color w:val="000000"/>
          <w:sz w:val="22"/>
        </w:rPr>
        <w:t>Access control in spatial databases was formally conceptualized by Bertino et al. (2005) through the GEO-RBAC (Spatially Aware Role-Based Access Control) model, demonstrating that read and write privileges must be dynamically subordinated to geographic boundaries. Complementarily, Chun and Atluri (2008) and Atluri and Chun (2004) investigated spatial inference risks in SDBMS, where unauthorized actors deduce the presence or attributes of protected spatial entities by correlating successive queries. Nevertheless, these approaches assume that the application layer faithfully projects spatial policies to persistence; in modern web architectures, unsafe concatenation directly nullifies persistence-tier access controls without detection by application-tier authorization mechanisms.</w:t>
      </w:r>
    </w:p>
    <w:p>
      <w:pPr>
        <w:keepNext/>
        <w:spacing w:before="160" w:after="60"/>
      </w:pPr>
      <w:r>
        <w:rPr>
          <w:rFonts w:ascii="Book Antiqua" w:hAnsi="Book Antiqua"/>
          <w:b/>
          <w:i w:val="0"/>
          <w:color w:val="000000"/>
          <w:sz w:val="22"/>
        </w:rPr>
        <w:t>2.3. Cadastral Integrity and Data Modeling under ISO 19152 (LADM)</w:t>
      </w:r>
    </w:p>
    <w:p>
      <w:pPr>
        <w:spacing w:after="80" w:line="240" w:lineRule="auto"/>
      </w:pPr>
      <w:r>
        <w:rPr>
          <w:rFonts w:ascii="Book Antiqua" w:hAnsi="Book Antiqua"/>
          <w:b w:val="0"/>
          <w:i w:val="0"/>
          <w:color w:val="000000"/>
          <w:sz w:val="22"/>
        </w:rPr>
        <w:t>The technical modeling of cadastral information systems is governed internationally by the ISO 19152:2012 standard, known as the Land Administration Domain Model (LADM). Foundational works by Lemmen et al. (2015) and van Oosterom et al. (2006) formalized core cadastral entities, prominently LA_SpatialUnit (parcels and lots) and LA_Party (property owners), subsequently extended toward automated mass valuation models (Kara et al., 2021). While the standard prescribes the semantics and interoperability of territorial and registry data, it omits query-level architectural safeguards against SQL injection attacks, leaving fiscal revenue and title tenure integrity exposed to software implementation flaws.</w:t>
      </w:r>
    </w:p>
    <w:p>
      <w:pPr>
        <w:keepNext/>
        <w:spacing w:before="160" w:after="60"/>
      </w:pPr>
      <w:r>
        <w:rPr>
          <w:rFonts w:ascii="Book Antiqua" w:hAnsi="Book Antiqua"/>
          <w:b/>
          <w:i w:val="0"/>
          <w:color w:val="000000"/>
          <w:sz w:val="22"/>
        </w:rPr>
        <w:t>2.4. Algorithmic Complexity Attacks and Vulnerabilities in OGC Services</w:t>
      </w:r>
    </w:p>
    <w:p>
      <w:pPr>
        <w:spacing w:after="80" w:line="240" w:lineRule="auto"/>
      </w:pPr>
      <w:r>
        <w:rPr>
          <w:rFonts w:ascii="Book Antiqua" w:hAnsi="Book Antiqua"/>
          <w:b w:val="0"/>
          <w:i w:val="0"/>
          <w:color w:val="000000"/>
          <w:sz w:val="22"/>
        </w:rPr>
        <w:t>The contemporary relevance of this threat was acutely illustrated in the software industry by critical vulnerability CVE-2023-25157 (CVSS score 9.8), wherein the reference software GeoServer allowed unauthenticated remote SQL injection via flawed evaluation of OGC filters and CQL expressions over PostGIS backends (National Vulnerability Database, 2023). In parallel, regarding denial of service, Crosby and Wallach (2003) established the paradigm of Algorithmic Complexity Attacks, demonstrating how engineered inputs can force worst-case execution paths (O(N^2)) to monopolize CPU resources. In spatial engines, as documented by Agarwal and Rajan (2016), computational geometry algorithms in PostGIS's underlying GEOS library exhibit quadratic computational overhead when evaluating complex polygons devoid of preliminary GiST spatial index filtering. Despite these precedents, the literature has neither quantified the resulting latency profiles nor formalized multi-tier defense schemes integrating API parsers with geometric engines.</w:t>
      </w:r>
    </w:p>
    <w:p>
      <w:pPr>
        <w:keepNext/>
        <w:spacing w:before="240" w:after="80"/>
      </w:pPr>
      <w:r>
        <w:rPr>
          <w:rFonts w:ascii="Book Antiqua" w:hAnsi="Book Antiqua"/>
          <w:b/>
          <w:i w:val="0"/>
          <w:color w:val="000000"/>
          <w:sz w:val="24"/>
        </w:rPr>
        <w:t>3. Methodology</w:t>
      </w:r>
    </w:p>
    <w:p>
      <w:pPr>
        <w:keepNext/>
        <w:spacing w:before="160" w:after="60"/>
      </w:pPr>
      <w:r>
        <w:rPr>
          <w:rFonts w:ascii="Book Antiqua" w:hAnsi="Book Antiqua"/>
          <w:b/>
          <w:i w:val="0"/>
          <w:color w:val="000000"/>
          <w:sz w:val="22"/>
        </w:rPr>
        <w:t>3.1. Research Approach and Experimental Framework</w:t>
      </w:r>
    </w:p>
    <w:p>
      <w:pPr>
        <w:spacing w:after="80" w:line="240" w:lineRule="auto"/>
      </w:pPr>
      <w:r>
        <w:rPr>
          <w:rFonts w:ascii="Book Antiqua" w:hAnsi="Book Antiqua"/>
          <w:b w:val="0"/>
          <w:i w:val="0"/>
          <w:color w:val="000000"/>
          <w:sz w:val="22"/>
        </w:rPr>
        <w:t>A quantitative, experimental design was adopted to evaluate the susceptibility of geospatial endpoints to SQL injections and measure the performance impact introduced by a multi-tier mitigation scheme. The evaluation compares two conditions: unprotected dynamic SQL queries versus ORM-compiled queries with prior geometric validation.</w:t>
      </w:r>
    </w:p>
    <w:p>
      <w:pPr>
        <w:keepNext/>
        <w:spacing w:before="160" w:after="60"/>
      </w:pPr>
      <w:r>
        <w:rPr>
          <w:rFonts w:ascii="Book Antiqua" w:hAnsi="Book Antiqua"/>
          <w:b/>
          <w:i w:val="0"/>
          <w:color w:val="000000"/>
          <w:sz w:val="22"/>
        </w:rPr>
        <w:t>3.2. Cadastral Dataset</w:t>
      </w:r>
    </w:p>
    <w:p>
      <w:pPr>
        <w:spacing w:after="80" w:line="240" w:lineRule="auto"/>
      </w:pPr>
      <w:r>
        <w:rPr>
          <w:rFonts w:ascii="Book Antiqua" w:hAnsi="Book Antiqua"/>
          <w:b w:val="0"/>
          <w:i w:val="0"/>
          <w:color w:val="000000"/>
          <w:sz w:val="22"/>
        </w:rPr>
        <w:t>The experimental dataset comprises 1,500 contiguous urban cadastral parcels structured under the ISO 19152 standard (LADM, LA_SpatialUnit class) and georeferenced in EPSG:32719. The geometries exhibit a complexity ranging between 4 and 222 vertices (mean: 9.0 vertices per polygon). To ensure reproducibility and ethical safeguards, base cartography was retrieved from open sources and fiscal attributes were procedurally generated without incorporating personally identifiable information (PII).</w:t>
      </w:r>
    </w:p>
    <w:p>
      <w:pPr>
        <w:keepNext/>
        <w:spacing w:before="160" w:after="60"/>
      </w:pPr>
      <w:r>
        <w:rPr>
          <w:rFonts w:ascii="Book Antiqua" w:hAnsi="Book Antiqua"/>
          <w:b/>
          <w:i w:val="0"/>
          <w:color w:val="000000"/>
          <w:sz w:val="22"/>
        </w:rPr>
        <w:t>3.3. Experimental Environment and Architecture</w:t>
      </w:r>
    </w:p>
    <w:p>
      <w:pPr>
        <w:spacing w:after="80" w:line="240" w:lineRule="auto"/>
      </w:pPr>
      <w:r>
        <w:rPr>
          <w:rFonts w:ascii="Book Antiqua" w:hAnsi="Book Antiqua"/>
          <w:b w:val="0"/>
          <w:i w:val="0"/>
          <w:color w:val="000000"/>
          <w:sz w:val="22"/>
        </w:rPr>
        <w:t>The testbed was implemented in Docker containers using isolated microservices: (1) a database service running PostgreSQL 15 and PostGIS 3.3, and (2) a Python 3.11 API with FastAPI and Uvicorn. Stress testing was executed in a controlled 14-core 5.2 GHz environment with 32 GB DDR5 RAM on Linux kernel 6.6 (WSL2).</w:t>
      </w:r>
    </w:p>
    <w:p>
      <w:pPr>
        <w:keepNext/>
        <w:spacing w:before="160" w:after="60"/>
      </w:pPr>
      <w:r>
        <w:rPr>
          <w:rFonts w:ascii="Book Antiqua" w:hAnsi="Book Antiqua"/>
          <w:b/>
          <w:i w:val="0"/>
          <w:color w:val="000000"/>
          <w:sz w:val="22"/>
        </w:rPr>
        <w:t>3.4. Test Vectors and Performance Metrics</w:t>
      </w:r>
    </w:p>
    <w:p>
      <w:pPr>
        <w:spacing w:after="80" w:line="240" w:lineRule="auto"/>
      </w:pPr>
      <w:r>
        <w:rPr>
          <w:rFonts w:ascii="Book Antiqua" w:hAnsi="Book Antiqua"/>
          <w:b w:val="0"/>
          <w:i w:val="0"/>
          <w:color w:val="000000"/>
          <w:sz w:val="22"/>
        </w:rPr>
        <w:t>Six exploitation vectors based on the injection testing guidelines of the Web Security Testing Guide (OWASP Foundation, 2023), targeting the three dimensions of the CIA triad (Confidentiality, Integrity, and Availability, summarized in Appendix 1), were structured. Performance evaluation encompassed a 300-request load test and stepped concurrency curves (1 to 100 clients), recording latency metrics (mean, p50, p95, p99) and throughput (req/s).</w:t>
      </w:r>
    </w:p>
    <w:p>
      <w:pPr>
        <w:keepNext/>
        <w:spacing w:before="240" w:after="80"/>
      </w:pPr>
      <w:r>
        <w:rPr>
          <w:rFonts w:ascii="Book Antiqua" w:hAnsi="Book Antiqua"/>
          <w:b/>
          <w:i w:val="0"/>
          <w:color w:val="000000"/>
          <w:sz w:val="24"/>
        </w:rPr>
        <w:t>4. Attack Simulations and Exploitation Results</w:t>
      </w:r>
    </w:p>
    <w:p>
      <w:pPr>
        <w:keepNext/>
        <w:spacing w:before="160" w:after="60"/>
      </w:pPr>
      <w:r>
        <w:rPr>
          <w:rFonts w:ascii="Book Antiqua" w:hAnsi="Book Antiqua"/>
          <w:b/>
          <w:i w:val="0"/>
          <w:color w:val="000000"/>
          <w:sz w:val="22"/>
        </w:rPr>
        <w:t>4.1. Simulation 1: Spatial Logic Bypass</w:t>
      </w:r>
    </w:p>
    <w:p>
      <w:pPr>
        <w:spacing w:after="80" w:line="240" w:lineRule="auto"/>
      </w:pPr>
      <w:r>
        <w:rPr>
          <w:rFonts w:ascii="Book Antiqua" w:hAnsi="Book Antiqua"/>
          <w:b w:val="0"/>
          <w:i w:val="0"/>
          <w:color w:val="000000"/>
          <w:sz w:val="22"/>
        </w:rPr>
        <w:t>The endpoint GET /api/v1/vulnerable/predios/radio is designed to return cadastral lots within a 50-meter radius restricted strictly to sector 0101. By injecting the payload '50) OR (1=1' into the distance parameter, the lexical parser of PostgreSQL prematurely closes the ST_DWithin operator and introduces a tautology that nullifies both the spatial radius and territorial sector filters. As a result, the query transitioned from returning 1 authorized parcel to exfiltrating 50 unauthorized cadastral parcels in 7.03 ms. In the mitigated endpoint, Pydantic and GeoAlchemy2 strictly enforced numerical type boundaries, neutralizing the attack with HTTP 422.</w:t>
      </w:r>
    </w:p>
    <w:p>
      <w:pPr>
        <w:keepNext/>
        <w:spacing w:before="160" w:after="60"/>
      </w:pPr>
      <w:r>
        <w:rPr>
          <w:rFonts w:ascii="Book Antiqua" w:hAnsi="Book Antiqua"/>
          <w:b/>
          <w:i w:val="0"/>
          <w:color w:val="000000"/>
          <w:sz w:val="22"/>
        </w:rPr>
        <w:t>4.2. Simulation 2: Data Inference via Geometric Error Channels (Error-Based Spatial SQLi)</w:t>
      </w:r>
    </w:p>
    <w:p>
      <w:pPr>
        <w:spacing w:after="80" w:line="240" w:lineRule="auto"/>
      </w:pPr>
      <w:r>
        <w:rPr>
          <w:rFonts w:ascii="Book Antiqua" w:hAnsi="Book Antiqua"/>
          <w:b w:val="0"/>
          <w:i w:val="0"/>
          <w:color w:val="000000"/>
          <w:sz w:val="22"/>
        </w:rPr>
        <w:t>In the endpoint GET /api/v1/vulnerable/predios/poligono, the application renders cartographic polygons without exposing textual data. The attacker structured an inferential side-channel coupled to the ST_Intersects operator, injecting a conditional division by zero dependent on character guesses against the administrative table: if the guessed character matches, PostGIS raises a runtime exception triggering an HTTP 500 error; if false, the engine responds with HTTP 200. Through this mechanism, the full administrative credential 'admin' was exfiltrated in 42 seconds. In the mitigated version, Shapely evaluated topological validity in application memory, rejecting the malicious syntax with HTTP 422.</w:t>
      </w:r>
    </w:p>
    <w:p>
      <w:pPr>
        <w:keepNext/>
        <w:spacing w:before="160" w:after="60"/>
      </w:pPr>
      <w:r>
        <w:rPr>
          <w:rFonts w:ascii="Book Antiqua" w:hAnsi="Book Antiqua"/>
          <w:b/>
          <w:i w:val="0"/>
          <w:color w:val="000000"/>
          <w:sz w:val="22"/>
        </w:rPr>
        <w:t>4.3. Simulation 3: Spatial Denial of Service (Spatial DoS)</w:t>
      </w:r>
    </w:p>
    <w:p>
      <w:pPr>
        <w:spacing w:after="80" w:line="240" w:lineRule="auto"/>
      </w:pPr>
      <w:r>
        <w:rPr>
          <w:rFonts w:ascii="Book Antiqua" w:hAnsi="Book Antiqua"/>
          <w:b w:val="0"/>
          <w:i w:val="0"/>
          <w:color w:val="000000"/>
          <w:sz w:val="22"/>
        </w:rPr>
        <w:t>Leveraging the baseline geometric complexity of cadastral parcels (averaging 9.0 vertices and up to 222 vertices per polygon), the attacker injected a subquery with an O(N^2) spatial Cartesian product into the endpoint GET /api/v1/vulnerable/predios/analisis-expansion, computing buffers with high segment densities per quadrant. As empirically evidenced in Figure 1, injecting the Cartesian product triggers an O(N^2) algorithmic complexity explosion that escalates latency from 10.8 ms up to 1,665.16 ms as evaluated buffer vertices expand from 14,400 to over 345,600 points, saturating PostgreSQL worker threads on the multi-core workstation. Conversely, the mitigated architecture reliably preserves a bounded latency of ~15 ms by constraining parameters to validated scalar ranges via Pydantic and GeoAlchemy2.</w:t>
      </w:r>
    </w:p>
    <w:p>
      <w:pPr>
        <w:keepNext/>
        <w:spacing w:before="160" w:after="40"/>
        <w:jc w:val="center"/>
      </w:pPr>
      <w:r>
        <w:drawing>
          <wp:inline xmlns:a="http://schemas.openxmlformats.org/drawingml/2006/main" xmlns:pic="http://schemas.openxmlformats.org/drawingml/2006/picture">
            <wp:extent cx="4937760" cy="2852928"/>
            <wp:docPr id="1" name="Picture 1"/>
            <wp:cNvGraphicFramePr>
              <a:graphicFrameLocks noChangeAspect="1"/>
            </wp:cNvGraphicFramePr>
            <a:graphic>
              <a:graphicData uri="http://schemas.openxmlformats.org/drawingml/2006/picture">
                <pic:pic>
                  <pic:nvPicPr>
                    <pic:cNvPr id="0" name="fig3_spatial_dos_complexity.png"/>
                    <pic:cNvPicPr/>
                  </pic:nvPicPr>
                  <pic:blipFill>
                    <a:blip r:embed="rId19"/>
                    <a:stretch>
                      <a:fillRect/>
                    </a:stretch>
                  </pic:blipFill>
                  <pic:spPr>
                    <a:xfrm>
                      <a:off x="0" y="0"/>
                      <a:ext cx="4937760" cy="2852928"/>
                    </a:xfrm>
                    <a:prstGeom prst="rect"/>
                  </pic:spPr>
                </pic:pic>
              </a:graphicData>
            </a:graphic>
          </wp:inline>
        </w:drawing>
      </w:r>
    </w:p>
    <w:p>
      <w:pPr>
        <w:spacing w:before="120" w:after="160"/>
        <w:jc w:val="center"/>
      </w:pPr>
      <w:r>
        <w:rPr>
          <w:rFonts w:ascii="Book Antiqua" w:hAnsi="Book Antiqua"/>
          <w:b/>
          <w:i w:val="0"/>
          <w:color w:val="000000"/>
          <w:sz w:val="20"/>
        </w:rPr>
        <w:t>Figure 1. Quadratic algorithmic degradation curve O(N²) in PostGIS/GEOS under geometric overhead injection vs. bounded mitigation</w:t>
      </w:r>
    </w:p>
    <w:p>
      <w:pPr>
        <w:keepNext/>
        <w:spacing w:before="160" w:after="60"/>
      </w:pPr>
      <w:r>
        <w:rPr>
          <w:rFonts w:ascii="Book Antiqua" w:hAnsi="Book Antiqua"/>
          <w:b/>
          <w:i w:val="0"/>
          <w:color w:val="000000"/>
          <w:sz w:val="22"/>
        </w:rPr>
        <w:t>4.4. Simulation 4: Cadastral Record Tampering (Tax Assessment Manipulation)</w:t>
      </w:r>
    </w:p>
    <w:p>
      <w:pPr>
        <w:spacing w:after="80" w:line="240" w:lineRule="auto"/>
      </w:pPr>
      <w:r>
        <w:rPr>
          <w:rFonts w:ascii="Book Antiqua" w:hAnsi="Book Antiqua"/>
          <w:b w:val="0"/>
          <w:i w:val="0"/>
          <w:color w:val="000000"/>
          <w:sz w:val="22"/>
        </w:rPr>
        <w:t>In the endpoint POST /api/v1/vulnerable/ficha/modificar, an attack against fiscal integrity was simulated. Through concatenation in the SET clause, the attacker manipulated the tax assessment setting it to S/ 0.00 and replaced the legitimate property owner with an unauthorized third party, proving the vulnerability of fiscal databases to direct update injections. The mitigated endpoint blocked the fraud via alphabetic regular expressions and positive range constraints in SQLAlchemy (HTTP 422).</w:t>
      </w:r>
    </w:p>
    <w:p>
      <w:pPr>
        <w:keepNext/>
        <w:spacing w:before="160" w:after="60"/>
      </w:pPr>
      <w:r>
        <w:rPr>
          <w:rFonts w:ascii="Book Antiqua" w:hAnsi="Book Antiqua"/>
          <w:b/>
          <w:i w:val="0"/>
          <w:color w:val="000000"/>
          <w:sz w:val="22"/>
        </w:rPr>
        <w:t>4.5. Simulation 5: Bulk Deletion of Cadastral Records (Data Destruction)</w:t>
      </w:r>
    </w:p>
    <w:p>
      <w:pPr>
        <w:spacing w:after="80" w:line="240" w:lineRule="auto"/>
      </w:pPr>
      <w:r>
        <w:rPr>
          <w:rFonts w:ascii="Book Antiqua" w:hAnsi="Book Antiqua"/>
          <w:b w:val="0"/>
          <w:i w:val="0"/>
          <w:color w:val="000000"/>
          <w:sz w:val="22"/>
        </w:rPr>
        <w:t>In the endpoint DELETE /api/v1/vulnerable/predios/borrar, injecting the literal payload '0101' OR '1'='1' into the sector filter transformed the command into an unconditional record deletion (DELETE FROM tg_lote WHERE cod_sector = '0101' OR '1'='1'), purging all 1,500 parcels and leaving the web viewer devoid of cartography. In contrast, the mitigated endpoint validated the sector parameter using the strict regex pattern ^\d{4}$, rejecting the injection with HTTP 422 and preserving the cadastral repository intact.</w:t>
      </w:r>
    </w:p>
    <w:p>
      <w:pPr>
        <w:keepNext/>
        <w:spacing w:before="160" w:after="60"/>
      </w:pPr>
      <w:r>
        <w:rPr>
          <w:rFonts w:ascii="Book Antiqua" w:hAnsi="Book Antiqua"/>
          <w:b/>
          <w:i w:val="0"/>
          <w:color w:val="000000"/>
          <w:sz w:val="22"/>
        </w:rPr>
        <w:t>4.6. Simulation 6: Authentication Bypass in the Cadastral Web Viewer</w:t>
      </w:r>
    </w:p>
    <w:p>
      <w:pPr>
        <w:spacing w:after="80" w:line="240" w:lineRule="auto"/>
      </w:pPr>
      <w:r>
        <w:rPr>
          <w:rFonts w:ascii="Book Antiqua" w:hAnsi="Book Antiqua"/>
          <w:b w:val="0"/>
          <w:i w:val="0"/>
          <w:color w:val="000000"/>
          <w:sz w:val="22"/>
        </w:rPr>
        <w:t>In the endpoint POST /api/v1/vulnerable/auth/login, the attacker entered "admin' --" in the username field, commenting out password hash verification. The API granted immediate access and issued a token with the superadmin_catastro role. The mitigated version featuring prepared statements and SHA-256 cryptographic hashing neutralized the bypass by searching literally for the quoted string without evaluating it as SQL syntax.</w:t>
      </w:r>
    </w:p>
    <w:p>
      <w:pPr>
        <w:keepNext/>
        <w:spacing w:before="240" w:after="80"/>
      </w:pPr>
      <w:r>
        <w:rPr>
          <w:rFonts w:ascii="Book Antiqua" w:hAnsi="Book Antiqua"/>
          <w:b/>
          <w:i w:val="0"/>
          <w:color w:val="000000"/>
          <w:sz w:val="24"/>
        </w:rPr>
        <w:t>5. Mitigation Strategies and Performance Evaluation</w:t>
      </w:r>
    </w:p>
    <w:p>
      <w:pPr>
        <w:spacing w:after="80" w:line="240" w:lineRule="auto"/>
      </w:pPr>
      <w:r>
        <w:rPr>
          <w:rFonts w:ascii="Book Antiqua" w:hAnsi="Book Antiqua"/>
          <w:b w:val="0"/>
          <w:i w:val="0"/>
          <w:color w:val="000000"/>
          <w:sz w:val="22"/>
        </w:rPr>
        <w:t>As illustrated in Figure 2, the architectural mitigation integrated a three-barrier defense-in-depth pipeline: (1) Barrier 1 with Pydantic for strict typing and physical boundary constraints; (2) Barrier 2 with Shapely for topological validation and early rejection of degenerate geometries in application memory (returning HTTP 422 prior to database interaction); and (3) Barrier 3 with GeoAlchemy2 and SQLAlchemy for native compilation using binary bind variables (EWKB) and execution plan reuse (prepared statements).</w:t>
      </w:r>
    </w:p>
    <w:p>
      <w:pPr>
        <w:keepNext/>
        <w:spacing w:before="160" w:after="40"/>
        <w:jc w:val="center"/>
      </w:pPr>
      <w:r>
        <w:drawing>
          <wp:inline xmlns:a="http://schemas.openxmlformats.org/drawingml/2006/main" xmlns:pic="http://schemas.openxmlformats.org/drawingml/2006/picture">
            <wp:extent cx="5303520" cy="1856232"/>
            <wp:docPr id="2" name="Picture 2"/>
            <wp:cNvGraphicFramePr>
              <a:graphicFrameLocks noChangeAspect="1"/>
            </wp:cNvGraphicFramePr>
            <a:graphic>
              <a:graphicData uri="http://schemas.openxmlformats.org/drawingml/2006/picture">
                <pic:pic>
                  <pic:nvPicPr>
                    <pic:cNvPr id="0" name="fig1_defense_pipeline.png"/>
                    <pic:cNvPicPr/>
                  </pic:nvPicPr>
                  <pic:blipFill>
                    <a:blip r:embed="rId20"/>
                    <a:stretch>
                      <a:fillRect/>
                    </a:stretch>
                  </pic:blipFill>
                  <pic:spPr>
                    <a:xfrm>
                      <a:off x="0" y="0"/>
                      <a:ext cx="5303520" cy="1856232"/>
                    </a:xfrm>
                    <a:prstGeom prst="rect"/>
                  </pic:spPr>
                </pic:pic>
              </a:graphicData>
            </a:graphic>
          </wp:inline>
        </w:drawing>
      </w:r>
    </w:p>
    <w:p>
      <w:pPr>
        <w:spacing w:before="120" w:after="160"/>
        <w:jc w:val="center"/>
      </w:pPr>
      <w:r>
        <w:rPr>
          <w:rFonts w:ascii="Book Antiqua" w:hAnsi="Book Antiqua"/>
          <w:b/>
          <w:i w:val="0"/>
          <w:color w:val="000000"/>
          <w:sz w:val="20"/>
        </w:rPr>
        <w:t>Figure 2. Architecture of the 3-barrier defense-in-depth pipeline for PostGIS cadastral services</w:t>
      </w:r>
    </w:p>
    <w:p>
      <w:pPr>
        <w:spacing w:after="80" w:line="240" w:lineRule="auto"/>
        <w:ind w:firstLine="432"/>
      </w:pPr>
      <w:r>
        <w:rPr>
          <w:rFonts w:ascii="Book Antiqua" w:hAnsi="Book Antiqua"/>
          <w:b w:val="0"/>
          <w:i w:val="0"/>
          <w:color w:val="000000"/>
          <w:sz w:val="22"/>
        </w:rPr>
        <w:t>A comparative benchmark of 300 requests under 10 concurrent clients was conducted between the vulnerable API and the mitigated API. Results are summarized in Table 1.</w:t>
      </w:r>
    </w:p>
    <w:p>
      <w:pPr>
        <w:spacing w:before="160" w:after="80"/>
        <w:jc w:val="center"/>
      </w:pPr>
      <w:r>
        <w:rPr>
          <w:rFonts w:ascii="Book Antiqua" w:hAnsi="Book Antiqua"/>
          <w:b/>
          <w:i w:val="0"/>
          <w:color w:val="000000"/>
          <w:sz w:val="20"/>
        </w:rPr>
        <w:t>Table 1: Performance and Latency Comparison between Vulnerable API and Mitigated API</w:t>
      </w:r>
    </w:p>
    <w:tbl>
      <w:tblPr>
        <w:tblW w:type="auto" w:w="0"/>
        <w:jc w:val="center"/>
        <w:tblLook w:firstColumn="1" w:firstRow="1" w:lastColumn="0" w:lastRow="0" w:noHBand="0" w:noVBand="1" w:val="04A0"/>
      </w:tblPr>
      <w:tblGrid>
        <w:gridCol w:w="2052"/>
        <w:gridCol w:w="2052"/>
        <w:gridCol w:w="2052"/>
        <w:gridCol w:w="2052"/>
      </w:tblGrid>
      <w:tr>
        <w:tc>
          <w:tcPr>
            <w:tcW w:type="dxa" w:w="2052"/>
          </w:tcPr>
          <w:p>
            <w:pPr>
              <w:spacing w:before="40" w:after="40"/>
              <w:jc w:val="left"/>
            </w:pPr>
            <w:r>
              <w:rPr>
                <w:rFonts w:ascii="Book Antiqua" w:hAnsi="Book Antiqua"/>
                <w:b/>
                <w:i w:val="0"/>
                <w:color w:val="000000"/>
                <w:sz w:val="20"/>
              </w:rPr>
              <w:t>Performance Metric</w:t>
            </w:r>
          </w:p>
        </w:tc>
        <w:tc>
          <w:tcPr>
            <w:tcW w:type="dxa" w:w="2052"/>
          </w:tcPr>
          <w:p>
            <w:pPr>
              <w:spacing w:before="40" w:after="40"/>
              <w:jc w:val="center"/>
            </w:pPr>
            <w:r>
              <w:rPr>
                <w:rFonts w:ascii="Book Antiqua" w:hAnsi="Book Antiqua"/>
                <w:b/>
                <w:i w:val="0"/>
                <w:color w:val="000000"/>
                <w:sz w:val="20"/>
              </w:rPr>
              <w:t>Vulnerable API (Dynamic SQL)</w:t>
            </w:r>
          </w:p>
        </w:tc>
        <w:tc>
          <w:tcPr>
            <w:tcW w:type="dxa" w:w="2052"/>
          </w:tcPr>
          <w:p>
            <w:pPr>
              <w:spacing w:before="40" w:after="40"/>
              <w:jc w:val="center"/>
            </w:pPr>
            <w:r>
              <w:rPr>
                <w:rFonts w:ascii="Book Antiqua" w:hAnsi="Book Antiqua"/>
                <w:b/>
                <w:i w:val="0"/>
                <w:color w:val="000000"/>
                <w:sz w:val="20"/>
              </w:rPr>
              <w:t>Mitigated API (GeoAlchemy2)</w:t>
            </w:r>
          </w:p>
        </w:tc>
        <w:tc>
          <w:tcPr>
            <w:tcW w:type="dxa" w:w="2052"/>
          </w:tcPr>
          <w:p>
            <w:pPr>
              <w:spacing w:before="40" w:after="40"/>
              <w:jc w:val="center"/>
            </w:pPr>
            <w:r>
              <w:rPr>
                <w:rFonts w:ascii="Book Antiqua" w:hAnsi="Book Antiqua"/>
                <w:b/>
                <w:i w:val="0"/>
                <w:color w:val="000000"/>
                <w:sz w:val="20"/>
              </w:rPr>
              <w:t>Variance (Overhead)</w:t>
            </w:r>
          </w:p>
        </w:tc>
      </w:tr>
      <w:tr>
        <w:tc>
          <w:tcPr>
            <w:tcW w:type="dxa" w:w="2052"/>
          </w:tcPr>
          <w:p>
            <w:pPr>
              <w:spacing w:before="40" w:after="40"/>
              <w:jc w:val="left"/>
            </w:pPr>
            <w:r>
              <w:rPr>
                <w:rFonts w:ascii="Book Antiqua" w:hAnsi="Book Antiqua"/>
                <w:b w:val="0"/>
                <w:i w:val="0"/>
                <w:color w:val="000000"/>
                <w:sz w:val="20"/>
              </w:rPr>
              <w:t>Throughput</w:t>
            </w:r>
          </w:p>
        </w:tc>
        <w:tc>
          <w:tcPr>
            <w:tcW w:type="dxa" w:w="2052"/>
          </w:tcPr>
          <w:p>
            <w:pPr>
              <w:spacing w:before="40" w:after="40"/>
              <w:jc w:val="center"/>
            </w:pPr>
            <w:r>
              <w:rPr>
                <w:rFonts w:ascii="Book Antiqua" w:hAnsi="Book Antiqua"/>
                <w:b w:val="0"/>
                <w:i w:val="0"/>
                <w:color w:val="000000"/>
                <w:sz w:val="20"/>
              </w:rPr>
              <w:t>556.21 req/s</w:t>
            </w:r>
          </w:p>
        </w:tc>
        <w:tc>
          <w:tcPr>
            <w:tcW w:type="dxa" w:w="2052"/>
          </w:tcPr>
          <w:p>
            <w:pPr>
              <w:spacing w:before="40" w:after="40"/>
              <w:jc w:val="center"/>
            </w:pPr>
            <w:r>
              <w:rPr>
                <w:rFonts w:ascii="Book Antiqua" w:hAnsi="Book Antiqua"/>
                <w:b w:val="0"/>
                <w:i w:val="0"/>
                <w:color w:val="000000"/>
                <w:sz w:val="20"/>
              </w:rPr>
              <w:t>484.36 req/s</w:t>
            </w:r>
          </w:p>
        </w:tc>
        <w:tc>
          <w:tcPr>
            <w:tcW w:type="dxa" w:w="2052"/>
          </w:tcPr>
          <w:p>
            <w:pPr>
              <w:spacing w:before="40" w:after="40"/>
              <w:jc w:val="center"/>
            </w:pPr>
            <w:r>
              <w:rPr>
                <w:rFonts w:ascii="Book Antiqua" w:hAnsi="Book Antiqua"/>
                <w:b w:val="0"/>
                <w:i w:val="0"/>
                <w:color w:val="000000"/>
                <w:sz w:val="20"/>
              </w:rPr>
              <w:t>-71.85 req/s (-12.92%)</w:t>
            </w:r>
          </w:p>
        </w:tc>
      </w:tr>
      <w:tr>
        <w:tc>
          <w:tcPr>
            <w:tcW w:type="dxa" w:w="2052"/>
          </w:tcPr>
          <w:p>
            <w:pPr>
              <w:spacing w:before="40" w:after="40"/>
              <w:jc w:val="left"/>
            </w:pPr>
            <w:r>
              <w:rPr>
                <w:rFonts w:ascii="Book Antiqua" w:hAnsi="Book Antiqua"/>
                <w:b w:val="0"/>
                <w:i w:val="0"/>
                <w:color w:val="000000"/>
                <w:sz w:val="20"/>
              </w:rPr>
              <w:t>Mean Latency</w:t>
            </w:r>
          </w:p>
        </w:tc>
        <w:tc>
          <w:tcPr>
            <w:tcW w:type="dxa" w:w="2052"/>
          </w:tcPr>
          <w:p>
            <w:pPr>
              <w:spacing w:before="40" w:after="40"/>
              <w:jc w:val="center"/>
            </w:pPr>
            <w:r>
              <w:rPr>
                <w:rFonts w:ascii="Book Antiqua" w:hAnsi="Book Antiqua"/>
                <w:b w:val="0"/>
                <w:i w:val="0"/>
                <w:color w:val="000000"/>
                <w:sz w:val="20"/>
              </w:rPr>
              <w:t>17.26 ms</w:t>
            </w:r>
          </w:p>
        </w:tc>
        <w:tc>
          <w:tcPr>
            <w:tcW w:type="dxa" w:w="2052"/>
          </w:tcPr>
          <w:p>
            <w:pPr>
              <w:spacing w:before="40" w:after="40"/>
              <w:jc w:val="center"/>
            </w:pPr>
            <w:r>
              <w:rPr>
                <w:rFonts w:ascii="Book Antiqua" w:hAnsi="Book Antiqua"/>
                <w:b w:val="0"/>
                <w:i w:val="0"/>
                <w:color w:val="000000"/>
                <w:sz w:val="20"/>
              </w:rPr>
              <w:t>19.89 ms</w:t>
            </w:r>
          </w:p>
        </w:tc>
        <w:tc>
          <w:tcPr>
            <w:tcW w:type="dxa" w:w="2052"/>
          </w:tcPr>
          <w:p>
            <w:pPr>
              <w:spacing w:before="40" w:after="40"/>
              <w:jc w:val="center"/>
            </w:pPr>
            <w:r>
              <w:rPr>
                <w:rFonts w:ascii="Book Antiqua" w:hAnsi="Book Antiqua"/>
                <w:b w:val="0"/>
                <w:i w:val="0"/>
                <w:color w:val="000000"/>
                <w:sz w:val="20"/>
              </w:rPr>
              <w:t>+2.63 ms (+15.24%)</w:t>
            </w:r>
          </w:p>
        </w:tc>
      </w:tr>
      <w:tr>
        <w:tc>
          <w:tcPr>
            <w:tcW w:type="dxa" w:w="2052"/>
          </w:tcPr>
          <w:p>
            <w:pPr>
              <w:spacing w:before="40" w:after="40"/>
              <w:jc w:val="left"/>
            </w:pPr>
            <w:r>
              <w:rPr>
                <w:rFonts w:ascii="Book Antiqua" w:hAnsi="Book Antiqua"/>
                <w:b w:val="0"/>
                <w:i w:val="0"/>
                <w:color w:val="000000"/>
                <w:sz w:val="20"/>
              </w:rPr>
              <w:t>50th Percentile (Median / p50)</w:t>
            </w:r>
          </w:p>
        </w:tc>
        <w:tc>
          <w:tcPr>
            <w:tcW w:type="dxa" w:w="2052"/>
          </w:tcPr>
          <w:p>
            <w:pPr>
              <w:spacing w:before="40" w:after="40"/>
              <w:jc w:val="center"/>
            </w:pPr>
            <w:r>
              <w:rPr>
                <w:rFonts w:ascii="Book Antiqua" w:hAnsi="Book Antiqua"/>
                <w:b w:val="0"/>
                <w:i w:val="0"/>
                <w:color w:val="000000"/>
                <w:sz w:val="20"/>
              </w:rPr>
              <w:t>15.37 ms</w:t>
            </w:r>
          </w:p>
        </w:tc>
        <w:tc>
          <w:tcPr>
            <w:tcW w:type="dxa" w:w="2052"/>
          </w:tcPr>
          <w:p>
            <w:pPr>
              <w:spacing w:before="40" w:after="40"/>
              <w:jc w:val="center"/>
            </w:pPr>
            <w:r>
              <w:rPr>
                <w:rFonts w:ascii="Book Antiqua" w:hAnsi="Book Antiqua"/>
                <w:b w:val="0"/>
                <w:i w:val="0"/>
                <w:color w:val="000000"/>
                <w:sz w:val="20"/>
              </w:rPr>
              <w:t>18.42 ms</w:t>
            </w:r>
          </w:p>
        </w:tc>
        <w:tc>
          <w:tcPr>
            <w:tcW w:type="dxa" w:w="2052"/>
          </w:tcPr>
          <w:p>
            <w:pPr>
              <w:spacing w:before="40" w:after="40"/>
              <w:jc w:val="center"/>
            </w:pPr>
            <w:r>
              <w:rPr>
                <w:rFonts w:ascii="Book Antiqua" w:hAnsi="Book Antiqua"/>
                <w:b w:val="0"/>
                <w:i w:val="0"/>
                <w:color w:val="000000"/>
                <w:sz w:val="20"/>
              </w:rPr>
              <w:t>+3.05 ms</w:t>
            </w:r>
          </w:p>
        </w:tc>
      </w:tr>
      <w:tr>
        <w:tc>
          <w:tcPr>
            <w:tcW w:type="dxa" w:w="2052"/>
          </w:tcPr>
          <w:p>
            <w:pPr>
              <w:spacing w:before="40" w:after="40"/>
              <w:jc w:val="left"/>
            </w:pPr>
            <w:r>
              <w:rPr>
                <w:rFonts w:ascii="Book Antiqua" w:hAnsi="Book Antiqua"/>
                <w:b w:val="0"/>
                <w:i w:val="0"/>
                <w:color w:val="000000"/>
                <w:sz w:val="20"/>
              </w:rPr>
              <w:t>95th Percentile (p95)</w:t>
            </w:r>
          </w:p>
        </w:tc>
        <w:tc>
          <w:tcPr>
            <w:tcW w:type="dxa" w:w="2052"/>
          </w:tcPr>
          <w:p>
            <w:pPr>
              <w:spacing w:before="40" w:after="40"/>
              <w:jc w:val="center"/>
            </w:pPr>
            <w:r>
              <w:rPr>
                <w:rFonts w:ascii="Book Antiqua" w:hAnsi="Book Antiqua"/>
                <w:b w:val="0"/>
                <w:i w:val="0"/>
                <w:color w:val="000000"/>
                <w:sz w:val="20"/>
              </w:rPr>
              <w:t>31.49 ms</w:t>
            </w:r>
          </w:p>
        </w:tc>
        <w:tc>
          <w:tcPr>
            <w:tcW w:type="dxa" w:w="2052"/>
          </w:tcPr>
          <w:p>
            <w:pPr>
              <w:spacing w:before="40" w:after="40"/>
              <w:jc w:val="center"/>
            </w:pPr>
            <w:r>
              <w:rPr>
                <w:rFonts w:ascii="Book Antiqua" w:hAnsi="Book Antiqua"/>
                <w:b w:val="0"/>
                <w:i w:val="0"/>
                <w:color w:val="000000"/>
                <w:sz w:val="20"/>
              </w:rPr>
              <w:t>32.63 ms</w:t>
            </w:r>
          </w:p>
        </w:tc>
        <w:tc>
          <w:tcPr>
            <w:tcW w:type="dxa" w:w="2052"/>
          </w:tcPr>
          <w:p>
            <w:pPr>
              <w:spacing w:before="40" w:after="40"/>
              <w:jc w:val="center"/>
            </w:pPr>
            <w:r>
              <w:rPr>
                <w:rFonts w:ascii="Book Antiqua" w:hAnsi="Book Antiqua"/>
                <w:b w:val="0"/>
                <w:i w:val="0"/>
                <w:color w:val="000000"/>
                <w:sz w:val="20"/>
              </w:rPr>
              <w:t>+1.14 ms</w:t>
            </w:r>
          </w:p>
        </w:tc>
      </w:tr>
      <w:tr>
        <w:tc>
          <w:tcPr>
            <w:tcW w:type="dxa" w:w="2052"/>
          </w:tcPr>
          <w:p>
            <w:pPr>
              <w:spacing w:before="40" w:after="40"/>
              <w:jc w:val="left"/>
            </w:pPr>
            <w:r>
              <w:rPr>
                <w:rFonts w:ascii="Book Antiqua" w:hAnsi="Book Antiqua"/>
                <w:b w:val="0"/>
                <w:i w:val="0"/>
                <w:color w:val="000000"/>
                <w:sz w:val="20"/>
              </w:rPr>
              <w:t>99th Percentile (p99)</w:t>
            </w:r>
          </w:p>
        </w:tc>
        <w:tc>
          <w:tcPr>
            <w:tcW w:type="dxa" w:w="2052"/>
          </w:tcPr>
          <w:p>
            <w:pPr>
              <w:spacing w:before="40" w:after="40"/>
              <w:jc w:val="center"/>
            </w:pPr>
            <w:r>
              <w:rPr>
                <w:rFonts w:ascii="Book Antiqua" w:hAnsi="Book Antiqua"/>
                <w:b w:val="0"/>
                <w:i w:val="0"/>
                <w:color w:val="000000"/>
                <w:sz w:val="20"/>
              </w:rPr>
              <w:t>43.75 ms</w:t>
            </w:r>
          </w:p>
        </w:tc>
        <w:tc>
          <w:tcPr>
            <w:tcW w:type="dxa" w:w="2052"/>
          </w:tcPr>
          <w:p>
            <w:pPr>
              <w:spacing w:before="40" w:after="40"/>
              <w:jc w:val="center"/>
            </w:pPr>
            <w:r>
              <w:rPr>
                <w:rFonts w:ascii="Book Antiqua" w:hAnsi="Book Antiqua"/>
                <w:b w:val="0"/>
                <w:i w:val="0"/>
                <w:color w:val="000000"/>
                <w:sz w:val="20"/>
              </w:rPr>
              <w:t>38.24 ms</w:t>
            </w:r>
          </w:p>
        </w:tc>
        <w:tc>
          <w:tcPr>
            <w:tcW w:type="dxa" w:w="2052"/>
          </w:tcPr>
          <w:p>
            <w:pPr>
              <w:spacing w:before="40" w:after="40"/>
              <w:jc w:val="center"/>
            </w:pPr>
            <w:r>
              <w:rPr>
                <w:rFonts w:ascii="Book Antiqua" w:hAnsi="Book Antiqua"/>
                <w:b w:val="0"/>
                <w:i w:val="0"/>
                <w:color w:val="000000"/>
                <w:sz w:val="20"/>
              </w:rPr>
              <w:t>-5.51 ms (-12.59%)</w:t>
            </w:r>
          </w:p>
        </w:tc>
      </w:tr>
      <w:tr>
        <w:tc>
          <w:tcPr>
            <w:tcW w:type="dxa" w:w="2052"/>
          </w:tcPr>
          <w:p>
            <w:pPr>
              <w:spacing w:before="40" w:after="40"/>
              <w:jc w:val="left"/>
            </w:pPr>
            <w:r>
              <w:rPr>
                <w:rFonts w:ascii="Book Antiqua" w:hAnsi="Book Antiqua"/>
                <w:b w:val="0"/>
                <w:i w:val="0"/>
                <w:color w:val="000000"/>
                <w:sz w:val="20"/>
              </w:rPr>
              <w:t>Error Rate</w:t>
            </w:r>
          </w:p>
        </w:tc>
        <w:tc>
          <w:tcPr>
            <w:tcW w:type="dxa" w:w="2052"/>
          </w:tcPr>
          <w:p>
            <w:pPr>
              <w:spacing w:before="40" w:after="40"/>
              <w:jc w:val="center"/>
            </w:pPr>
            <w:r>
              <w:rPr>
                <w:rFonts w:ascii="Book Antiqua" w:hAnsi="Book Antiqua"/>
                <w:b w:val="0"/>
                <w:i w:val="0"/>
                <w:color w:val="000000"/>
                <w:sz w:val="20"/>
              </w:rPr>
              <w:t>0.0%</w:t>
            </w:r>
          </w:p>
        </w:tc>
        <w:tc>
          <w:tcPr>
            <w:tcW w:type="dxa" w:w="2052"/>
          </w:tcPr>
          <w:p>
            <w:pPr>
              <w:spacing w:before="40" w:after="40"/>
              <w:jc w:val="center"/>
            </w:pPr>
            <w:r>
              <w:rPr>
                <w:rFonts w:ascii="Book Antiqua" w:hAnsi="Book Antiqua"/>
                <w:b w:val="0"/>
                <w:i w:val="0"/>
                <w:color w:val="000000"/>
                <w:sz w:val="20"/>
              </w:rPr>
              <w:t>0.0%</w:t>
            </w:r>
          </w:p>
        </w:tc>
        <w:tc>
          <w:tcPr>
            <w:tcW w:type="dxa" w:w="2052"/>
          </w:tcPr>
          <w:p>
            <w:pPr>
              <w:spacing w:before="40" w:after="40"/>
              <w:jc w:val="center"/>
            </w:pPr>
            <w:r>
              <w:rPr>
                <w:rFonts w:ascii="Book Antiqua" w:hAnsi="Book Antiqua"/>
                <w:b w:val="0"/>
                <w:i w:val="0"/>
                <w:color w:val="000000"/>
                <w:sz w:val="20"/>
              </w:rPr>
              <w:t>0.0%</w:t>
            </w:r>
          </w:p>
        </w:tc>
      </w:tr>
    </w:tbl>
    <w:p>
      <w:pPr>
        <w:spacing w:before="80" w:after="160"/>
      </w:pPr>
      <w:r>
        <w:rPr>
          <w:rFonts w:ascii="Book Antiqua" w:hAnsi="Book Antiqua"/>
          <w:b w:val="0"/>
          <w:i/>
          <w:color w:val="000000"/>
          <w:sz w:val="18"/>
        </w:rPr>
        <w:t>Note: Empirical measurements gathered under 300 concurrent requests (concurrency=10) on a multi-core workstation with 32 GB DDR5 RAM in Docker Desktop (PostgreSQL 15 / PostGIS 3.3).</w:t>
      </w:r>
    </w:p>
    <w:p>
      <w:pPr>
        <w:spacing w:after="80" w:line="240" w:lineRule="auto"/>
        <w:ind w:firstLine="432"/>
      </w:pPr>
      <w:r>
        <w:rPr>
          <w:rFonts w:ascii="Book Antiqua" w:hAnsi="Book Antiqua"/>
          <w:b w:val="0"/>
          <w:i w:val="0"/>
          <w:color w:val="000000"/>
          <w:sz w:val="22"/>
        </w:rPr>
        <w:t>To characterize resilience under progressive stress, a multi-tier concurrency benchmark spanning 1 to 100 concurrent clients was executed. As evidenced in Figure 3(a), throughput in the mitigated architecture scales smoothly, reaching a stable plateau exceeding 450 req/s without deadlock collapse. Concurrently, Figure 3(b) demonstrates that tail latency at the 99th percentile (p99) remains consistently lower and tighter in the mitigated API due to prepared statement caching in PostgreSQL.</w:t>
      </w:r>
    </w:p>
    <w:p>
      <w:pPr>
        <w:keepNext/>
        <w:spacing w:before="160" w:after="40"/>
        <w:jc w:val="center"/>
      </w:pPr>
      <w:r>
        <w:drawing>
          <wp:inline xmlns:a="http://schemas.openxmlformats.org/drawingml/2006/main" xmlns:pic="http://schemas.openxmlformats.org/drawingml/2006/picture">
            <wp:extent cx="5303520" cy="2039815"/>
            <wp:docPr id="3" name="Picture 3"/>
            <wp:cNvGraphicFramePr>
              <a:graphicFrameLocks noChangeAspect="1"/>
            </wp:cNvGraphicFramePr>
            <a:graphic>
              <a:graphicData uri="http://schemas.openxmlformats.org/drawingml/2006/picture">
                <pic:pic>
                  <pic:nvPicPr>
                    <pic:cNvPr id="0" name="fig2_concurrency_latency.png"/>
                    <pic:cNvPicPr/>
                  </pic:nvPicPr>
                  <pic:blipFill>
                    <a:blip r:embed="rId21"/>
                    <a:stretch>
                      <a:fillRect/>
                    </a:stretch>
                  </pic:blipFill>
                  <pic:spPr>
                    <a:xfrm>
                      <a:off x="0" y="0"/>
                      <a:ext cx="5303520" cy="2039815"/>
                    </a:xfrm>
                    <a:prstGeom prst="rect"/>
                  </pic:spPr>
                </pic:pic>
              </a:graphicData>
            </a:graphic>
          </wp:inline>
        </w:drawing>
      </w:r>
    </w:p>
    <w:p>
      <w:pPr>
        <w:spacing w:before="120" w:after="160"/>
        <w:jc w:val="center"/>
      </w:pPr>
      <w:r>
        <w:rPr>
          <w:rFonts w:ascii="Book Antiqua" w:hAnsi="Book Antiqua"/>
          <w:b/>
          <w:i w:val="0"/>
          <w:color w:val="000000"/>
          <w:sz w:val="20"/>
        </w:rPr>
        <w:t>Figure 3. Empirical throughput and latency percentiles (p50 and p99) comparison under scaled concurrency (1 to 100 clients)</w:t>
      </w:r>
    </w:p>
    <w:p>
      <w:pPr>
        <w:keepNext/>
        <w:spacing w:before="240" w:after="80"/>
      </w:pPr>
      <w:r>
        <w:rPr>
          <w:rFonts w:ascii="Book Antiqua" w:hAnsi="Book Antiqua"/>
          <w:b/>
          <w:i w:val="0"/>
          <w:color w:val="000000"/>
          <w:sz w:val="24"/>
        </w:rPr>
        <w:t>6. Discussion</w:t>
      </w:r>
    </w:p>
    <w:p>
      <w:pPr>
        <w:spacing w:after="80" w:line="240" w:lineRule="auto"/>
      </w:pPr>
      <w:r>
        <w:rPr>
          <w:rFonts w:ascii="Book Antiqua" w:hAnsi="Book Antiqua"/>
          <w:b w:val="0"/>
          <w:i w:val="0"/>
          <w:color w:val="000000"/>
          <w:sz w:val="22"/>
        </w:rPr>
        <w:t>The empirical results demonstrate that mitigation based on GeoAlchemy2 and pre-execution validation with Shapely introduces a mean latency overhead of merely 2.63 milliseconds per request (+15.24%), sustaining a throughput of 484.36 requests per second. Particularly noteworthy is the reduction in tail latency at the 99th percentile (p99), which dropped from 43.75 ms to 38.24 ms (-12.59%), an optimization directly attributed to efficient reuse of compiled execution plans (prepared statements) in PostgreSQL by eliminating continuous re-parsing of dynamic queries. This marginal average latency increase is negligible compared to the substantial security gains achieved, reliably neutralizing bulk cadastral data exfiltration, error-based side-channels, and spatial denial of service. It is concluded that traditional WAFs are ineffective against spatial payloads, necessitating spatially aware syntactic validation mechanisms embedded directly within application code.</w:t>
      </w:r>
    </w:p>
    <w:p>
      <w:pPr>
        <w:spacing w:after="80" w:line="240" w:lineRule="auto"/>
        <w:ind w:firstLine="432"/>
      </w:pPr>
      <w:r>
        <w:rPr>
          <w:rFonts w:ascii="Book Antiqua" w:hAnsi="Book Antiqua"/>
          <w:b w:val="0"/>
          <w:i w:val="0"/>
          <w:color w:val="000000"/>
          <w:sz w:val="22"/>
        </w:rPr>
        <w:t>Figure 4 summarizes the attack mitigation and blocking rate (%) across the six evaluated vectors, contrasting an unprotected architecture, a traditional signature-based WAF (OWASP ModSecurity Core Rule Set), and the proposed pipeline. Whereas the generic WAF fails to identify spatial attacks (achieving only 0% to 20% blocking on topological vectors such as ST_DWithin and ST_Intersects due to the lack of geospatial grammar awareness), the three-barrier pipeline achieves a complete 100% blocking rate across all evaluated vectors of the CIA triad.</w:t>
      </w:r>
    </w:p>
    <w:p>
      <w:pPr>
        <w:keepNext/>
        <w:spacing w:before="160" w:after="40"/>
        <w:jc w:val="center"/>
      </w:pPr>
      <w:r>
        <w:drawing>
          <wp:inline xmlns:a="http://schemas.openxmlformats.org/drawingml/2006/main" xmlns:pic="http://schemas.openxmlformats.org/drawingml/2006/picture">
            <wp:extent cx="5303520" cy="2209800"/>
            <wp:docPr id="4" name="Picture 4"/>
            <wp:cNvGraphicFramePr>
              <a:graphicFrameLocks noChangeAspect="1"/>
            </wp:cNvGraphicFramePr>
            <a:graphic>
              <a:graphicData uri="http://schemas.openxmlformats.org/drawingml/2006/picture">
                <pic:pic>
                  <pic:nvPicPr>
                    <pic:cNvPr id="0" name="fig4_attack_mitigation_matrix.png"/>
                    <pic:cNvPicPr/>
                  </pic:nvPicPr>
                  <pic:blipFill>
                    <a:blip r:embed="rId22"/>
                    <a:stretch>
                      <a:fillRect/>
                    </a:stretch>
                  </pic:blipFill>
                  <pic:spPr>
                    <a:xfrm>
                      <a:off x="0" y="0"/>
                      <a:ext cx="5303520" cy="2209800"/>
                    </a:xfrm>
                    <a:prstGeom prst="rect"/>
                  </pic:spPr>
                </pic:pic>
              </a:graphicData>
            </a:graphic>
          </wp:inline>
        </w:drawing>
      </w:r>
    </w:p>
    <w:p>
      <w:pPr>
        <w:spacing w:before="120" w:after="160"/>
        <w:jc w:val="center"/>
      </w:pPr>
      <w:r>
        <w:rPr>
          <w:rFonts w:ascii="Book Antiqua" w:hAnsi="Book Antiqua"/>
          <w:b/>
          <w:i w:val="0"/>
          <w:color w:val="000000"/>
          <w:sz w:val="20"/>
        </w:rPr>
        <w:t>Figure 4. Attack mitigation and blocking rate (%) across unprotected architecture, traditional WAF (OWASP CRS), and the proposed pipeline</w:t>
      </w:r>
    </w:p>
    <w:p>
      <w:pPr>
        <w:spacing w:after="80" w:line="240" w:lineRule="auto"/>
        <w:ind w:firstLine="432"/>
      </w:pPr>
      <w:r>
        <w:rPr>
          <w:rFonts w:ascii="Book Antiqua" w:hAnsi="Book Antiqua"/>
          <w:b/>
          <w:i w:val="0"/>
          <w:color w:val="000000"/>
          <w:sz w:val="22"/>
        </w:rPr>
        <w:t xml:space="preserve">Platform independence and benchmarking validity. </w:t>
      </w:r>
      <w:r>
        <w:rPr>
          <w:rFonts w:ascii="Book Antiqua" w:hAnsi="Book Antiqua"/>
          <w:b w:val="0"/>
          <w:i w:val="0"/>
          <w:color w:val="000000"/>
          <w:sz w:val="22"/>
        </w:rPr>
        <w:t>While absolute latency metrics were acquired on a modern multi-core workstation, the methodological validity and generalizability of the findings reside in the relative proportions (+15.24% mean overhead and -12.59% p99 tail improvement) and in computational asymptotic complexities. On municipal servers or cloud instances with restricted hardware resources (common in local government environments), the computational cost of Python preprocessing (GeoAlchemy2/Shapely) remains negligible relative to dominant disk I/O and relational concurrency bottlenecks. Conversely, the absence of defenses against algorithmic complexity attacks (O(N^2)) such as Spatial DoS (Simulation 3) proves critical on entry-level processors with lower parallelism, where a small number of malicious queries can immediately incapacitate the entire cadastral service.</w:t>
      </w:r>
    </w:p>
    <w:p>
      <w:pPr>
        <w:spacing w:after="80" w:line="240" w:lineRule="auto"/>
        <w:ind w:firstLine="432"/>
      </w:pPr>
      <w:r>
        <w:rPr>
          <w:rFonts w:ascii="Book Antiqua" w:hAnsi="Book Antiqua"/>
          <w:b/>
          <w:i w:val="0"/>
          <w:color w:val="000000"/>
          <w:sz w:val="22"/>
        </w:rPr>
        <w:t xml:space="preserve">Systemic impact on the integrity of cadastral procedures and records. </w:t>
      </w:r>
      <w:r>
        <w:rPr>
          <w:rFonts w:ascii="Book Antiqua" w:hAnsi="Book Antiqua"/>
          <w:b w:val="0"/>
          <w:i w:val="0"/>
          <w:color w:val="000000"/>
          <w:sz w:val="22"/>
        </w:rPr>
        <w:t>The empirical feasibility of Simulation 4 (tampering with property valuation and ownership via direct injection) illustrates how a persistence-level failure transcends single-table corruption and compromises the validity of municipal e-government operations. When cadastral systems interoperate autonomously to issue cryptographic QR-verified cadastral certificates, tax clearance certificates, or property conveyance deeds under ISO 19152 LADM, injecting arbitrary data into catastro_titulares and tg_lote propagates fiscal and registry inconsistencies without triggering UI-tier alerts, confirming that strongly typed ORM sanitization is an indispensable safeguard for the reliability of digital public services.</w:t>
      </w:r>
    </w:p>
    <w:p>
      <w:pPr>
        <w:keepNext/>
        <w:spacing w:before="240" w:after="80"/>
      </w:pPr>
      <w:r>
        <w:rPr>
          <w:rFonts w:ascii="Book Antiqua" w:hAnsi="Book Antiqua"/>
          <w:b/>
          <w:i w:val="0"/>
          <w:color w:val="000000"/>
          <w:sz w:val="24"/>
        </w:rPr>
        <w:t>7. Conclusions and Recommendations</w:t>
      </w:r>
    </w:p>
    <w:p>
      <w:pPr>
        <w:spacing w:after="80" w:line="240" w:lineRule="auto"/>
      </w:pPr>
      <w:r>
        <w:rPr>
          <w:rFonts w:ascii="Book Antiqua" w:hAnsi="Book Antiqua"/>
          <w:b w:val="0"/>
          <w:i w:val="0"/>
          <w:color w:val="000000"/>
          <w:sz w:val="22"/>
        </w:rPr>
        <w:t>This article formalized and empirically demonstrated the viability of six spatial SQL injection vectors targeting the CIA triad (Confidentiality, Integrity, and Availability) in PostGIS-based cadastral information systems, proving that native topological functions offer no data isolation guarantees when constructed via string concatenation. Experimental evaluation over a dataset of 1,500 cadastral parcels structured under the ISO 19152 (LADM) standard confirmed that unauthenticated adversaries can bypass territorial boundaries, reconstruct credentials through geometric error side-channels, induce denial of service via quadratic algorithmic overhead, tamper with fiscal property records, and execute bulk cartographic deletions. In response, the defense-in-depth architecture based on typed ORM compilation (GeoAlchemy2), rigid typing with Pydantic, and in-memory pre-validation with Shapely successfully mitigated 100% of the evaluated exploitation scenarios. Transactional benchmarking demonstrated that this scheme introduces a mean latency overhead of only 2.63 ms (+15.24%), while simultaneously enhancing 99th-percentile stability by 12.59% through execution plan reuse in PostgreSQL. In conclusion, securing cadastral infrastructures requires abandoning traditional scalar sanitization paradigms in favor of ORM parameterization and spatially aware syntactic controls integrated from the foundational software architecture design.</w:t>
      </w:r>
    </w:p>
    <w:p>
      <w:pPr>
        <w:keepNext/>
        <w:spacing w:before="240" w:after="80"/>
      </w:pPr>
      <w:r>
        <w:rPr>
          <w:rFonts w:ascii="Book Antiqua" w:hAnsi="Book Antiqua"/>
          <w:b/>
          <w:i w:val="0"/>
          <w:color w:val="000000"/>
          <w:sz w:val="24"/>
        </w:rPr>
        <w:t>8. References</w:t>
      </w:r>
    </w:p>
    <w:p>
      <w:pPr>
        <w:spacing w:after="80" w:line="240" w:lineRule="auto"/>
        <w:ind w:left="720" w:hanging="720"/>
      </w:pPr>
      <w:r>
        <w:rPr>
          <w:rFonts w:ascii="Book Antiqua" w:hAnsi="Book Antiqua"/>
          <w:b w:val="0"/>
          <w:i w:val="0"/>
          <w:color w:val="000000"/>
          <w:sz w:val="22"/>
        </w:rPr>
        <w:t>Agarwal, S., &amp; Rajan, K. S. (2016). Performance analysis of MongoDB versus PostGIS/PostgreSQL databases for line intersection and point containment spatial queries. Spatial Information Research, 24(6), 669–677. https://doi.org/10.1007/s41324-016-0059-1</w:t>
      </w:r>
    </w:p>
    <w:p>
      <w:pPr>
        <w:spacing w:after="80" w:line="240" w:lineRule="auto"/>
        <w:ind w:left="720" w:hanging="720"/>
      </w:pPr>
      <w:r>
        <w:rPr>
          <w:rFonts w:ascii="Book Antiqua" w:hAnsi="Book Antiqua"/>
          <w:b w:val="0"/>
          <w:i w:val="0"/>
          <w:color w:val="000000"/>
          <w:sz w:val="22"/>
        </w:rPr>
        <w:t>Atluri, V., &amp; Chun, S. A. (2004). An authorization model for geospatial data. IEEE Transactions on Dependable and Secure Computing, 1(4), 238–254. https://doi.org/10.1109/TDSC.2004.34</w:t>
      </w:r>
    </w:p>
    <w:p>
      <w:pPr>
        <w:spacing w:after="80" w:line="240" w:lineRule="auto"/>
        <w:ind w:left="720" w:hanging="720"/>
      </w:pPr>
      <w:r>
        <w:rPr>
          <w:rFonts w:ascii="Book Antiqua" w:hAnsi="Book Antiqua"/>
          <w:b w:val="0"/>
          <w:i w:val="0"/>
          <w:color w:val="000000"/>
          <w:sz w:val="22"/>
        </w:rPr>
        <w:t>Bertino, E., Catania, B., &amp; Damiani, M. L. (2005). GEO-RBAC: A spatially aware RBAC. In Proceedings of the 10th ACM Symposium on Access Control Models and Technologies (SACMAT '05) (pp. 29–37). Association for Computing Machinery. https://doi.org/10.1145/1063979.1063985</w:t>
      </w:r>
    </w:p>
    <w:p>
      <w:pPr>
        <w:spacing w:after="80" w:line="240" w:lineRule="auto"/>
        <w:ind w:left="720" w:hanging="720"/>
      </w:pPr>
      <w:r>
        <w:rPr>
          <w:rFonts w:ascii="Book Antiqua" w:hAnsi="Book Antiqua"/>
          <w:b w:val="0"/>
          <w:i w:val="0"/>
          <w:color w:val="000000"/>
          <w:sz w:val="22"/>
        </w:rPr>
        <w:t>Chun, S. A., &amp; Atluri, V. (2008). Geospatial database security. In H. Chen, T. S. Raghu, R. Ramesh, R. Sharman, &amp; S. Chakravarty (Eds.), Handbook of Database Security: Applications and Trends (pp. 251–277). Springer. https://doi.org/10.1007/978-0-387-48533-1_11</w:t>
      </w:r>
    </w:p>
    <w:p>
      <w:pPr>
        <w:spacing w:after="80" w:line="240" w:lineRule="auto"/>
        <w:ind w:left="720" w:hanging="720"/>
      </w:pPr>
      <w:r>
        <w:rPr>
          <w:rFonts w:ascii="Book Antiqua" w:hAnsi="Book Antiqua"/>
          <w:b w:val="0"/>
          <w:i w:val="0"/>
          <w:color w:val="000000"/>
          <w:sz w:val="22"/>
        </w:rPr>
        <w:t>Clarke, J. (2012). SQL Injection Attacks and Defense (2nd ed.). Syngress / Elsevier.</w:t>
      </w:r>
    </w:p>
    <w:p>
      <w:pPr>
        <w:spacing w:after="80" w:line="240" w:lineRule="auto"/>
        <w:ind w:left="720" w:hanging="720"/>
      </w:pPr>
      <w:r>
        <w:rPr>
          <w:rFonts w:ascii="Book Antiqua" w:hAnsi="Book Antiqua"/>
          <w:b w:val="0"/>
          <w:i w:val="0"/>
          <w:color w:val="000000"/>
          <w:sz w:val="22"/>
        </w:rPr>
        <w:t>Crosby, S. A., &amp; Wallach, D. S. (2003). Denial of service via algorithmic complexity attacks. In Proceedings of the 12th USENIX Security Symposium (pp. 29–44). USENIX Association.</w:t>
      </w:r>
    </w:p>
    <w:p>
      <w:pPr>
        <w:spacing w:after="80" w:line="240" w:lineRule="auto"/>
        <w:ind w:left="720" w:hanging="720"/>
      </w:pPr>
      <w:r>
        <w:rPr>
          <w:rFonts w:ascii="Book Antiqua" w:hAnsi="Book Antiqua"/>
          <w:b w:val="0"/>
          <w:i w:val="0"/>
          <w:color w:val="000000"/>
          <w:sz w:val="22"/>
        </w:rPr>
        <w:t>Egenhofer, M. J. (1994). Spatial SQL: A query and presentation language. IEEE Transactions on Knowledge and Data Engineering, 6(1), 86–95. https://doi.org/10.1109/69.273029</w:t>
      </w:r>
    </w:p>
    <w:p>
      <w:pPr>
        <w:spacing w:after="80" w:line="240" w:lineRule="auto"/>
        <w:ind w:left="720" w:hanging="720"/>
      </w:pPr>
      <w:r>
        <w:rPr>
          <w:rFonts w:ascii="Book Antiqua" w:hAnsi="Book Antiqua"/>
          <w:b w:val="0"/>
          <w:i w:val="0"/>
          <w:color w:val="000000"/>
          <w:sz w:val="22"/>
        </w:rPr>
        <w:t>Halfond, W. G., Viegas, J., &amp; Orso, A. (2006). A classification of SQL-injection attacks and countermeasures. In Proceedings of the IEEE International Symposium on Secure Software Engineering (ISSSE '06). IEEE.</w:t>
      </w:r>
    </w:p>
    <w:p>
      <w:pPr>
        <w:spacing w:after="80" w:line="240" w:lineRule="auto"/>
        <w:ind w:left="720" w:hanging="720"/>
      </w:pPr>
      <w:r>
        <w:rPr>
          <w:rFonts w:ascii="Book Antiqua" w:hAnsi="Book Antiqua"/>
          <w:b w:val="0"/>
          <w:i w:val="0"/>
          <w:color w:val="000000"/>
          <w:sz w:val="22"/>
        </w:rPr>
        <w:t>Kara, A., Çağdaş, V., Isikdag, U., van Oosterom, P., Lemmen, C., &amp; Stubkjær, E. (2021). Towards the LADM Valuation Information Model: A case study in Turkey. Land Use Policy, 109, 105658. https://doi.org/10.1016/j.landusepol.2021.105658</w:t>
      </w:r>
    </w:p>
    <w:p>
      <w:pPr>
        <w:spacing w:after="80" w:line="240" w:lineRule="auto"/>
        <w:ind w:left="720" w:hanging="720"/>
      </w:pPr>
      <w:r>
        <w:rPr>
          <w:rFonts w:ascii="Book Antiqua" w:hAnsi="Book Antiqua"/>
          <w:b w:val="0"/>
          <w:i w:val="0"/>
          <w:color w:val="000000"/>
          <w:sz w:val="22"/>
        </w:rPr>
        <w:t>Lemmen, C., van Oosterom, P., &amp; Bennett, R. (2015). The Land Administration Domain Model. Land Use Policy, 49, 535–545. https://doi.org/10.1016/j.landusepol.2015.01.014</w:t>
      </w:r>
    </w:p>
    <w:p>
      <w:pPr>
        <w:spacing w:after="80" w:line="240" w:lineRule="auto"/>
        <w:ind w:left="720" w:hanging="720"/>
      </w:pPr>
      <w:r>
        <w:rPr>
          <w:rFonts w:ascii="Book Antiqua" w:hAnsi="Book Antiqua"/>
          <w:b w:val="0"/>
          <w:i w:val="0"/>
          <w:color w:val="000000"/>
          <w:sz w:val="22"/>
        </w:rPr>
        <w:t>National Vulnerability Database. (2023). CVE-2023-25157 Detail: GeoServer SQL Injection Vulnerability. National Institute of Standards and Technology. https://nvd.nist.gov/vuln/detail/CVE-2023-25157</w:t>
      </w:r>
    </w:p>
    <w:p>
      <w:pPr>
        <w:spacing w:after="80" w:line="240" w:lineRule="auto"/>
        <w:ind w:left="720" w:hanging="720"/>
      </w:pPr>
      <w:r>
        <w:rPr>
          <w:rFonts w:ascii="Book Antiqua" w:hAnsi="Book Antiqua"/>
          <w:b w:val="0"/>
          <w:i w:val="0"/>
          <w:color w:val="000000"/>
          <w:sz w:val="22"/>
        </w:rPr>
        <w:t>Obe, R. O., &amp; Hsu, L. S. (2021). PostGIS in Action (3rd ed.). Manning Publications.</w:t>
      </w:r>
    </w:p>
    <w:p>
      <w:pPr>
        <w:spacing w:after="80" w:line="240" w:lineRule="auto"/>
        <w:ind w:left="720" w:hanging="720"/>
      </w:pPr>
      <w:r>
        <w:rPr>
          <w:rFonts w:ascii="Book Antiqua" w:hAnsi="Book Antiqua"/>
          <w:b w:val="0"/>
          <w:i w:val="0"/>
          <w:color w:val="000000"/>
          <w:sz w:val="22"/>
        </w:rPr>
        <w:t>OWASP Foundation. (2021). OWASP Top 10:2021 - The Ten Most Critical Web Application Security Risks. Open Web Application Security Project. https://owasp.org/Top10/</w:t>
      </w:r>
    </w:p>
    <w:p>
      <w:pPr>
        <w:spacing w:after="80" w:line="240" w:lineRule="auto"/>
        <w:ind w:left="720" w:hanging="720"/>
      </w:pPr>
      <w:r>
        <w:rPr>
          <w:rFonts w:ascii="Book Antiqua" w:hAnsi="Book Antiqua"/>
          <w:b w:val="0"/>
          <w:i w:val="0"/>
          <w:color w:val="000000"/>
          <w:sz w:val="22"/>
        </w:rPr>
        <w:t>OWASP Foundation. (2023). Web Security Testing Guide (WSTG v4.2). Open Web Application Security Project. https://owasp.org/www-project-web-security-testing-guide/</w:t>
      </w:r>
    </w:p>
    <w:p>
      <w:pPr>
        <w:spacing w:after="80" w:line="240" w:lineRule="auto"/>
        <w:ind w:left="720" w:hanging="720"/>
      </w:pPr>
      <w:r>
        <w:rPr>
          <w:rFonts w:ascii="Book Antiqua" w:hAnsi="Book Antiqua"/>
          <w:b w:val="0"/>
          <w:i w:val="0"/>
          <w:color w:val="000000"/>
          <w:sz w:val="22"/>
        </w:rPr>
        <w:t>van Oosterom, P., Lemmen, C., &amp; Ingvarsson, T. (2006). The core cadastral domain model. Computers, Environment and Urban Systems, 30(5), 627–660. https://doi.org/10.1016/j.compenvurbsys.2005.12.002</w:t>
      </w:r>
    </w:p>
    <w:p>
      <w:pPr>
        <w:spacing w:before="240" w:after="80"/>
      </w:pPr>
      <w:r>
        <w:rPr>
          <w:rFonts w:ascii="Book Antiqua" w:hAnsi="Book Antiqua"/>
          <w:b/>
          <w:i w:val="0"/>
          <w:color w:val="000000"/>
          <w:sz w:val="22"/>
        </w:rPr>
        <w:t>This paper may be cited as:</w:t>
      </w:r>
    </w:p>
    <w:p>
      <w:pPr>
        <w:spacing w:after="240"/>
        <w:ind w:left="720" w:hanging="720"/>
      </w:pPr>
      <w:r>
        <w:rPr>
          <w:rFonts w:ascii="Book Antiqua" w:hAnsi="Book Antiqua"/>
          <w:b w:val="0"/>
          <w:i w:val="0"/>
          <w:color w:val="000000"/>
          <w:sz w:val="22"/>
        </w:rPr>
        <w:t>Rodrigo, A. (2026). Evaluation of Spatial SQL Injection Vulnerabilities in PostGIS-Based Cadastral Information Systems. International Multidisciplinary Journal of Emerging Technologies and Applications, 1(1), 1-8. https://imjeta.org/index.php/IMJETA/libraryFiles/downloadPublic/1</w:t>
      </w:r>
    </w:p>
    <w:p>
      <w:r>
        <w:br w:type="page"/>
      </w:r>
    </w:p>
    <w:p>
      <w:pPr>
        <w:keepNext/>
        <w:spacing w:before="240" w:after="80"/>
      </w:pPr>
      <w:r>
        <w:rPr>
          <w:rFonts w:ascii="Book Antiqua" w:hAnsi="Book Antiqua"/>
          <w:b/>
          <w:i w:val="0"/>
          <w:color w:val="000000"/>
          <w:sz w:val="24"/>
        </w:rPr>
        <w:t>Appendix 1</w:t>
      </w:r>
    </w:p>
    <w:p>
      <w:pPr>
        <w:spacing w:after="80" w:line="240" w:lineRule="auto"/>
      </w:pPr>
      <w:r>
        <w:rPr>
          <w:rFonts w:ascii="Book Antiqua" w:hAnsi="Book Antiqua"/>
          <w:b w:val="0"/>
          <w:i w:val="0"/>
          <w:color w:val="000000"/>
          <w:sz w:val="22"/>
        </w:rPr>
        <w:t>Research Instrument: Experimental Battery of Spatial SQL Injection Vectors. The following table details the six exploitation vectors designed and executed to evaluate the security of the cadastral API:</w:t>
      </w:r>
    </w:p>
    <w:tbl>
      <w:tblPr>
        <w:tblW w:type="auto" w:w="0"/>
        <w:jc w:val="center"/>
        <w:tblLook w:firstColumn="1" w:firstRow="1" w:lastColumn="0" w:lastRow="0" w:noHBand="0" w:noVBand="1" w:val="04A0"/>
      </w:tblPr>
      <w:tblGrid>
        <w:gridCol w:w="2052"/>
        <w:gridCol w:w="2052"/>
        <w:gridCol w:w="2052"/>
        <w:gridCol w:w="2052"/>
      </w:tblGrid>
      <w:tr>
        <w:tc>
          <w:tcPr>
            <w:tcW w:type="dxa" w:w="2052"/>
          </w:tcPr>
          <w:p>
            <w:pPr>
              <w:spacing w:before="40" w:after="40"/>
              <w:jc w:val="left"/>
            </w:pPr>
            <w:r>
              <w:rPr>
                <w:rFonts w:ascii="Book Antiqua" w:hAnsi="Book Antiqua"/>
                <w:b/>
                <w:i w:val="0"/>
                <w:color w:val="000000"/>
                <w:sz w:val="18"/>
              </w:rPr>
              <w:t>Test Vector</w:t>
            </w:r>
          </w:p>
        </w:tc>
        <w:tc>
          <w:tcPr>
            <w:tcW w:type="dxa" w:w="2052"/>
          </w:tcPr>
          <w:p>
            <w:pPr>
              <w:spacing w:before="40" w:after="40"/>
              <w:jc w:val="left"/>
            </w:pPr>
            <w:r>
              <w:rPr>
                <w:rFonts w:ascii="Book Antiqua" w:hAnsi="Book Antiqua"/>
                <w:b/>
                <w:i w:val="0"/>
                <w:color w:val="000000"/>
                <w:sz w:val="18"/>
              </w:rPr>
              <w:t>Evaluated Endpoint</w:t>
            </w:r>
          </w:p>
        </w:tc>
        <w:tc>
          <w:tcPr>
            <w:tcW w:type="dxa" w:w="2052"/>
          </w:tcPr>
          <w:p>
            <w:pPr>
              <w:spacing w:before="40" w:after="40"/>
              <w:jc w:val="left"/>
            </w:pPr>
            <w:r>
              <w:rPr>
                <w:rFonts w:ascii="Book Antiqua" w:hAnsi="Book Antiqua"/>
                <w:b/>
                <w:i w:val="0"/>
                <w:color w:val="000000"/>
                <w:sz w:val="18"/>
              </w:rPr>
              <w:t>Representative Payload</w:t>
            </w:r>
          </w:p>
        </w:tc>
        <w:tc>
          <w:tcPr>
            <w:tcW w:type="dxa" w:w="2052"/>
          </w:tcPr>
          <w:p>
            <w:pPr>
              <w:spacing w:before="40" w:after="40"/>
              <w:jc w:val="left"/>
            </w:pPr>
            <w:r>
              <w:rPr>
                <w:rFonts w:ascii="Book Antiqua" w:hAnsi="Book Antiqua"/>
                <w:b/>
                <w:i w:val="0"/>
                <w:color w:val="000000"/>
                <w:sz w:val="18"/>
              </w:rPr>
              <w:t>CIA Dimension and Effect</w:t>
            </w:r>
          </w:p>
        </w:tc>
      </w:tr>
      <w:tr>
        <w:tc>
          <w:tcPr>
            <w:tcW w:type="dxa" w:w="2052"/>
          </w:tcPr>
          <w:p>
            <w:pPr>
              <w:spacing w:before="40" w:after="40"/>
              <w:jc w:val="left"/>
            </w:pPr>
            <w:r>
              <w:rPr>
                <w:rFonts w:ascii="Book Antiqua" w:hAnsi="Book Antiqua"/>
                <w:b w:val="0"/>
                <w:i w:val="0"/>
                <w:color w:val="000000"/>
                <w:sz w:val="18"/>
              </w:rPr>
              <w:t>1. Logic Bypass</w:t>
            </w:r>
          </w:p>
        </w:tc>
        <w:tc>
          <w:tcPr>
            <w:tcW w:type="dxa" w:w="2052"/>
          </w:tcPr>
          <w:p>
            <w:pPr>
              <w:spacing w:before="40" w:after="40"/>
              <w:jc w:val="left"/>
            </w:pPr>
            <w:r>
              <w:rPr>
                <w:rFonts w:ascii="Book Antiqua" w:hAnsi="Book Antiqua"/>
                <w:b w:val="0"/>
                <w:i w:val="0"/>
                <w:color w:val="000000"/>
                <w:sz w:val="18"/>
              </w:rPr>
              <w:t>GET /api/v1/vulnerable/predios/radio</w:t>
            </w:r>
          </w:p>
        </w:tc>
        <w:tc>
          <w:tcPr>
            <w:tcW w:type="dxa" w:w="2052"/>
          </w:tcPr>
          <w:p>
            <w:pPr>
              <w:spacing w:before="40" w:after="40"/>
              <w:jc w:val="left"/>
            </w:pPr>
            <w:r>
              <w:rPr>
                <w:rFonts w:ascii="Book Antiqua" w:hAnsi="Book Antiqua"/>
                <w:b w:val="0"/>
                <w:i w:val="0"/>
                <w:color w:val="000000"/>
                <w:sz w:val="18"/>
              </w:rPr>
              <w:t>50) OR 1=1 --</w:t>
            </w:r>
          </w:p>
        </w:tc>
        <w:tc>
          <w:tcPr>
            <w:tcW w:type="dxa" w:w="2052"/>
          </w:tcPr>
          <w:p>
            <w:pPr>
              <w:spacing w:before="40" w:after="40"/>
              <w:jc w:val="left"/>
            </w:pPr>
            <w:r>
              <w:rPr>
                <w:rFonts w:ascii="Book Antiqua" w:hAnsi="Book Antiqua"/>
                <w:b w:val="0"/>
                <w:i w:val="0"/>
                <w:color w:val="000000"/>
                <w:sz w:val="18"/>
              </w:rPr>
              <w:t>Confidentiality: Exfiltration of parcels from restricted sectors.</w:t>
            </w:r>
          </w:p>
        </w:tc>
      </w:tr>
      <w:tr>
        <w:tc>
          <w:tcPr>
            <w:tcW w:type="dxa" w:w="2052"/>
          </w:tcPr>
          <w:p>
            <w:pPr>
              <w:spacing w:before="40" w:after="40"/>
              <w:jc w:val="left"/>
            </w:pPr>
            <w:r>
              <w:rPr>
                <w:rFonts w:ascii="Book Antiqua" w:hAnsi="Book Antiqua"/>
                <w:b w:val="0"/>
                <w:i w:val="0"/>
                <w:color w:val="000000"/>
                <w:sz w:val="18"/>
              </w:rPr>
              <w:t>2. Blind Side-Channel</w:t>
            </w:r>
          </w:p>
        </w:tc>
        <w:tc>
          <w:tcPr>
            <w:tcW w:type="dxa" w:w="2052"/>
          </w:tcPr>
          <w:p>
            <w:pPr>
              <w:spacing w:before="40" w:after="40"/>
              <w:jc w:val="left"/>
            </w:pPr>
            <w:r>
              <w:rPr>
                <w:rFonts w:ascii="Book Antiqua" w:hAnsi="Book Antiqua"/>
                <w:b w:val="0"/>
                <w:i w:val="0"/>
                <w:color w:val="000000"/>
                <w:sz w:val="18"/>
              </w:rPr>
              <w:t>GET /api/v1/vulnerable/predios/poligono</w:t>
            </w:r>
          </w:p>
        </w:tc>
        <w:tc>
          <w:tcPr>
            <w:tcW w:type="dxa" w:w="2052"/>
          </w:tcPr>
          <w:p>
            <w:pPr>
              <w:spacing w:before="40" w:after="40"/>
              <w:jc w:val="left"/>
            </w:pPr>
            <w:r>
              <w:rPr>
                <w:rFonts w:ascii="Book Antiqua" w:hAnsi="Book Antiqua"/>
                <w:b w:val="0"/>
                <w:i w:val="0"/>
                <w:color w:val="000000"/>
                <w:sz w:val="18"/>
              </w:rPr>
              <w:t>POLYGON(...) AND 1=(CASE WHEN ... THEN CAST(ST_GeomFromText('ERR') AS INT) ELSE 1 END)</w:t>
            </w:r>
          </w:p>
        </w:tc>
        <w:tc>
          <w:tcPr>
            <w:tcW w:type="dxa" w:w="2052"/>
          </w:tcPr>
          <w:p>
            <w:pPr>
              <w:spacing w:before="40" w:after="40"/>
              <w:jc w:val="left"/>
            </w:pPr>
            <w:r>
              <w:rPr>
                <w:rFonts w:ascii="Book Antiqua" w:hAnsi="Book Antiqua"/>
                <w:b w:val="0"/>
                <w:i w:val="0"/>
                <w:color w:val="000000"/>
                <w:sz w:val="18"/>
              </w:rPr>
              <w:t>Confidentiality: Character-by-character extraction of credential hashes.</w:t>
            </w:r>
          </w:p>
        </w:tc>
      </w:tr>
      <w:tr>
        <w:tc>
          <w:tcPr>
            <w:tcW w:type="dxa" w:w="2052"/>
          </w:tcPr>
          <w:p>
            <w:pPr>
              <w:spacing w:before="40" w:after="40"/>
              <w:jc w:val="left"/>
            </w:pPr>
            <w:r>
              <w:rPr>
                <w:rFonts w:ascii="Book Antiqua" w:hAnsi="Book Antiqua"/>
                <w:b w:val="0"/>
                <w:i w:val="0"/>
                <w:color w:val="000000"/>
                <w:sz w:val="18"/>
              </w:rPr>
              <w:t>3. Algorithmic DoS</w:t>
            </w:r>
          </w:p>
        </w:tc>
        <w:tc>
          <w:tcPr>
            <w:tcW w:type="dxa" w:w="2052"/>
          </w:tcPr>
          <w:p>
            <w:pPr>
              <w:spacing w:before="40" w:after="40"/>
              <w:jc w:val="left"/>
            </w:pPr>
            <w:r>
              <w:rPr>
                <w:rFonts w:ascii="Book Antiqua" w:hAnsi="Book Antiqua"/>
                <w:b w:val="0"/>
                <w:i w:val="0"/>
                <w:color w:val="000000"/>
                <w:sz w:val="18"/>
              </w:rPr>
              <w:t>GET /api/v1/vulnerable/predios/analisis-expansion</w:t>
            </w:r>
          </w:p>
        </w:tc>
        <w:tc>
          <w:tcPr>
            <w:tcW w:type="dxa" w:w="2052"/>
          </w:tcPr>
          <w:p>
            <w:pPr>
              <w:spacing w:before="40" w:after="40"/>
              <w:jc w:val="left"/>
            </w:pPr>
            <w:r>
              <w:rPr>
                <w:rFonts w:ascii="Book Antiqua" w:hAnsi="Book Antiqua"/>
                <w:b w:val="0"/>
                <w:i w:val="0"/>
                <w:color w:val="000000"/>
                <w:sz w:val="18"/>
              </w:rPr>
              <w:t>10 + (SELECT COUNT(*) FROM tg_lote a CROSS JOIN ... ST_Buffer(..., 100))</w:t>
            </w:r>
          </w:p>
        </w:tc>
        <w:tc>
          <w:tcPr>
            <w:tcW w:type="dxa" w:w="2052"/>
          </w:tcPr>
          <w:p>
            <w:pPr>
              <w:spacing w:before="40" w:after="40"/>
              <w:jc w:val="left"/>
            </w:pPr>
            <w:r>
              <w:rPr>
                <w:rFonts w:ascii="Book Antiqua" w:hAnsi="Book Antiqua"/>
                <w:b w:val="0"/>
                <w:i w:val="0"/>
                <w:color w:val="000000"/>
                <w:sz w:val="18"/>
              </w:rPr>
              <w:t>Availability: Combinatorial O(N^2) explosion, CPU core saturation.</w:t>
            </w:r>
          </w:p>
        </w:tc>
      </w:tr>
      <w:tr>
        <w:tc>
          <w:tcPr>
            <w:tcW w:type="dxa" w:w="2052"/>
          </w:tcPr>
          <w:p>
            <w:pPr>
              <w:spacing w:before="40" w:after="40"/>
              <w:jc w:val="left"/>
            </w:pPr>
            <w:r>
              <w:rPr>
                <w:rFonts w:ascii="Book Antiqua" w:hAnsi="Book Antiqua"/>
                <w:b w:val="0"/>
                <w:i w:val="0"/>
                <w:color w:val="000000"/>
                <w:sz w:val="18"/>
              </w:rPr>
              <w:t>4. Cadastral Tampering</w:t>
            </w:r>
          </w:p>
        </w:tc>
        <w:tc>
          <w:tcPr>
            <w:tcW w:type="dxa" w:w="2052"/>
          </w:tcPr>
          <w:p>
            <w:pPr>
              <w:spacing w:before="40" w:after="40"/>
              <w:jc w:val="left"/>
            </w:pPr>
            <w:r>
              <w:rPr>
                <w:rFonts w:ascii="Book Antiqua" w:hAnsi="Book Antiqua"/>
                <w:b w:val="0"/>
                <w:i w:val="0"/>
                <w:color w:val="000000"/>
                <w:sz w:val="18"/>
              </w:rPr>
              <w:t>POST /api/v1/vulnerable/ficha/modificar</w:t>
            </w:r>
          </w:p>
        </w:tc>
        <w:tc>
          <w:tcPr>
            <w:tcW w:type="dxa" w:w="2052"/>
          </w:tcPr>
          <w:p>
            <w:pPr>
              <w:spacing w:before="40" w:after="40"/>
              <w:jc w:val="left"/>
            </w:pPr>
            <w:r>
              <w:rPr>
                <w:rFonts w:ascii="Book Antiqua" w:hAnsi="Book Antiqua"/>
                <w:b w:val="0"/>
                <w:i w:val="0"/>
                <w:color w:val="000000"/>
                <w:sz w:val="18"/>
              </w:rPr>
              <w:t>id_lote = '21010101000000', nuevo_autovaluo = 0, nuevo_titular = 'HACKER'</w:t>
            </w:r>
          </w:p>
        </w:tc>
        <w:tc>
          <w:tcPr>
            <w:tcW w:type="dxa" w:w="2052"/>
          </w:tcPr>
          <w:p>
            <w:pPr>
              <w:spacing w:before="40" w:after="40"/>
              <w:jc w:val="left"/>
            </w:pPr>
            <w:r>
              <w:rPr>
                <w:rFonts w:ascii="Book Antiqua" w:hAnsi="Book Antiqua"/>
                <w:b w:val="0"/>
                <w:i w:val="0"/>
                <w:color w:val="000000"/>
                <w:sz w:val="18"/>
              </w:rPr>
              <w:t>Integrity: Fiscal assessment alteration and ownership hijacking.</w:t>
            </w:r>
          </w:p>
        </w:tc>
      </w:tr>
      <w:tr>
        <w:tc>
          <w:tcPr>
            <w:tcW w:type="dxa" w:w="2052"/>
          </w:tcPr>
          <w:p>
            <w:pPr>
              <w:spacing w:before="40" w:after="40"/>
              <w:jc w:val="left"/>
            </w:pPr>
            <w:r>
              <w:rPr>
                <w:rFonts w:ascii="Book Antiqua" w:hAnsi="Book Antiqua"/>
                <w:b w:val="0"/>
                <w:i w:val="0"/>
                <w:color w:val="000000"/>
                <w:sz w:val="18"/>
              </w:rPr>
              <w:t>5. Massive Deletion</w:t>
            </w:r>
          </w:p>
        </w:tc>
        <w:tc>
          <w:tcPr>
            <w:tcW w:type="dxa" w:w="2052"/>
          </w:tcPr>
          <w:p>
            <w:pPr>
              <w:spacing w:before="40" w:after="40"/>
              <w:jc w:val="left"/>
            </w:pPr>
            <w:r>
              <w:rPr>
                <w:rFonts w:ascii="Book Antiqua" w:hAnsi="Book Antiqua"/>
                <w:b w:val="0"/>
                <w:i w:val="0"/>
                <w:color w:val="000000"/>
                <w:sz w:val="18"/>
              </w:rPr>
              <w:t>DELETE /api/v1/vulnerable/predios/borrar</w:t>
            </w:r>
          </w:p>
        </w:tc>
        <w:tc>
          <w:tcPr>
            <w:tcW w:type="dxa" w:w="2052"/>
          </w:tcPr>
          <w:p>
            <w:pPr>
              <w:spacing w:before="40" w:after="40"/>
              <w:jc w:val="left"/>
            </w:pPr>
            <w:r>
              <w:rPr>
                <w:rFonts w:ascii="Book Antiqua" w:hAnsi="Book Antiqua"/>
                <w:b w:val="0"/>
                <w:i w:val="0"/>
                <w:color w:val="000000"/>
                <w:sz w:val="18"/>
              </w:rPr>
              <w:t>filtro_sector = '0101' OR '1'='1'</w:t>
            </w:r>
          </w:p>
        </w:tc>
        <w:tc>
          <w:tcPr>
            <w:tcW w:type="dxa" w:w="2052"/>
          </w:tcPr>
          <w:p>
            <w:pPr>
              <w:spacing w:before="40" w:after="40"/>
              <w:jc w:val="left"/>
            </w:pPr>
            <w:r>
              <w:rPr>
                <w:rFonts w:ascii="Book Antiqua" w:hAnsi="Book Antiqua"/>
                <w:b w:val="0"/>
                <w:i w:val="0"/>
                <w:color w:val="000000"/>
                <w:sz w:val="18"/>
              </w:rPr>
              <w:t>Integrity &amp; Availability: Unconditional deletion of 1,500 cadastral parcels.</w:t>
            </w:r>
          </w:p>
        </w:tc>
      </w:tr>
      <w:tr>
        <w:tc>
          <w:tcPr>
            <w:tcW w:type="dxa" w:w="2052"/>
          </w:tcPr>
          <w:p>
            <w:pPr>
              <w:spacing w:before="40" w:after="40"/>
              <w:jc w:val="left"/>
            </w:pPr>
            <w:r>
              <w:rPr>
                <w:rFonts w:ascii="Book Antiqua" w:hAnsi="Book Antiqua"/>
                <w:b w:val="0"/>
                <w:i w:val="0"/>
                <w:color w:val="000000"/>
                <w:sz w:val="18"/>
              </w:rPr>
              <w:t>6. Auth Bypass</w:t>
            </w:r>
          </w:p>
        </w:tc>
        <w:tc>
          <w:tcPr>
            <w:tcW w:type="dxa" w:w="2052"/>
          </w:tcPr>
          <w:p>
            <w:pPr>
              <w:spacing w:before="40" w:after="40"/>
              <w:jc w:val="left"/>
            </w:pPr>
            <w:r>
              <w:rPr>
                <w:rFonts w:ascii="Book Antiqua" w:hAnsi="Book Antiqua"/>
                <w:b w:val="0"/>
                <w:i w:val="0"/>
                <w:color w:val="000000"/>
                <w:sz w:val="18"/>
              </w:rPr>
              <w:t>POST /api/v1/vulnerable/auth/login</w:t>
            </w:r>
          </w:p>
        </w:tc>
        <w:tc>
          <w:tcPr>
            <w:tcW w:type="dxa" w:w="2052"/>
          </w:tcPr>
          <w:p>
            <w:pPr>
              <w:spacing w:before="40" w:after="40"/>
              <w:jc w:val="left"/>
            </w:pPr>
            <w:r>
              <w:rPr>
                <w:rFonts w:ascii="Book Antiqua" w:hAnsi="Book Antiqua"/>
                <w:b w:val="0"/>
                <w:i w:val="0"/>
                <w:color w:val="000000"/>
                <w:sz w:val="18"/>
              </w:rPr>
              <w:t>username = admin' --</w:t>
            </w:r>
          </w:p>
        </w:tc>
        <w:tc>
          <w:tcPr>
            <w:tcW w:type="dxa" w:w="2052"/>
          </w:tcPr>
          <w:p>
            <w:pPr>
              <w:spacing w:before="40" w:after="40"/>
              <w:jc w:val="left"/>
            </w:pPr>
            <w:r>
              <w:rPr>
                <w:rFonts w:ascii="Book Antiqua" w:hAnsi="Book Antiqua"/>
                <w:b w:val="0"/>
                <w:i w:val="0"/>
                <w:color w:val="000000"/>
                <w:sz w:val="18"/>
              </w:rPr>
              <w:t>Confidentiality &amp; Integrity: Privilege escalation to superadmin_catastro.</w:t>
            </w:r>
          </w:p>
        </w:tc>
      </w:tr>
    </w:tbl>
    <w:sectPr w:rsidR="00F62503" w:rsidSect="006C7473">
      <w:headerReference w:type="default" r:id="rId14"/>
      <w:footerReference w:type="default" r:id="rId15"/>
      <w:headerReference w:type="first" r:id="rId16"/>
      <w:pgSz w:w="12240" w:h="15840" w:code="1"/>
      <w:pgMar w:top="1728" w:right="2016" w:bottom="1728" w:left="2016"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BFEE2B" w14:textId="77777777" w:rsidR="006A0CA1" w:rsidRDefault="006A0CA1">
      <w:pPr>
        <w:spacing w:after="0" w:line="240" w:lineRule="auto"/>
      </w:pPr>
      <w:r>
        <w:separator/>
      </w:r>
    </w:p>
  </w:endnote>
  <w:endnote w:type="continuationSeparator" w:id="0">
    <w:p w14:paraId="456C0E6D" w14:textId="77777777" w:rsidR="006A0CA1" w:rsidRDefault="006A0C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21002A87" w:usb1="00000000" w:usb2="00000000" w:usb3="00000000" w:csb0="000101FF" w:csb1="00000000"/>
  </w:font>
  <w:font w:name="Georgia">
    <w:panose1 w:val="02040502050405020303"/>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0036D8" w14:textId="77777777" w:rsidR="00F62503" w:rsidRDefault="00611062">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18"/>
        <w:szCs w:val="18"/>
      </w:rPr>
    </w:pPr>
    <w:r>
      <w:rPr>
        <w:rFonts w:ascii="Book Antiqua" w:eastAsia="Book Antiqua" w:hAnsi="Book Antiqua" w:cs="Book Antiqua"/>
        <w:color w:val="000000"/>
        <w:sz w:val="18"/>
        <w:szCs w:val="18"/>
      </w:rPr>
      <w:t>©Authors</w:t>
    </w:r>
  </w:p>
  <w:p w14:paraId="0744B9FD" w14:textId="77777777" w:rsidR="00F62503" w:rsidRDefault="00611062">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18"/>
        <w:szCs w:val="18"/>
      </w:rPr>
    </w:pPr>
    <w:r>
      <w:rPr>
        <w:rFonts w:ascii="Book Antiqua" w:eastAsia="Book Antiqua" w:hAnsi="Book Antiqua" w:cs="Book Antiqua"/>
        <w:color w:val="000000"/>
        <w:sz w:val="18"/>
        <w:szCs w:val="18"/>
      </w:rPr>
      <w:t>CC BY-NC-ND 4.0</w:t>
    </w:r>
  </w:p>
  <w:p w14:paraId="729FD741" w14:textId="77777777" w:rsidR="00F62503" w:rsidRDefault="00000000">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18"/>
        <w:szCs w:val="18"/>
      </w:rPr>
    </w:pPr>
    <w:hyperlink r:id="rId1" w:history="1">
      <w:r w:rsidR="006C7473" w:rsidRPr="009F45FF">
        <w:rPr>
          <w:rStyle w:val="Hipervnculo"/>
          <w:rFonts w:ascii="Book Antiqua" w:eastAsia="Book Antiqua" w:hAnsi="Book Antiqua" w:cs="Book Antiqua"/>
          <w:sz w:val="18"/>
          <w:szCs w:val="18"/>
        </w:rPr>
        <w:t>https://imjeta.org/index.php/imjeta</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94BDDD" w14:textId="77777777" w:rsidR="006A0CA1" w:rsidRDefault="006A0CA1">
      <w:pPr>
        <w:spacing w:after="0" w:line="240" w:lineRule="auto"/>
      </w:pPr>
      <w:r>
        <w:separator/>
      </w:r>
    </w:p>
  </w:footnote>
  <w:footnote w:type="continuationSeparator" w:id="0">
    <w:p w14:paraId="56D7E674" w14:textId="77777777" w:rsidR="006A0CA1" w:rsidRDefault="006A0C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C5EBF" w14:textId="77777777" w:rsidR="00F62503" w:rsidRDefault="00611062">
    <w:pPr>
      <w:pBdr>
        <w:top w:val="nil"/>
        <w:left w:val="nil"/>
        <w:bottom w:val="nil"/>
        <w:right w:val="nil"/>
        <w:between w:val="nil"/>
      </w:pBdr>
      <w:tabs>
        <w:tab w:val="center" w:pos="4680"/>
        <w:tab w:val="right" w:pos="9360"/>
      </w:tabs>
      <w:spacing w:after="0" w:line="240" w:lineRule="auto"/>
      <w:jc w:val="right"/>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fldChar w:fldCharType="begin"/>
    </w:r>
    <w:r>
      <w:rPr>
        <w:rFonts w:ascii="Book Antiqua" w:eastAsia="Book Antiqua" w:hAnsi="Book Antiqua" w:cs="Book Antiqua"/>
        <w:color w:val="000000"/>
        <w:sz w:val="20"/>
        <w:szCs w:val="20"/>
      </w:rPr>
      <w:instrText>PAGE</w:instrText>
    </w:r>
    <w:r>
      <w:rPr>
        <w:rFonts w:ascii="Book Antiqua" w:eastAsia="Book Antiqua" w:hAnsi="Book Antiqua" w:cs="Book Antiqua"/>
        <w:color w:val="000000"/>
        <w:sz w:val="20"/>
        <w:szCs w:val="20"/>
      </w:rPr>
      <w:fldChar w:fldCharType="separate"/>
    </w:r>
    <w:r w:rsidR="00C9401F">
      <w:rPr>
        <w:rFonts w:ascii="Book Antiqua" w:eastAsia="Book Antiqua" w:hAnsi="Book Antiqua" w:cs="Book Antiqua"/>
        <w:noProof/>
        <w:color w:val="000000"/>
        <w:sz w:val="20"/>
        <w:szCs w:val="20"/>
      </w:rPr>
      <w:t>1</w:t>
    </w:r>
    <w:r>
      <w:rPr>
        <w:rFonts w:ascii="Book Antiqua" w:eastAsia="Book Antiqua" w:hAnsi="Book Antiqua" w:cs="Book Antiqua"/>
        <w:color w:val="000000"/>
        <w:sz w:val="20"/>
        <w:szCs w:val="20"/>
      </w:rPr>
      <w:fldChar w:fldCharType="end"/>
    </w:r>
  </w:p>
  <w:p w14:paraId="0FCBBC3A" w14:textId="77777777" w:rsidR="00F62503" w:rsidRDefault="00F62503">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61B693" w14:textId="77777777" w:rsidR="00F62503" w:rsidRDefault="00611062">
    <w:pPr>
      <w:pBdr>
        <w:top w:val="nil"/>
        <w:left w:val="nil"/>
        <w:bottom w:val="nil"/>
        <w:right w:val="nil"/>
        <w:between w:val="nil"/>
      </w:pBdr>
      <w:tabs>
        <w:tab w:val="center" w:pos="4680"/>
        <w:tab w:val="right" w:pos="9360"/>
      </w:tabs>
      <w:spacing w:after="0" w:line="240" w:lineRule="auto"/>
      <w:jc w:val="right"/>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fldChar w:fldCharType="begin"/>
    </w:r>
    <w:r>
      <w:rPr>
        <w:rFonts w:ascii="Book Antiqua" w:eastAsia="Book Antiqua" w:hAnsi="Book Antiqua" w:cs="Book Antiqua"/>
        <w:color w:val="000000"/>
        <w:sz w:val="20"/>
        <w:szCs w:val="20"/>
      </w:rPr>
      <w:instrText>PAGE</w:instrText>
    </w:r>
    <w:r>
      <w:rPr>
        <w:rFonts w:ascii="Book Antiqua" w:eastAsia="Book Antiqua" w:hAnsi="Book Antiqua" w:cs="Book Antiqua"/>
        <w:color w:val="000000"/>
        <w:sz w:val="20"/>
        <w:szCs w:val="20"/>
      </w:rPr>
      <w:fldChar w:fldCharType="end"/>
    </w:r>
  </w:p>
  <w:p w14:paraId="51A5ECA9" w14:textId="77777777" w:rsidR="00F62503" w:rsidRDefault="00F62503">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2B56D9"/>
    <w:multiLevelType w:val="hybridMultilevel"/>
    <w:tmpl w:val="793C8338"/>
    <w:lvl w:ilvl="0" w:tplc="540A000F">
      <w:start w:val="1"/>
      <w:numFmt w:val="decimal"/>
      <w:lvlText w:val="%1."/>
      <w:lvlJc w:val="left"/>
      <w:pPr>
        <w:ind w:left="720" w:hanging="36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 w15:restartNumberingAfterBreak="0">
    <w:nsid w:val="2F191376"/>
    <w:multiLevelType w:val="hybridMultilevel"/>
    <w:tmpl w:val="B9129544"/>
    <w:lvl w:ilvl="0" w:tplc="540A000F">
      <w:start w:val="1"/>
      <w:numFmt w:val="decimal"/>
      <w:lvlText w:val="%1."/>
      <w:lvlJc w:val="left"/>
      <w:pPr>
        <w:ind w:left="360" w:hanging="360"/>
      </w:pPr>
    </w:lvl>
    <w:lvl w:ilvl="1" w:tplc="540A0019" w:tentative="1">
      <w:start w:val="1"/>
      <w:numFmt w:val="lowerLetter"/>
      <w:lvlText w:val="%2."/>
      <w:lvlJc w:val="left"/>
      <w:pPr>
        <w:ind w:left="1080" w:hanging="360"/>
      </w:pPr>
    </w:lvl>
    <w:lvl w:ilvl="2" w:tplc="540A001B" w:tentative="1">
      <w:start w:val="1"/>
      <w:numFmt w:val="lowerRoman"/>
      <w:lvlText w:val="%3."/>
      <w:lvlJc w:val="right"/>
      <w:pPr>
        <w:ind w:left="1800" w:hanging="180"/>
      </w:pPr>
    </w:lvl>
    <w:lvl w:ilvl="3" w:tplc="540A000F" w:tentative="1">
      <w:start w:val="1"/>
      <w:numFmt w:val="decimal"/>
      <w:lvlText w:val="%4."/>
      <w:lvlJc w:val="left"/>
      <w:pPr>
        <w:ind w:left="2520" w:hanging="360"/>
      </w:pPr>
    </w:lvl>
    <w:lvl w:ilvl="4" w:tplc="540A0019" w:tentative="1">
      <w:start w:val="1"/>
      <w:numFmt w:val="lowerLetter"/>
      <w:lvlText w:val="%5."/>
      <w:lvlJc w:val="left"/>
      <w:pPr>
        <w:ind w:left="3240" w:hanging="360"/>
      </w:pPr>
    </w:lvl>
    <w:lvl w:ilvl="5" w:tplc="540A001B" w:tentative="1">
      <w:start w:val="1"/>
      <w:numFmt w:val="lowerRoman"/>
      <w:lvlText w:val="%6."/>
      <w:lvlJc w:val="right"/>
      <w:pPr>
        <w:ind w:left="3960" w:hanging="180"/>
      </w:pPr>
    </w:lvl>
    <w:lvl w:ilvl="6" w:tplc="540A000F" w:tentative="1">
      <w:start w:val="1"/>
      <w:numFmt w:val="decimal"/>
      <w:lvlText w:val="%7."/>
      <w:lvlJc w:val="left"/>
      <w:pPr>
        <w:ind w:left="4680" w:hanging="360"/>
      </w:pPr>
    </w:lvl>
    <w:lvl w:ilvl="7" w:tplc="540A0019" w:tentative="1">
      <w:start w:val="1"/>
      <w:numFmt w:val="lowerLetter"/>
      <w:lvlText w:val="%8."/>
      <w:lvlJc w:val="left"/>
      <w:pPr>
        <w:ind w:left="5400" w:hanging="360"/>
      </w:pPr>
    </w:lvl>
    <w:lvl w:ilvl="8" w:tplc="540A001B" w:tentative="1">
      <w:start w:val="1"/>
      <w:numFmt w:val="lowerRoman"/>
      <w:lvlText w:val="%9."/>
      <w:lvlJc w:val="right"/>
      <w:pPr>
        <w:ind w:left="6120" w:hanging="180"/>
      </w:pPr>
    </w:lvl>
  </w:abstractNum>
  <w:abstractNum w:abstractNumId="2" w15:restartNumberingAfterBreak="0">
    <w:nsid w:val="3C262B09"/>
    <w:multiLevelType w:val="hybridMultilevel"/>
    <w:tmpl w:val="695EBA7A"/>
    <w:lvl w:ilvl="0" w:tplc="540A000F">
      <w:start w:val="1"/>
      <w:numFmt w:val="decimal"/>
      <w:lvlText w:val="%1."/>
      <w:lvlJc w:val="left"/>
      <w:pPr>
        <w:ind w:left="720" w:hanging="360"/>
      </w:p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num w:numId="1" w16cid:durableId="640890097">
    <w:abstractNumId w:val="2"/>
  </w:num>
  <w:num w:numId="2" w16cid:durableId="1778789201">
    <w:abstractNumId w:val="0"/>
  </w:num>
  <w:num w:numId="3" w16cid:durableId="3423654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2503"/>
    <w:rsid w:val="0002677A"/>
    <w:rsid w:val="000D1DFE"/>
    <w:rsid w:val="000D68C3"/>
    <w:rsid w:val="000D6F90"/>
    <w:rsid w:val="001C5249"/>
    <w:rsid w:val="00236634"/>
    <w:rsid w:val="00322AEA"/>
    <w:rsid w:val="00453DA9"/>
    <w:rsid w:val="00611062"/>
    <w:rsid w:val="006251BB"/>
    <w:rsid w:val="00642D9A"/>
    <w:rsid w:val="006A0CA1"/>
    <w:rsid w:val="006B747B"/>
    <w:rsid w:val="006C7473"/>
    <w:rsid w:val="00723064"/>
    <w:rsid w:val="0083439D"/>
    <w:rsid w:val="009E1DC5"/>
    <w:rsid w:val="00B9745F"/>
    <w:rsid w:val="00C9401F"/>
    <w:rsid w:val="00D8246D"/>
    <w:rsid w:val="00ED6806"/>
    <w:rsid w:val="00F62503"/>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AFECD"/>
  <w15:docId w15:val="{DEA37FF7-ED4D-4774-9387-D959782737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s-US" w:eastAsia="es-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45ED"/>
    <w:pPr>
      <w:spacing w:after="200" w:line="276" w:lineRule="auto"/>
    </w:pPr>
    <w:rPr>
      <w:sz w:val="22"/>
      <w:szCs w:val="22"/>
      <w:lang w:val="en-GB"/>
    </w:rPr>
  </w:style>
  <w:style w:type="paragraph" w:styleId="Ttulo1">
    <w:name w:val="heading 1"/>
    <w:basedOn w:val="Normal"/>
    <w:next w:val="Normal"/>
    <w:link w:val="Ttulo1Car"/>
    <w:uiPriority w:val="9"/>
    <w:qFormat/>
    <w:rsid w:val="006A30B7"/>
    <w:pPr>
      <w:keepNext/>
      <w:keepLines/>
      <w:spacing w:before="480" w:after="0"/>
      <w:outlineLvl w:val="0"/>
    </w:pPr>
    <w:rPr>
      <w:rFonts w:ascii="Cambria" w:eastAsia="Times New Roman" w:hAnsi="Cambria" w:cs="Times New Roman"/>
      <w:b/>
      <w:bCs/>
      <w:color w:val="365F91"/>
      <w:sz w:val="28"/>
      <w:szCs w:val="28"/>
    </w:rPr>
  </w:style>
  <w:style w:type="paragraph" w:styleId="Ttulo2">
    <w:name w:val="heading 2"/>
    <w:basedOn w:val="Normal"/>
    <w:next w:val="Normal"/>
    <w:link w:val="Ttulo2Car"/>
    <w:uiPriority w:val="9"/>
    <w:unhideWhenUsed/>
    <w:qFormat/>
    <w:rsid w:val="00DB23FF"/>
    <w:pPr>
      <w:keepNext/>
      <w:keepLines/>
      <w:spacing w:before="200" w:after="0"/>
      <w:outlineLvl w:val="1"/>
    </w:pPr>
    <w:rPr>
      <w:rFonts w:ascii="Cambria" w:eastAsia="Times New Roman" w:hAnsi="Cambria" w:cs="Times New Roman"/>
      <w:b/>
      <w:bCs/>
      <w:color w:val="4F81BD"/>
      <w:sz w:val="26"/>
      <w:szCs w:val="26"/>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rPr>
  </w:style>
  <w:style w:type="paragraph" w:styleId="Ttulo6">
    <w:name w:val="heading 6"/>
    <w:basedOn w:val="Normal"/>
    <w:next w:val="Normal"/>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pPr>
      <w:spacing w:after="200" w:line="276" w:lineRule="auto"/>
    </w:pPr>
    <w:rPr>
      <w:sz w:val="22"/>
      <w:szCs w:val="22"/>
      <w:lang w:val="en-GB"/>
    </w:rPr>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Prrafodelista">
    <w:name w:val="List Paragraph"/>
    <w:basedOn w:val="Normal"/>
    <w:uiPriority w:val="34"/>
    <w:qFormat/>
    <w:rsid w:val="005A45ED"/>
    <w:pPr>
      <w:ind w:left="720"/>
      <w:contextualSpacing/>
    </w:pPr>
  </w:style>
  <w:style w:type="character" w:styleId="Hipervnculo">
    <w:name w:val="Hyperlink"/>
    <w:uiPriority w:val="99"/>
    <w:unhideWhenUsed/>
    <w:rsid w:val="00DC288A"/>
    <w:rPr>
      <w:color w:val="0000FF"/>
      <w:u w:val="single"/>
    </w:rPr>
  </w:style>
  <w:style w:type="table" w:styleId="Tablaconcuadrcula">
    <w:name w:val="Table Grid"/>
    <w:basedOn w:val="Tablanormal"/>
    <w:uiPriority w:val="59"/>
    <w:rsid w:val="00163C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link w:val="Ttulo1"/>
    <w:uiPriority w:val="9"/>
    <w:rsid w:val="006A30B7"/>
    <w:rPr>
      <w:rFonts w:ascii="Cambria" w:eastAsia="Times New Roman" w:hAnsi="Cambria" w:cs="Times New Roman"/>
      <w:b/>
      <w:bCs/>
      <w:color w:val="365F91"/>
      <w:sz w:val="28"/>
      <w:szCs w:val="28"/>
    </w:rPr>
  </w:style>
  <w:style w:type="character" w:customStyle="1" w:styleId="Ttulo2Car">
    <w:name w:val="Título 2 Car"/>
    <w:link w:val="Ttulo2"/>
    <w:uiPriority w:val="9"/>
    <w:rsid w:val="00DB23FF"/>
    <w:rPr>
      <w:rFonts w:ascii="Cambria" w:eastAsia="Times New Roman" w:hAnsi="Cambria" w:cs="Times New Roman"/>
      <w:b/>
      <w:bCs/>
      <w:color w:val="4F81BD"/>
      <w:sz w:val="26"/>
      <w:szCs w:val="26"/>
    </w:rPr>
  </w:style>
  <w:style w:type="paragraph" w:styleId="Sinespaciado">
    <w:name w:val="No Spacing"/>
    <w:uiPriority w:val="1"/>
    <w:qFormat/>
    <w:rsid w:val="00DB23FF"/>
    <w:rPr>
      <w:sz w:val="22"/>
      <w:szCs w:val="22"/>
      <w:lang w:val="en-GB"/>
    </w:rPr>
  </w:style>
  <w:style w:type="paragraph" w:styleId="Encabezado">
    <w:name w:val="header"/>
    <w:basedOn w:val="Normal"/>
    <w:link w:val="EncabezadoCar"/>
    <w:uiPriority w:val="99"/>
    <w:unhideWhenUsed/>
    <w:rsid w:val="00255C93"/>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255C93"/>
  </w:style>
  <w:style w:type="paragraph" w:styleId="Piedepgina">
    <w:name w:val="footer"/>
    <w:basedOn w:val="Normal"/>
    <w:link w:val="PiedepginaCar"/>
    <w:uiPriority w:val="99"/>
    <w:unhideWhenUsed/>
    <w:rsid w:val="00255C93"/>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255C93"/>
  </w:style>
  <w:style w:type="paragraph" w:styleId="Textodeglobo">
    <w:name w:val="Balloon Text"/>
    <w:basedOn w:val="Normal"/>
    <w:link w:val="TextodegloboCar"/>
    <w:uiPriority w:val="99"/>
    <w:semiHidden/>
    <w:unhideWhenUsed/>
    <w:rsid w:val="00255C93"/>
    <w:pPr>
      <w:spacing w:after="0" w:line="240" w:lineRule="auto"/>
    </w:pPr>
    <w:rPr>
      <w:rFonts w:ascii="Tahoma" w:hAnsi="Tahoma" w:cs="Tahoma"/>
      <w:sz w:val="16"/>
      <w:szCs w:val="16"/>
    </w:rPr>
  </w:style>
  <w:style w:type="character" w:customStyle="1" w:styleId="TextodegloboCar">
    <w:name w:val="Texto de globo Car"/>
    <w:link w:val="Textodeglobo"/>
    <w:uiPriority w:val="99"/>
    <w:semiHidden/>
    <w:rsid w:val="00255C93"/>
    <w:rPr>
      <w:rFonts w:ascii="Tahoma" w:hAnsi="Tahoma" w:cs="Tahoma"/>
      <w:sz w:val="16"/>
      <w:szCs w:val="16"/>
    </w:rPr>
  </w:style>
  <w:style w:type="character" w:customStyle="1" w:styleId="Mencinsinresolver1">
    <w:name w:val="Mención sin resolver1"/>
    <w:uiPriority w:val="99"/>
    <w:semiHidden/>
    <w:unhideWhenUsed/>
    <w:rsid w:val="001E46A6"/>
    <w:rPr>
      <w:color w:val="808080"/>
      <w:shd w:val="clear" w:color="auto" w:fill="E6E6E6"/>
    </w:rPr>
  </w:style>
  <w:style w:type="character" w:styleId="Hipervnculovisitado">
    <w:name w:val="FollowedHyperlink"/>
    <w:uiPriority w:val="99"/>
    <w:semiHidden/>
    <w:unhideWhenUsed/>
    <w:rsid w:val="00320B60"/>
    <w:rPr>
      <w:color w:val="800080"/>
      <w:u w:val="single"/>
    </w:rPr>
  </w:style>
  <w:style w:type="paragraph" w:styleId="Textonotapie">
    <w:name w:val="footnote text"/>
    <w:basedOn w:val="Normal"/>
    <w:link w:val="TextonotapieCar"/>
    <w:uiPriority w:val="99"/>
    <w:semiHidden/>
    <w:unhideWhenUsed/>
    <w:rsid w:val="00621181"/>
    <w:pPr>
      <w:spacing w:after="0" w:line="240" w:lineRule="auto"/>
    </w:pPr>
    <w:rPr>
      <w:sz w:val="20"/>
      <w:szCs w:val="20"/>
    </w:rPr>
  </w:style>
  <w:style w:type="character" w:customStyle="1" w:styleId="TextonotapieCar">
    <w:name w:val="Texto nota pie Car"/>
    <w:link w:val="Textonotapie"/>
    <w:uiPriority w:val="99"/>
    <w:semiHidden/>
    <w:rsid w:val="00621181"/>
    <w:rPr>
      <w:sz w:val="20"/>
      <w:szCs w:val="20"/>
    </w:rPr>
  </w:style>
  <w:style w:type="character" w:styleId="Refdenotaalpie">
    <w:name w:val="footnote reference"/>
    <w:uiPriority w:val="99"/>
    <w:semiHidden/>
    <w:unhideWhenUsed/>
    <w:rsid w:val="00621181"/>
    <w:rPr>
      <w:vertAlign w:val="superscript"/>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1">
    <w:name w:val="1"/>
    <w:basedOn w:val="Tablanormal"/>
    <w:tblPr>
      <w:tblStyleRowBandSize w:val="1"/>
      <w:tblStyleColBandSize w:val="1"/>
      <w:tblCellMar>
        <w:left w:w="0" w:type="dxa"/>
        <w:right w:w="0" w:type="dxa"/>
      </w:tblCellMar>
    </w:tblPr>
  </w:style>
  <w:style w:type="character" w:styleId="Mencinsinresolver">
    <w:name w:val="Unresolved Mention"/>
    <w:basedOn w:val="Fuentedeprrafopredeter"/>
    <w:uiPriority w:val="99"/>
    <w:semiHidden/>
    <w:unhideWhenUsed/>
    <w:rsid w:val="000D68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74761925@epg.unap.edu.pe" TargetMode="External"/><Relationship Id="rId13" Type="http://schemas.openxmlformats.org/officeDocument/2006/relationships/hyperlink" Target="https://imjeta.org/index.php/IMJETA/libraryFiles/downloadPublic/1"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ibraryguides.vu.edu.au/apa-referencing/7GettingStarted"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pastyle.apa.org/style-grammar-guidelines/citations/basic-principles/author-date"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mailto:mibarra@unam" TargetMode="External"/><Relationship Id="rId14" Type="http://schemas.openxmlformats.org/officeDocument/2006/relationships/header" Target="header1.xml"/><Relationship Id="rId19" Type="http://schemas.openxmlformats.org/officeDocument/2006/relationships/image" Target="media/image2.png"/><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hyperlink" Target="https://imjeta.org/index.php/imjeta"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QfFIuqKTJs8j1cX+CzBabmmWDzA==">CgMxLjAyCGguZ2pkZ3hzMgloLjMwajB6bGwyCWguMWZvYjl0ZTIJaC4zem55c2g3MgloLjJldDkycDA4AHIhMUJQQ3BaUldmdkd3c2NOU01MMjljZGZkei1UWlBtNVJP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Pages>
  <Words>1445</Words>
  <Characters>7949</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Hewlett-Packard</Company>
  <LinksUpToDate>false</LinksUpToDate>
  <CharactersWithSpaces>9376</CharactersWithSpaces>
  <SharedDoc>false</SharedDoc>
  <HLinks>
    <vt:vector size="36" baseType="variant">
      <vt:variant>
        <vt:i4>458762</vt:i4>
      </vt:variant>
      <vt:variant>
        <vt:i4>12</vt:i4>
      </vt:variant>
      <vt:variant>
        <vt:i4>0</vt:i4>
      </vt:variant>
      <vt:variant>
        <vt:i4>5</vt:i4>
      </vt:variant>
      <vt:variant>
        <vt:lpwstr>https://imjeta.org/index.php/IMJETA/libraryFiles/downloadPublic/1</vt:lpwstr>
      </vt:variant>
      <vt:variant>
        <vt:lpwstr/>
      </vt:variant>
      <vt:variant>
        <vt:i4>7471227</vt:i4>
      </vt:variant>
      <vt:variant>
        <vt:i4>9</vt:i4>
      </vt:variant>
      <vt:variant>
        <vt:i4>0</vt:i4>
      </vt:variant>
      <vt:variant>
        <vt:i4>5</vt:i4>
      </vt:variant>
      <vt:variant>
        <vt:lpwstr>https://libraryguides.vu.edu.au/apa-referencing/7GettingStarted</vt:lpwstr>
      </vt:variant>
      <vt:variant>
        <vt:lpwstr/>
      </vt:variant>
      <vt:variant>
        <vt:i4>262209</vt:i4>
      </vt:variant>
      <vt:variant>
        <vt:i4>6</vt:i4>
      </vt:variant>
      <vt:variant>
        <vt:i4>0</vt:i4>
      </vt:variant>
      <vt:variant>
        <vt:i4>5</vt:i4>
      </vt:variant>
      <vt:variant>
        <vt:lpwstr>https://apastyle.apa.org/style-grammar-guidelines/citations/basic-principles/author-date</vt:lpwstr>
      </vt:variant>
      <vt:variant>
        <vt:lpwstr/>
      </vt:variant>
      <vt:variant>
        <vt:i4>3080220</vt:i4>
      </vt:variant>
      <vt:variant>
        <vt:i4>3</vt:i4>
      </vt:variant>
      <vt:variant>
        <vt:i4>0</vt:i4>
      </vt:variant>
      <vt:variant>
        <vt:i4>5</vt:i4>
      </vt:variant>
      <vt:variant>
        <vt:lpwstr>mailto:lncs@springer.com</vt:lpwstr>
      </vt:variant>
      <vt:variant>
        <vt:lpwstr/>
      </vt:variant>
      <vt:variant>
        <vt:i4>6029420</vt:i4>
      </vt:variant>
      <vt:variant>
        <vt:i4>0</vt:i4>
      </vt:variant>
      <vt:variant>
        <vt:i4>0</vt:i4>
      </vt:variant>
      <vt:variant>
        <vt:i4>5</vt:i4>
      </vt:variant>
      <vt:variant>
        <vt:lpwstr>mailto:firstauthor@princenton.edu</vt:lpwstr>
      </vt:variant>
      <vt:variant>
        <vt:lpwstr/>
      </vt:variant>
      <vt:variant>
        <vt:i4>7471150</vt:i4>
      </vt:variant>
      <vt:variant>
        <vt:i4>3</vt:i4>
      </vt:variant>
      <vt:variant>
        <vt:i4>0</vt:i4>
      </vt:variant>
      <vt:variant>
        <vt:i4>5</vt:i4>
      </vt:variant>
      <vt:variant>
        <vt:lpwstr>https://imjeta.org/index.php/imjeta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IMJETA.ORG</dc:creator>
  <cp:keywords/>
  <dc:description/>
  <cp:lastModifiedBy>Rod183@hotmail.com</cp:lastModifiedBy>
  <cp:revision>5</cp:revision>
  <dcterms:created xsi:type="dcterms:W3CDTF">2026-08-22T20:06:00Z</dcterms:created>
  <dcterms:modified xsi:type="dcterms:W3CDTF">2026-09-17T06:06:00Z</dcterms:modified>
</cp:coreProperties>
</file>