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ataque para las aplicaciones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prueba en contenedores, utilizando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xml:space="preserve">) y PostgreSQL/PostGIS. El estudio demuestra cómo los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el 100% de los vectores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latencia de 2.63 ms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su extensión espacial PostGIS constituyen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t xml:space="preserve">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la manipulación de operadores geométricos de PostGIS —como </w:t>
      </w:r>
      <w:proofErr w:type="spellStart"/>
      <w:r>
        <w:rPr>
          <w:rFonts w:ascii="Book Antiqua" w:hAnsi="Book Antiqua"/>
          <w:color w:val="000000"/>
        </w:rPr>
        <w:t>ST_DWithin</w:t>
      </w:r>
      <w:proofErr w:type="spellEnd"/>
      <w:r>
        <w:rPr>
          <w:rFonts w:ascii="Book Antiqua" w:hAnsi="Book Antiqua"/>
          <w:color w:val="000000"/>
        </w:rPr>
        <w:t xml:space="preserve">, </w:t>
      </w:r>
      <w:proofErr w:type="spellStart"/>
      <w:r>
        <w:rPr>
          <w:rFonts w:ascii="Book Antiqua" w:hAnsi="Book Antiqua"/>
          <w:color w:val="000000"/>
        </w:rPr>
        <w:t>ST_Intersects</w:t>
      </w:r>
      <w:proofErr w:type="spellEnd"/>
      <w:r>
        <w:rPr>
          <w:rFonts w:ascii="Book Antiqua" w:hAnsi="Book Antiqua"/>
          <w:color w:val="000000"/>
        </w:rPr>
        <w:t xml:space="preserve"> o </w:t>
      </w:r>
      <w:proofErr w:type="spellStart"/>
      <w:r>
        <w:rPr>
          <w:rFonts w:ascii="Book Antiqua" w:hAnsi="Book Antiqua"/>
          <w:color w:val="000000"/>
        </w:rPr>
        <w:t>ST_Buffer</w:t>
      </w:r>
      <w:proofErr w:type="spellEnd"/>
      <w:r>
        <w:rPr>
          <w:rFonts w:ascii="Book Antiqua" w:hAnsi="Book Antiqua"/>
          <w:color w:val="000000"/>
        </w:rPr>
        <w:t xml:space="preserve">— </w:t>
      </w:r>
      <w:proofErr w:type="spellStart"/>
      <w:r>
        <w:rPr>
          <w:rFonts w:ascii="Book Antiqua" w:hAnsi="Book Antiqua"/>
          <w:color w:val="000000"/>
        </w:rPr>
        <w:t>presenta</w:t>
      </w:r>
      <w:proofErr w:type="spellEnd"/>
      <w:r>
        <w:rPr>
          <w:rFonts w:ascii="Book Antiqua" w:hAnsi="Book Antiqua"/>
          <w:color w:val="000000"/>
        </w:rPr>
        <w:t xml:space="preserve"> </w:t>
      </w:r>
      <w:proofErr w:type="spellStart"/>
      <w:r w:rsidR="00D115E6">
        <w:rPr>
          <w:rFonts w:ascii="Book Antiqua" w:hAnsi="Book Antiqua"/>
          <w:color w:val="000000"/>
        </w:rPr>
        <w:t>características</w:t>
      </w:r>
      <w:proofErr w:type="spellEnd"/>
      <w:r w:rsidR="00D115E6">
        <w:rPr>
          <w:rFonts w:ascii="Book Antiqua" w:hAnsi="Book Antiqua"/>
          <w:color w:val="000000"/>
        </w:rPr>
        <w:t xml:space="preserve"> poco </w:t>
      </w:r>
      <w:proofErr w:type="spellStart"/>
      <w:r w:rsidR="00D115E6">
        <w:rPr>
          <w:rFonts w:ascii="Book Antiqua" w:hAnsi="Book Antiqua"/>
          <w:color w:val="000000"/>
        </w:rPr>
        <w:t>estudiadas</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entrada no saneada no solo permite eludir filtros relacionales o exfiltrar datos, sino también desencadenar estados de </w:t>
      </w:r>
      <w:proofErr w:type="spellStart"/>
      <w:r>
        <w:rPr>
          <w:rFonts w:ascii="Book Antiqua" w:hAnsi="Book Antiqua"/>
          <w:color w:val="000000"/>
        </w:rPr>
        <w:t>denegación</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Pr>
          <w:rFonts w:ascii="Book Antiqua" w:hAnsi="Book Antiqua"/>
          <w:color w:val="000000"/>
        </w:rPr>
        <w:t>mediante</w:t>
      </w:r>
      <w:proofErr w:type="spellEnd"/>
      <w:r>
        <w:rPr>
          <w:rFonts w:ascii="Book Antiqua" w:hAnsi="Book Antiqua"/>
          <w:color w:val="000000"/>
        </w:rPr>
        <w:t xml:space="preserve"> </w:t>
      </w:r>
      <w:proofErr w:type="spellStart"/>
      <w:r>
        <w:rPr>
          <w:rFonts w:ascii="Book Antiqua" w:hAnsi="Book Antiqua"/>
          <w:color w:val="000000"/>
        </w:rPr>
        <w:t>cálculos</w:t>
      </w:r>
      <w:proofErr w:type="spellEnd"/>
      <w:r>
        <w:rPr>
          <w:rFonts w:ascii="Book Antiqua" w:hAnsi="Book Antiqua"/>
          <w:color w:val="000000"/>
        </w:rPr>
        <w:t xml:space="preserve"> </w:t>
      </w:r>
      <w:proofErr w:type="spellStart"/>
      <w:r>
        <w:rPr>
          <w:rFonts w:ascii="Book Antiqua" w:hAnsi="Book Antiqua"/>
          <w:color w:val="000000"/>
        </w:rPr>
        <w:t>topológicos</w:t>
      </w:r>
      <w:proofErr w:type="spellEnd"/>
      <w:r>
        <w:rPr>
          <w:rFonts w:ascii="Book Antiqua" w:hAnsi="Book Antiqua"/>
          <w:color w:val="000000"/>
        </w:rPr>
        <w:t xml:space="preserve"> </w:t>
      </w:r>
      <w:r w:rsidR="00D115E6">
        <w:rPr>
          <w:rFonts w:ascii="Book Antiqua" w:hAnsi="Book Antiqua"/>
          <w:color w:val="000000"/>
        </w:rPr>
        <w:t>con</w:t>
      </w:r>
      <w:r>
        <w:rPr>
          <w:rFonts w:ascii="Book Antiqua" w:hAnsi="Book Antiqua"/>
          <w:color w:val="000000"/>
        </w:rPr>
        <w:t xml:space="preserve"> </w:t>
      </w:r>
      <w:proofErr w:type="spellStart"/>
      <w:r>
        <w:rPr>
          <w:rFonts w:ascii="Book Antiqua" w:hAnsi="Book Antiqua"/>
          <w:color w:val="000000"/>
        </w:rPr>
        <w:t>alta</w:t>
      </w:r>
      <w:proofErr w:type="spellEnd"/>
      <w:r>
        <w:rPr>
          <w:rFonts w:ascii="Book Antiqua" w:hAnsi="Book Antiqua"/>
          <w:color w:val="000000"/>
        </w:rPr>
        <w:t xml:space="preserve">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algorítmica</w:t>
      </w:r>
      <w:proofErr w:type="spellEnd"/>
      <w:r>
        <w:rPr>
          <w:rFonts w:ascii="Book Antiqua" w:hAnsi="Book Antiqua"/>
          <w:color w:val="000000"/>
        </w:rPr>
        <w:t>.</w:t>
      </w:r>
    </w:p>
    <w:p w14:paraId="529D8450" w14:textId="0D9565A7" w:rsidR="006C4700" w:rsidRDefault="00000000">
      <w:pPr>
        <w:spacing w:after="80" w:line="240" w:lineRule="auto"/>
        <w:ind w:firstLine="432"/>
      </w:pPr>
      <w:r>
        <w:rPr>
          <w:rFonts w:ascii="Book Antiqua" w:hAnsi="Book Antiqua"/>
          <w:color w:val="000000"/>
        </w:rPr>
        <w:t xml:space="preserve">Este artículo presenta una evaluación experimental de vulnerabilidades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diferencia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referencia espacial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estas aproximaciones asumen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políticas espaciales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t xml:space="preserve">El </w:t>
      </w:r>
      <w:proofErr w:type="spellStart"/>
      <w:r w:rsidRPr="00F31BDF">
        <w:rPr>
          <w:rFonts w:ascii="Book Antiqua" w:hAnsi="Book Antiqua"/>
          <w:color w:val="000000"/>
        </w:rPr>
        <w:t>estándar</w:t>
      </w:r>
      <w:proofErr w:type="spellEnd"/>
      <w:r w:rsidRPr="00F31BDF">
        <w:rPr>
          <w:rFonts w:ascii="Book Antiqua" w:hAnsi="Book Antiqua"/>
          <w:color w:val="000000"/>
        </w:rPr>
        <w:t xml:space="preserve"> ISO 19152:2012, </w:t>
      </w:r>
      <w:proofErr w:type="spellStart"/>
      <w:r w:rsidRPr="00F31BDF">
        <w:rPr>
          <w:rFonts w:ascii="Book Antiqua" w:hAnsi="Book Antiqua"/>
          <w:color w:val="000000"/>
        </w:rPr>
        <w:t>también</w:t>
      </w:r>
      <w:proofErr w:type="spellEnd"/>
      <w:r w:rsidRPr="00F31BDF">
        <w:rPr>
          <w:rFonts w:ascii="Book Antiqua" w:hAnsi="Book Antiqua"/>
          <w:color w:val="000000"/>
        </w:rPr>
        <w:t xml:space="preserve"> </w:t>
      </w:r>
      <w:proofErr w:type="spellStart"/>
      <w:r w:rsidRPr="00F31BDF">
        <w:rPr>
          <w:rFonts w:ascii="Book Antiqua" w:hAnsi="Book Antiqua"/>
          <w:color w:val="000000"/>
        </w:rPr>
        <w:t>denominado</w:t>
      </w:r>
      <w:proofErr w:type="spellEnd"/>
      <w:r w:rsidRPr="00F31BDF">
        <w:rPr>
          <w:rFonts w:ascii="Book Antiqua" w:hAnsi="Book Antiqua"/>
          <w:color w:val="000000"/>
        </w:rPr>
        <w:t xml:space="preserve"> Land Administration Domain Model (LADM), es </w:t>
      </w:r>
      <w:proofErr w:type="spellStart"/>
      <w:r w:rsidRPr="00F31BDF">
        <w:rPr>
          <w:rFonts w:ascii="Book Antiqua" w:hAnsi="Book Antiqua"/>
          <w:color w:val="000000"/>
        </w:rPr>
        <w:t>el</w:t>
      </w:r>
      <w:proofErr w:type="spellEnd"/>
      <w:r w:rsidRPr="00F31BDF">
        <w:rPr>
          <w:rFonts w:ascii="Book Antiqua" w:hAnsi="Book Antiqua"/>
          <w:color w:val="000000"/>
        </w:rPr>
        <w:t xml:space="preserve"> que </w:t>
      </w:r>
      <w:proofErr w:type="spellStart"/>
      <w:r w:rsidRPr="00F31BDF">
        <w:rPr>
          <w:rFonts w:ascii="Book Antiqua" w:hAnsi="Book Antiqua"/>
          <w:color w:val="000000"/>
        </w:rPr>
        <w:t>regula</w:t>
      </w:r>
      <w:proofErr w:type="spellEnd"/>
      <w:r w:rsidRPr="00F31BDF">
        <w:rPr>
          <w:rFonts w:ascii="Book Antiqua" w:hAnsi="Book Antiqua"/>
          <w:color w:val="000000"/>
        </w:rPr>
        <w:t xml:space="preserve"> a </w:t>
      </w:r>
      <w:proofErr w:type="spellStart"/>
      <w:r w:rsidRPr="00F31BDF">
        <w:rPr>
          <w:rFonts w:ascii="Book Antiqua" w:hAnsi="Book Antiqua"/>
          <w:color w:val="000000"/>
        </w:rPr>
        <w:t>nivel</w:t>
      </w:r>
      <w:proofErr w:type="spellEnd"/>
      <w:r w:rsidRPr="00F31BDF">
        <w:rPr>
          <w:rFonts w:ascii="Book Antiqua" w:hAnsi="Book Antiqua"/>
          <w:color w:val="000000"/>
        </w:rPr>
        <w:t xml:space="preserve"> global la </w:t>
      </w:r>
      <w:proofErr w:type="spellStart"/>
      <w:r w:rsidRPr="00F31BDF">
        <w:rPr>
          <w:rFonts w:ascii="Book Antiqua" w:hAnsi="Book Antiqua"/>
          <w:color w:val="000000"/>
        </w:rPr>
        <w:t>modelación</w:t>
      </w:r>
      <w:proofErr w:type="spellEnd"/>
      <w:r w:rsidRPr="00F31BDF">
        <w:rPr>
          <w:rFonts w:ascii="Book Antiqua" w:hAnsi="Book Antiqua"/>
          <w:color w:val="000000"/>
        </w:rPr>
        <w:t xml:space="preserve"> </w:t>
      </w:r>
      <w:proofErr w:type="spellStart"/>
      <w:r w:rsidRPr="00F31BDF">
        <w:rPr>
          <w:rFonts w:ascii="Book Antiqua" w:hAnsi="Book Antiqua"/>
          <w:color w:val="000000"/>
        </w:rPr>
        <w:t>técnica</w:t>
      </w:r>
      <w:proofErr w:type="spellEnd"/>
      <w:r w:rsidRPr="00F31BDF">
        <w:rPr>
          <w:rFonts w:ascii="Book Antiqua" w:hAnsi="Book Antiqua"/>
          <w:color w:val="000000"/>
        </w:rPr>
        <w:t xml:space="preserve"> de </w:t>
      </w:r>
      <w:proofErr w:type="spellStart"/>
      <w:r w:rsidRPr="00F31BDF">
        <w:rPr>
          <w:rFonts w:ascii="Book Antiqua" w:hAnsi="Book Antiqua"/>
          <w:color w:val="000000"/>
        </w:rPr>
        <w:t>los</w:t>
      </w:r>
      <w:proofErr w:type="spellEnd"/>
      <w:r w:rsidRPr="00F31BDF">
        <w:rPr>
          <w:rFonts w:ascii="Book Antiqua" w:hAnsi="Book Antiqua"/>
          <w:color w:val="000000"/>
        </w:rPr>
        <w:t xml:space="preserve"> </w:t>
      </w:r>
      <w:proofErr w:type="spellStart"/>
      <w:r w:rsidRPr="00F31BDF">
        <w:rPr>
          <w:rFonts w:ascii="Book Antiqua" w:hAnsi="Book Antiqua"/>
          <w:color w:val="000000"/>
        </w:rPr>
        <w:t>sistemas</w:t>
      </w:r>
      <w:proofErr w:type="spellEnd"/>
      <w:r w:rsidRPr="00F31BDF">
        <w:rPr>
          <w:rFonts w:ascii="Book Antiqua" w:hAnsi="Book Antiqua"/>
          <w:color w:val="000000"/>
        </w:rPr>
        <w:t xml:space="preserve"> de </w:t>
      </w:r>
      <w:proofErr w:type="spellStart"/>
      <w:r w:rsidRPr="00F31BDF">
        <w:rPr>
          <w:rFonts w:ascii="Book Antiqua" w:hAnsi="Book Antiqua"/>
          <w:color w:val="000000"/>
        </w:rPr>
        <w:t>información</w:t>
      </w:r>
      <w:proofErr w:type="spellEnd"/>
      <w:r w:rsidRPr="00F31BDF">
        <w:rPr>
          <w:rFonts w:ascii="Book Antiqua" w:hAnsi="Book Antiqua"/>
          <w:color w:val="000000"/>
        </w:rPr>
        <w:t xml:space="preserve"> </w:t>
      </w:r>
      <w:proofErr w:type="spellStart"/>
      <w:r w:rsidRPr="00F31BDF">
        <w:rPr>
          <w:rFonts w:ascii="Book Antiqua" w:hAnsi="Book Antiqua"/>
          <w:color w:val="000000"/>
        </w:rPr>
        <w:t>catastral</w:t>
      </w:r>
      <w:proofErr w:type="spellEnd"/>
      <w:r w:rsidRP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Autores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como</w:t>
      </w:r>
      <w:proofErr w:type="spellEnd"/>
      <w:r>
        <w:rPr>
          <w:rFonts w:ascii="Book Antiqua" w:hAnsi="Book Antiqua"/>
          <w:color w:val="000000"/>
        </w:rPr>
        <w:t xml:space="preserve"> </w:t>
      </w:r>
      <w:proofErr w:type="spellStart"/>
      <w:r>
        <w:rPr>
          <w:rFonts w:ascii="Book Antiqua" w:hAnsi="Book Antiqua"/>
          <w:color w:val="000000"/>
        </w:rPr>
        <w:t>Lemmen</w:t>
      </w:r>
      <w:proofErr w:type="spellEnd"/>
      <w:r>
        <w:rPr>
          <w:rFonts w:ascii="Book Antiqua" w:hAnsi="Book Antiqua"/>
          <w:color w:val="000000"/>
        </w:rPr>
        <w:t xml:space="preserve"> et al. (2015) y van Oosterom et al. (2006) formalizaron las </w:t>
      </w:r>
      <w:proofErr w:type="spellStart"/>
      <w:r>
        <w:rPr>
          <w:rFonts w:ascii="Book Antiqua" w:hAnsi="Book Antiqua"/>
          <w:color w:val="000000"/>
        </w:rPr>
        <w:t>clases</w:t>
      </w:r>
      <w:proofErr w:type="spellEnd"/>
      <w:r>
        <w:rPr>
          <w:rFonts w:ascii="Book Antiqua" w:hAnsi="Book Antiqua"/>
          <w:color w:val="000000"/>
        </w:rPr>
        <w:t xml:space="preserve"> </w:t>
      </w:r>
      <w:proofErr w:type="spellStart"/>
      <w:r>
        <w:rPr>
          <w:rFonts w:ascii="Book Antiqua" w:hAnsi="Book Antiqua"/>
          <w:color w:val="000000"/>
        </w:rPr>
        <w:t>fundamentales</w:t>
      </w:r>
      <w:proofErr w:type="spellEnd"/>
      <w:r>
        <w:rPr>
          <w:rFonts w:ascii="Book Antiqua" w:hAnsi="Book Antiqua"/>
          <w:color w:val="000000"/>
        </w:rPr>
        <w:t xml:space="preserve"> del </w:t>
      </w:r>
      <w:proofErr w:type="spellStart"/>
      <w:r>
        <w:rPr>
          <w:rFonts w:ascii="Book Antiqua" w:hAnsi="Book Antiqua"/>
          <w:color w:val="000000"/>
        </w:rPr>
        <w:t>catastro</w:t>
      </w:r>
      <w:proofErr w:type="spellEnd"/>
      <w:r>
        <w:rPr>
          <w:rFonts w:ascii="Book Antiqua" w:hAnsi="Book Antiqua"/>
          <w:color w:val="000000"/>
        </w:rPr>
        <w:t xml:space="preserve">, </w:t>
      </w:r>
      <w:proofErr w:type="spellStart"/>
      <w:r>
        <w:rPr>
          <w:rFonts w:ascii="Book Antiqua" w:hAnsi="Book Antiqua"/>
          <w:color w:val="000000"/>
        </w:rPr>
        <w:t>destacando</w:t>
      </w:r>
      <w:proofErr w:type="spellEnd"/>
      <w:r>
        <w:rPr>
          <w:rFonts w:ascii="Book Antiqua" w:hAnsi="Book Antiqua"/>
          <w:color w:val="000000"/>
        </w:rPr>
        <w:t xml:space="preserve"> </w:t>
      </w:r>
      <w:proofErr w:type="spellStart"/>
      <w:r>
        <w:rPr>
          <w:rFonts w:ascii="Book Antiqua" w:hAnsi="Book Antiqua"/>
          <w:color w:val="000000"/>
        </w:rPr>
        <w:t>LA_SpatialUnit</w:t>
      </w:r>
      <w:proofErr w:type="spellEnd"/>
      <w:r>
        <w:rPr>
          <w:rFonts w:ascii="Book Antiqua" w:hAnsi="Book Antiqua"/>
          <w:color w:val="000000"/>
        </w:rPr>
        <w:t xml:space="preserve"> (</w:t>
      </w:r>
      <w:proofErr w:type="spellStart"/>
      <w:r>
        <w:rPr>
          <w:rFonts w:ascii="Book Antiqua" w:hAnsi="Book Antiqua"/>
          <w:color w:val="000000"/>
        </w:rPr>
        <w:t>parcelas</w:t>
      </w:r>
      <w:proofErr w:type="spellEnd"/>
      <w:r>
        <w:rPr>
          <w:rFonts w:ascii="Book Antiqua" w:hAnsi="Book Antiqua"/>
          <w:color w:val="000000"/>
        </w:rPr>
        <w:t xml:space="preserve"> y </w:t>
      </w:r>
      <w:proofErr w:type="spellStart"/>
      <w:r>
        <w:rPr>
          <w:rFonts w:ascii="Book Antiqua" w:hAnsi="Book Antiqua"/>
          <w:color w:val="000000"/>
        </w:rPr>
        <w:t>lotes</w:t>
      </w:r>
      <w:proofErr w:type="spellEnd"/>
      <w:r>
        <w:rPr>
          <w:rFonts w:ascii="Book Antiqua" w:hAnsi="Book Antiqua"/>
          <w:color w:val="000000"/>
        </w:rPr>
        <w:t xml:space="preserve">) y </w:t>
      </w:r>
      <w:proofErr w:type="spellStart"/>
      <w:r>
        <w:rPr>
          <w:rFonts w:ascii="Book Antiqua" w:hAnsi="Book Antiqua"/>
          <w:color w:val="000000"/>
        </w:rPr>
        <w:t>LA_Party</w:t>
      </w:r>
      <w:proofErr w:type="spellEnd"/>
      <w:r>
        <w:rPr>
          <w:rFonts w:ascii="Book Antiqua" w:hAnsi="Book Antiqua"/>
          <w:color w:val="000000"/>
        </w:rPr>
        <w:t xml:space="preserve"> (</w:t>
      </w:r>
      <w:proofErr w:type="spellStart"/>
      <w:r>
        <w:rPr>
          <w:rFonts w:ascii="Book Antiqua" w:hAnsi="Book Antiqua"/>
          <w:color w:val="000000"/>
        </w:rPr>
        <w:t>titulares</w:t>
      </w:r>
      <w:proofErr w:type="spellEnd"/>
      <w:r>
        <w:rPr>
          <w:rFonts w:ascii="Book Antiqua" w:hAnsi="Book Antiqua"/>
          <w:color w:val="000000"/>
        </w:rPr>
        <w:t xml:space="preserve"> prediales). Si bien el estándar prescribe la semántica e interoperabilidad de la información territorial y registral, no define salvaguardas arquitectónicas a nivel de consulta contra </w:t>
      </w:r>
      <w:proofErr w:type="spellStart"/>
      <w:r>
        <w:rPr>
          <w:rFonts w:ascii="Book Antiqua" w:hAnsi="Book Antiqua"/>
          <w:color w:val="000000"/>
        </w:rPr>
        <w:t>ataques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expuesta</w:t>
      </w:r>
      <w:proofErr w:type="spellEnd"/>
      <w:r>
        <w:rPr>
          <w:rFonts w:ascii="Book Antiqua" w:hAnsi="Book Antiqua"/>
          <w:color w:val="000000"/>
        </w:rPr>
        <w:t xml:space="preserve"> la </w:t>
      </w:r>
      <w:proofErr w:type="spellStart"/>
      <w:r>
        <w:rPr>
          <w:rFonts w:ascii="Book Antiqua" w:hAnsi="Book Antiqua"/>
          <w:color w:val="000000"/>
        </w:rPr>
        <w:t>integridad</w:t>
      </w:r>
      <w:proofErr w:type="spellEnd"/>
      <w:r>
        <w:rPr>
          <w:rFonts w:ascii="Book Antiqua" w:hAnsi="Book Antiqua"/>
          <w:color w:val="000000"/>
        </w:rPr>
        <w:t xml:space="preserve">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diseñadas pueden forzar a los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los algoritmos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Pese a estos antecedentes,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latencia ni ha formalizado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inyecciones SQL y medir el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mitigación multicapa.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obtuvo de fuentes abiertas y los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pruebas de estrés se ejecutaron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t xml:space="preserve">Se estructuraron seis vectores de explotación orientados a las tres dimensiones de la </w:t>
      </w:r>
      <w:proofErr w:type="spellStart"/>
      <w:r>
        <w:rPr>
          <w:rFonts w:ascii="Book Antiqua" w:hAnsi="Book Antiqua"/>
          <w:color w:val="000000"/>
        </w:rPr>
        <w:t>tríada</w:t>
      </w:r>
      <w:proofErr w:type="spellEnd"/>
      <w:r>
        <w:rPr>
          <w:rFonts w:ascii="Book Antiqua" w:hAnsi="Book Antiqua"/>
          <w:color w:val="000000"/>
        </w:rPr>
        <w:t xml:space="preserve"> CIA (</w:t>
      </w:r>
      <w:proofErr w:type="spellStart"/>
      <w:r>
        <w:rPr>
          <w:rFonts w:ascii="Book Antiqua" w:hAnsi="Book Antiqua"/>
          <w:color w:val="000000"/>
        </w:rPr>
        <w:t>Confidencialidad</w:t>
      </w:r>
      <w:proofErr w:type="spellEnd"/>
      <w:r>
        <w:rPr>
          <w:rFonts w:ascii="Book Antiqua" w:hAnsi="Book Antiqua"/>
          <w:color w:val="000000"/>
        </w:rPr>
        <w:t xml:space="preserve">, </w:t>
      </w:r>
      <w:proofErr w:type="spellStart"/>
      <w:r>
        <w:rPr>
          <w:rFonts w:ascii="Book Antiqua" w:hAnsi="Book Antiqua"/>
          <w:color w:val="000000"/>
        </w:rPr>
        <w:t>Integridad</w:t>
      </w:r>
      <w:proofErr w:type="spellEnd"/>
      <w:r>
        <w:rPr>
          <w:rFonts w:ascii="Book Antiqua" w:hAnsi="Book Antiqua"/>
          <w:color w:val="000000"/>
        </w:rPr>
        <w:t xml:space="preserve"> y </w:t>
      </w:r>
      <w:proofErr w:type="spellStart"/>
      <w:r>
        <w:rPr>
          <w:rFonts w:ascii="Book Antiqua" w:hAnsi="Book Antiqua"/>
          <w:color w:val="000000"/>
        </w:rPr>
        <w:t>Disponibilidad</w:t>
      </w:r>
      <w:proofErr w:type="spellEnd"/>
      <w:r>
        <w:rPr>
          <w:rFonts w:ascii="Book Antiqua" w:hAnsi="Book Antiqua"/>
          <w:color w:val="000000"/>
        </w:rPr>
        <w:t xml:space="preserve">). La evaluación de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Pr>
          <w:rFonts w:ascii="Book Antiqua" w:hAnsi="Book Antiqua"/>
          <w:color w:val="000000"/>
        </w:rPr>
        <w:t>contempló</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300 </w:t>
      </w:r>
      <w:proofErr w:type="spellStart"/>
      <w:r>
        <w:rPr>
          <w:rFonts w:ascii="Book Antiqua" w:hAnsi="Book Antiqua"/>
          <w:color w:val="000000"/>
        </w:rPr>
        <w:t>peticiones</w:t>
      </w:r>
      <w:proofErr w:type="spellEnd"/>
      <w:r>
        <w:rPr>
          <w:rFonts w:ascii="Book Antiqua" w:hAnsi="Book Antiqua"/>
          <w:color w:val="000000"/>
        </w:rPr>
        <w:t xml:space="preserve">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pasó de retornar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en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r>
        <w:rPr>
          <w:rFonts w:ascii="Book Antiqua" w:hAnsi="Book Antiqua"/>
          <w:color w:val="000000"/>
        </w:rPr>
        <w:t xml:space="preserve">Aprovechando la complejidad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el endpoint POST /api/v1/vulnerable/ficha/modificar,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concurrentes (concurrencia=10) sobre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estrés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escalonada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propuesta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sobrecosto medio resulta </w:t>
      </w:r>
      <w:proofErr w:type="spellStart"/>
      <w:r>
        <w:rPr>
          <w:rFonts w:ascii="Book Antiqua" w:hAnsi="Book Antiqua"/>
        </w:rPr>
        <w:t>asumible</w:t>
      </w:r>
      <w:proofErr w:type="spellEnd"/>
      <w:r>
        <w:rPr>
          <w:rFonts w:ascii="Book Antiqua" w:hAnsi="Book Antiqua"/>
        </w:rPr>
        <w:t xml:space="preserve"> frente a las garantías de protección obtenidas: neutraliza la </w:t>
      </w:r>
      <w:proofErr w:type="spellStart"/>
      <w:r w:rsidR="00870A71">
        <w:rPr>
          <w:rFonts w:ascii="Book Antiqua" w:hAnsi="Book Antiqua"/>
        </w:rPr>
        <w:t>filtración</w:t>
      </w:r>
      <w:proofErr w:type="spellEnd"/>
      <w:r>
        <w:rPr>
          <w:rFonts w:ascii="Book Antiqua" w:hAnsi="Book Antiqua"/>
        </w:rPr>
        <w:t xml:space="preserve"> masiva de predios, los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
        <w:rPr>
          <w:rFonts w:ascii="Book Antiqua" w:hAnsi="Book Antiqua"/>
          <w:b/>
          <w:i w:val="0"/>
          <w:sz w:val="22"/>
        </w:rPr>
        <w:t xml:space="preserve">Independencia de plataforma y validez del benchmarking. </w:t>
      </w:r>
      <w:r>
        <w:rPr>
          <w:rFonts w:ascii="Book Antiqua" w:hAnsi="Book Antiqua"/>
          <w:b w:val="0"/>
          <w:i w:val="0"/>
          <w:sz w:val="22"/>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77777777" w:rsidR="006C4700" w:rsidRDefault="00000000">
      <w:pPr>
        <w:spacing w:after="80" w:line="240" w:lineRule="auto"/>
        <w:ind w:firstLine="432"/>
      </w:pPr>
      <w:r/>
      <w:r>
        <w:rPr>
          <w:rFonts w:ascii="Book Antiqua" w:hAnsi="Book Antiqua"/>
          <w:b/>
          <w:i w:val="0"/>
          <w:sz w:val="22"/>
        </w:rPr>
        <w:t xml:space="preserve">Impacto sistémico en la integridad de trámites y datos catastrales. </w:t>
      </w:r>
      <w:r>
        <w:rPr>
          <w:rFonts w:ascii="Book Antiqua" w:hAnsi="Book Antiqua"/>
          <w:b w:val="0"/>
          <w:i w:val="0"/>
          <w:sz w:val="22"/>
        </w:rPr>
        <w:t>La viabilidad empírica del fraude en autovalúos y titularidad (Simulación 4) demuestra que una inyección en la capa de persistencia trasciende la modificación de una tabla aislada y compromete la fe pública del gobierno electrónico local.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escenario ratifica que el tipado estricto en el ORM constituye una salvaguarda indispensable para preservar la legitimidad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77777777" w:rsidR="006C4700" w:rsidRDefault="00000000">
      <w:pPr>
        <w:spacing w:after="80" w:line="240" w:lineRule="auto"/>
      </w:pPr>
      <w:r>
        <w:rPr>
          <w:rFonts w:ascii="Book Antiqua" w:hAnsi="Book Antiqua"/>
          <w:color w:val="000000"/>
        </w:rPr>
        <w:t>Este artículo formalizó y demostró empíricamente la viabilidad de seis vectores de inyección SQL espacial en sistemas de información catastral basados en PostGIS, evidenciando que las funciones topológicas nativas no garantizan aislamiento de datos cuando se construyen mediante concatenación de cadenas. La evaluación experimental sobre 1,500 parcelas catastrales reales (ISO 19152 LADM) comprobó que atacantes no autenticados pueden evadir límites zonales, reconstruir credenciales mediante canales laterales de error geométrico, inducir denegación de servicio espacial por sobrecarga algorítmica cuadrática, alterar fichas prediales tributarias y ejecutar borrados cartográficos masivos. Frente a ello, la adopción de una arquitectura de defensa en profundidad basada en GeoAlchemy2, tipado rígido con Pydantic y validación topológica previa en memoria con Shapely mitigó con éxito el 100% de los escenarios de explotación evaluados. El benchmarking transaccional demostró que esta seguridad robusta introduce un incremento medio de latencia de apenas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lastRenderedPageBreak/>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t>Lemmen, C., van Oosterom, P., &amp; Bennett, R. (2015). The Land Administration Domain Model. Land Use Policy, 49, 535–545. https://doi.org/10.1016/j.landusepol.2015.01.014</w:t>
      </w:r>
    </w:p>
    <w:p w14:paraId="34C518A0" w14:textId="77777777" w:rsidR="006C4700" w:rsidRDefault="00000000">
      <w:pPr>
        <w:spacing w:after="80" w:line="240" w:lineRule="auto"/>
        <w:ind w:left="720" w:hanging="720"/>
      </w:pPr>
      <w:r>
        <w:rPr>
          <w:rFonts w:ascii="Book Antiqua" w:hAnsi="Book Antiqua"/>
          <w:color w:val="000000"/>
        </w:rPr>
        <w:t>National Vulnerability Database. (2023). CVE-2023-25157 Detail: GeoServer SQL Injection Vulnerability. National Institute of Standards and Technology. https://nvd.nist.gov/vuln/detail/CVE-2023-25157</w:t>
      </w:r>
    </w:p>
    <w:p w14:paraId="084E7198" w14:textId="77777777" w:rsidR="006C4700" w:rsidRDefault="00000000">
      <w:pPr>
        <w:spacing w:after="80" w:line="240" w:lineRule="auto"/>
        <w:ind w:left="720" w:hanging="720"/>
      </w:pPr>
      <w:r>
        <w:rPr>
          <w:rFonts w:ascii="Book Antiqua" w:hAnsi="Book Antiqua"/>
          <w:color w:val="000000"/>
        </w:rPr>
        <w:t>Obe, R. O., &amp; Hsu, L. S. (2021). PostGIS in Action (3rd ed.). Manning Publications.</w:t>
      </w:r>
    </w:p>
    <w:p w14:paraId="446881ED" w14:textId="77777777" w:rsidR="006C4700" w:rsidRDefault="00000000">
      <w:pPr>
        <w:spacing w:after="80" w:line="240" w:lineRule="auto"/>
        <w:ind w:left="720" w:hanging="720"/>
      </w:pPr>
      <w:r>
        <w:rPr>
          <w:rFonts w:ascii="Book Antiqua" w:hAnsi="Book Antiqua"/>
          <w:color w:val="000000"/>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083CF" w14:textId="77777777" w:rsidR="002C2CEF" w:rsidRDefault="002C2CEF">
      <w:pPr>
        <w:spacing w:after="0" w:line="240" w:lineRule="auto"/>
      </w:pPr>
      <w:r>
        <w:separator/>
      </w:r>
    </w:p>
  </w:endnote>
  <w:endnote w:type="continuationSeparator" w:id="0">
    <w:p w14:paraId="5D6C90C8" w14:textId="77777777" w:rsidR="002C2CEF" w:rsidRDefault="002C2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4B79E4" w14:textId="77777777" w:rsidR="002C2CEF" w:rsidRDefault="002C2CEF">
      <w:pPr>
        <w:spacing w:after="0" w:line="240" w:lineRule="auto"/>
      </w:pPr>
      <w:r>
        <w:separator/>
      </w:r>
    </w:p>
  </w:footnote>
  <w:footnote w:type="continuationSeparator" w:id="0">
    <w:p w14:paraId="4E4F1A8D" w14:textId="77777777" w:rsidR="002C2CEF" w:rsidRDefault="002C2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83439D"/>
    <w:rsid w:val="00870A71"/>
    <w:rsid w:val="009E1DC5"/>
    <w:rsid w:val="00A06242"/>
    <w:rsid w:val="00B9745F"/>
    <w:rsid w:val="00BE2976"/>
    <w:rsid w:val="00C2198E"/>
    <w:rsid w:val="00C9401F"/>
    <w:rsid w:val="00D115E6"/>
    <w:rsid w:val="00D8246D"/>
    <w:rsid w:val="00DD4B6E"/>
    <w:rsid w:val="00ED6806"/>
    <w:rsid w:val="00F174E0"/>
    <w:rsid w:val="00F31BDF"/>
    <w:rsid w:val="00F625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11</Pages>
  <Words>3849</Words>
  <Characters>21175</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24975</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16</cp:revision>
  <dcterms:created xsi:type="dcterms:W3CDTF">2026-08-22T20:06:00Z</dcterms:created>
  <dcterms:modified xsi:type="dcterms:W3CDTF">2026-09-18T05:48:00Z</dcterms:modified>
</cp:coreProperties>
</file>