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w:t>
      </w:r>
      <w:proofErr w:type="spellStart"/>
      <w:r>
        <w:rPr>
          <w:rFonts w:ascii="Book Antiqua" w:hAnsi="Book Antiqua"/>
          <w:color w:val="000000"/>
          <w:sz w:val="20"/>
        </w:rPr>
        <w:t>ataque</w:t>
      </w:r>
      <w:proofErr w:type="spellEnd"/>
      <w:r>
        <w:rPr>
          <w:rFonts w:ascii="Book Antiqua" w:hAnsi="Book Antiqua"/>
          <w:color w:val="000000"/>
          <w:sz w:val="20"/>
        </w:rPr>
        <w:t xml:space="preserv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w:t>
      </w:r>
      <w:proofErr w:type="spellStart"/>
      <w:r>
        <w:rPr>
          <w:rFonts w:ascii="Book Antiqua" w:hAnsi="Book Antiqua"/>
          <w:color w:val="000000"/>
          <w:sz w:val="20"/>
        </w:rPr>
        <w:t>prueba</w:t>
      </w:r>
      <w:proofErr w:type="spellEnd"/>
      <w:r>
        <w:rPr>
          <w:rFonts w:ascii="Book Antiqua" w:hAnsi="Book Antiqua"/>
          <w:color w:val="000000"/>
          <w:sz w:val="20"/>
        </w:rPr>
        <w:t xml:space="preserve"> </w:t>
      </w:r>
      <w:proofErr w:type="spellStart"/>
      <w:r>
        <w:rPr>
          <w:rFonts w:ascii="Book Antiqua" w:hAnsi="Book Antiqua"/>
          <w:color w:val="000000"/>
          <w:sz w:val="20"/>
        </w:rPr>
        <w:t>en</w:t>
      </w:r>
      <w:proofErr w:type="spellEnd"/>
      <w:r>
        <w:rPr>
          <w:rFonts w:ascii="Book Antiqua" w:hAnsi="Book Antiqua"/>
          <w:color w:val="000000"/>
          <w:sz w:val="20"/>
        </w:rPr>
        <w:t xml:space="preserve"> </w:t>
      </w:r>
      <w:proofErr w:type="spellStart"/>
      <w:r>
        <w:rPr>
          <w:rFonts w:ascii="Book Antiqua" w:hAnsi="Book Antiqua"/>
          <w:color w:val="000000"/>
          <w:sz w:val="20"/>
        </w:rPr>
        <w:t>contenedores</w:t>
      </w:r>
      <w:proofErr w:type="spellEnd"/>
      <w:r>
        <w:rPr>
          <w:rFonts w:ascii="Book Antiqua" w:hAnsi="Book Antiqua"/>
          <w:color w:val="000000"/>
          <w:sz w:val="20"/>
        </w:rPr>
        <w:t xml:space="preserve">,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w:t>
      </w:r>
      <w:proofErr w:type="spellStart"/>
      <w:r>
        <w:rPr>
          <w:rFonts w:ascii="Book Antiqua" w:hAnsi="Book Antiqua"/>
          <w:color w:val="000000"/>
          <w:sz w:val="20"/>
        </w:rPr>
        <w:t>estudio</w:t>
      </w:r>
      <w:proofErr w:type="spellEnd"/>
      <w:r>
        <w:rPr>
          <w:rFonts w:ascii="Book Antiqua" w:hAnsi="Book Antiqua"/>
          <w:color w:val="000000"/>
          <w:sz w:val="20"/>
        </w:rPr>
        <w:t xml:space="preserve">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w:t>
      </w:r>
      <w:proofErr w:type="spellStart"/>
      <w:r>
        <w:rPr>
          <w:rFonts w:ascii="Book Antiqua" w:hAnsi="Book Antiqua"/>
          <w:color w:val="000000"/>
          <w:sz w:val="20"/>
        </w:rPr>
        <w:t>el</w:t>
      </w:r>
      <w:proofErr w:type="spellEnd"/>
      <w:r>
        <w:rPr>
          <w:rFonts w:ascii="Book Antiqua" w:hAnsi="Book Antiqua"/>
          <w:color w:val="000000"/>
          <w:sz w:val="20"/>
        </w:rPr>
        <w:t xml:space="preserve">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w:t>
      </w:r>
      <w:proofErr w:type="spellStart"/>
      <w:r>
        <w:rPr>
          <w:rFonts w:ascii="Book Antiqua" w:hAnsi="Book Antiqua"/>
          <w:color w:val="000000"/>
          <w:sz w:val="20"/>
        </w:rPr>
        <w:t>ms</w:t>
      </w:r>
      <w:proofErr w:type="spellEnd"/>
      <w:r>
        <w:rPr>
          <w:rFonts w:ascii="Book Antiqua" w:hAnsi="Book Antiqua"/>
          <w:color w:val="000000"/>
          <w:sz w:val="20"/>
        </w:rPr>
        <w:t xml:space="preserve"> (+15.24%) y una mejora del 12.59% en la estabilidad de cola (p99). Se concluye que la mitigación efectiva de inyecciones espaciales requiere trasladar la validación topológica y la parametrización tipada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w:t>
      </w:r>
      <w:proofErr w:type="spellStart"/>
      <w:r>
        <w:rPr>
          <w:rFonts w:ascii="Book Antiqua" w:hAnsi="Book Antiqua"/>
          <w:color w:val="000000"/>
        </w:rPr>
        <w:t>su</w:t>
      </w:r>
      <w:proofErr w:type="spellEnd"/>
      <w:r>
        <w:rPr>
          <w:rFonts w:ascii="Book Antiqua" w:hAnsi="Book Antiqua"/>
          <w:color w:val="000000"/>
        </w:rPr>
        <w:t xml:space="preserve"> </w:t>
      </w:r>
      <w:proofErr w:type="spellStart"/>
      <w:r>
        <w:rPr>
          <w:rFonts w:ascii="Book Antiqua" w:hAnsi="Book Antiqua"/>
          <w:color w:val="000000"/>
        </w:rPr>
        <w:t>extensión</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D115E6">
        <w:rPr>
          <w:rFonts w:ascii="Book Antiqua" w:hAnsi="Book Antiqua"/>
          <w:color w:val="000000"/>
        </w:rPr>
      </w:r>
      <w:proofErr w:type="spellEnd"/>
      <w:r w:rsidR="00D115E6">
        <w:rPr>
          <w:rFonts w:ascii="Book Antiqua" w:hAnsi="Book Antiqua"/>
          <w:color w:val="000000"/>
        </w:rPr>
      </w:r>
      <w:proofErr w:type="spellStart"/>
      <w:r w:rsidR="00D115E6">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D115E6">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OWASP Foundation, 2021), la manipulación de operadores geométricos de PostGIS —como ST_DWithin, ST_Intersects o ST_Buffer— presenta particularidades poco atendidas: una entrada no saneada no solo permite eludir filtros relacionales o exfiltrar datos, sino también desencadenar estados de denegación de servicio mediante cálculos topológicos con alta complejidad algorítmica.</w:t>
      </w:r>
    </w:p>
    <w:p w14:paraId="529D8450" w14:textId="0D9565A7" w:rsidR="006C4700" w:rsidRDefault="00000000">
      <w:pPr>
        <w:spacing w:after="80" w:line="240" w:lineRule="auto"/>
        <w:ind w:firstLine="432"/>
      </w:pPr>
      <w:r>
        <w:t>Este artículo presenta una evaluación experimental de vulnerabilidades de inyección SQL espacial en sistemas de información catastral basados en PostGIS. El estudio: (1) documenta y evalúa seis vectores de ataque orientados a la tríada CIA (Confidencialidad, Integridad y Disponibilidad); (2) implementa un banco de pruebas reproducible sobre un dataset de 487 lotes urbanos estructurados bajo el estándar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w:t>
      </w:r>
      <w:proofErr w:type="spellStart"/>
      <w:r>
        <w:rPr>
          <w:rFonts w:ascii="Book Antiqua" w:hAnsi="Book Antiqua"/>
          <w:color w:val="000000"/>
        </w:rPr>
        <w:t>estas</w:t>
      </w:r>
      <w:proofErr w:type="spellEnd"/>
      <w:r>
        <w:rPr>
          <w:rFonts w:ascii="Book Antiqua" w:hAnsi="Book Antiqua"/>
          <w:color w:val="000000"/>
        </w:rPr>
        <w:t xml:space="preserve"> </w:t>
      </w:r>
      <w:proofErr w:type="spellStart"/>
      <w:r>
        <w:rPr>
          <w:rFonts w:ascii="Book Antiqua" w:hAnsi="Book Antiqua"/>
          <w:color w:val="000000"/>
        </w:rPr>
        <w:t>aproximaciones</w:t>
      </w:r>
      <w:proofErr w:type="spellEnd"/>
      <w:r>
        <w:rPr>
          <w:rFonts w:ascii="Book Antiqua" w:hAnsi="Book Antiqua"/>
          <w:color w:val="000000"/>
        </w:rPr>
        <w:t xml:space="preserve">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El estándar ISO 19152:2012, también denominado Land Administration Domain Model (LADM), es el que regula a nivel global la modelación técnica de los sistemas de información catastral. Autores de referencia como Lemmen et al. (2015) y van Oosterom et al. (2006) formalizaron las clases fundamentales del catastro, destacando LA_SpatialUnit (parcelas y lotes) y LA_Party (titulares prediales), extendidas posteriormente hacia modelos de valoración masiva automatizada (Kara et al., 2021). Si bien el estándar prescribe la semántica e interoperabilidad de la información territorial y registral, no define salvaguardas arquitectónicas a nivel de consulta contra ataques de inyección SQL, dejando expuesta la integridad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w:t>
      </w:r>
      <w:proofErr w:type="spellStart"/>
      <w:r>
        <w:rPr>
          <w:rFonts w:ascii="Book Antiqua" w:hAnsi="Book Antiqua"/>
          <w:color w:val="000000"/>
        </w:rPr>
        <w:t>diseñadas</w:t>
      </w:r>
      <w:proofErr w:type="spellEnd"/>
      <w:r>
        <w:rPr>
          <w:rFonts w:ascii="Book Antiqua" w:hAnsi="Book Antiqua"/>
          <w:color w:val="000000"/>
        </w:rPr>
        <w:t xml:space="preserve"> </w:t>
      </w:r>
      <w:proofErr w:type="spellStart"/>
      <w:r>
        <w:rPr>
          <w:rFonts w:ascii="Book Antiqua" w:hAnsi="Book Antiqua"/>
          <w:color w:val="000000"/>
        </w:rPr>
        <w:t>pueden</w:t>
      </w:r>
      <w:proofErr w:type="spellEnd"/>
      <w:r>
        <w:rPr>
          <w:rFonts w:ascii="Book Antiqua" w:hAnsi="Book Antiqua"/>
          <w:color w:val="000000"/>
        </w:rPr>
        <w:t xml:space="preserve">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w:t>
      </w:r>
      <w:proofErr w:type="spellStart"/>
      <w:r>
        <w:rPr>
          <w:rFonts w:ascii="Book Antiqua" w:hAnsi="Book Antiqua"/>
          <w:color w:val="000000"/>
        </w:rPr>
        <w:t>Pese</w:t>
      </w:r>
      <w:proofErr w:type="spellEnd"/>
      <w:r>
        <w:rPr>
          <w:rFonts w:ascii="Book Antiqua" w:hAnsi="Book Antiqua"/>
          <w:color w:val="000000"/>
        </w:rPr>
        <w:t xml:space="preserv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w:t>
      </w:r>
      <w:proofErr w:type="spellStart"/>
      <w:r>
        <w:rPr>
          <w:rFonts w:ascii="Book Antiqua" w:hAnsi="Book Antiqua"/>
          <w:color w:val="000000"/>
        </w:rPr>
        <w:t>ni</w:t>
      </w:r>
      <w:proofErr w:type="spellEnd"/>
      <w:r>
        <w:rPr>
          <w:rFonts w:ascii="Book Antiqua" w:hAnsi="Book Antiqua"/>
          <w:color w:val="000000"/>
        </w:rPr>
        <w:t xml:space="preserve"> ha </w:t>
      </w:r>
      <w:proofErr w:type="spellStart"/>
      <w:r>
        <w:rPr>
          <w:rFonts w:ascii="Book Antiqua" w:hAnsi="Book Antiqua"/>
          <w:color w:val="000000"/>
        </w:rPr>
        <w:t>formalizado</w:t>
      </w:r>
      <w:proofErr w:type="spellEnd"/>
      <w:r>
        <w:rPr>
          <w:rFonts w:ascii="Book Antiqua" w:hAnsi="Book Antiqua"/>
          <w:color w:val="000000"/>
        </w:rPr>
        <w:t xml:space="preserve">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Se adoptó un diseño experimental y cuantitativo orientado a evaluar la susceptibilidad de endpoints geoespaciales ante inyecciones SQL y medir el impacto en rendimiento derivado de un esquema de mitigación multicapa. La evaluación contrasta dos escenarios defensivos: (1) servicio vulnerable sin protección (consultas dinámicas concatenadas), y (2) servicio mitigado mediante el pipeline de aplicación propuesto (ORM con validación tipada y topológica previa).</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F174E0">
        <w:rPr>
          <w:rFonts w:ascii="Book Antiqua" w:hAnsi="Book Antiqua"/>
          <w:color w:val="000000"/>
        </w:rPr>
      </w:r>
      <w:proofErr w:type="spellStart"/>
      <w:r w:rsidR="00F174E0">
        <w:rPr>
          <w:rFonts w:ascii="Book Antiqua" w:hAnsi="Book Antiqua"/>
          <w:color w:val="000000"/>
        </w:rPr>
      </w:r>
      <w:proofErr w:type="spellEnd"/>
      <w:r w:rsidR="00F174E0">
        <w:rPr>
          <w:rFonts w:ascii="Book Antiqua" w:hAnsi="Book Antiqua"/>
          <w:color w:val="000000"/>
        </w:rPr>
      </w:r>
      <w:proofErr w:type="spellStart"/>
      <w:r w:rsidR="00F174E0">
        <w:rPr>
          <w:rFonts w:ascii="Book Antiqua" w:hAnsi="Book Antiqua"/>
          <w:color w:val="000000"/>
        </w:rPr>
      </w:r>
      <w:proofErr w:type="spellEnd"/>
      <w:r w:rsidR="00F174E0">
        <w:rPr>
          <w:rFonts w:ascii="Book Antiqua" w:hAnsi="Book Antiqua"/>
          <w:color w:val="000000"/>
        </w:rPr>
      </w:r>
      <w:proofErr w:type="spellStart"/>
      <w:r w:rsidR="00F174E0">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F174E0">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t>El dataset experimental comprende 487 lotes catastrales urbanos continuos estructurados bajo el estándar ISO 19152 (LADM, clase LA_SpatialUnit) y georreferenciados en EPSG:32719. El esquema relacional de pruebas se estructuró en tres entidades: tg_lote (persistencia de los 487 lotes prediales bajo la clase LA_SpatialUnit), catastro_titulares (información alfanumérica fiscal y de autovalúo bajo la clase LA_Party) y catastro_usuarios (gestión de accesos y credenciales operativas). Las geometrías presentan una complejidad de entre 4 y 222 vértices (promedio: 9.0 vértices por polígono). Para garantizar reproducibilidad y resguardo ético, la cartografía base se obtuvo de fuentes abiertas y los atributos fiscales fueron generados proceduralmente sin incorporar información personal identificable (PII).</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t>El banco de pruebas se implementó en contenedores Docker mediante microservicios aislados: (1) un servicio de base de datos con PostgreSQL 15 y PostGIS 3.3, (2) una API en Python 3.11 con FastAPI y Uvicorn, y (3) un proxy reverso Nginx configurado con el módulo ModSecurity v3 y el conjunto de reglas perimetrales OWASP Core Rule Set (CRS v3.3). Las pruebas de estrés se ejecutaron en un entorno controlado con un procesador Intel Core Ultra 5 245KF de 14 núcleos a 5.2 GHz con 32 GB de RAM DDR5 y almacenamiento NVMe PCIe 4.0 sobre Linux kernel 6.6 (WSL2). El código fuente, dataset y playground interactivo se encuentran disponibles públicamente en: https://github.com/RAlexander777/Playground-SQLi-PostGIS.</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Se estructuraron seis vectores de explotación basados en las directrices de prueba de inyección de la Web Security Testing Guide (OWASP Foundation, 2023), orientados a las tres dimensiones de la tríada CIA (Confidencialidad, Integridad y Disponibilidad). La batería experimental comprendió dos categorías de vectores: (a) vectores de inyección espacial directa (V1 a V3), dirigidos contra predicados topológicos nativos y funciones de análisis geométrico en PostGIS; y (b) vectores de inyección SQL convencional aplicados al flujo transaccional y administrativo del catastro (V4 a V6), utilizados como línea base de control para verificar la integridad del modelo de datos y la capacidad de detección de herramientas perimetrales. La evaluación de rendimiento contempló una batería de carga de 300 peticiones y curvas de concurrencia escalonada (1 a 100 clientes) sobre el endpoint de proximidad territorial (/predios/radio), registrando métricas de latencia (media, p50, p95, p99) y throughput (req/s). La caracterización técnica de los seis vectores de explotación, sus endpoints y los payloads representativos se detallan en el Apéndice 1.</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w:t>
      </w:r>
      <w:proofErr w:type="spellStart"/>
      <w:r>
        <w:rPr>
          <w:rFonts w:ascii="Book Antiqua" w:hAnsi="Book Antiqua"/>
          <w:color w:val="000000"/>
        </w:rPr>
        <w:t>pasó</w:t>
      </w:r>
      <w:proofErr w:type="spellEnd"/>
      <w:r>
        <w:rPr>
          <w:rFonts w:ascii="Book Antiqua" w:hAnsi="Book Antiqua"/>
          <w:color w:val="000000"/>
        </w:rPr>
        <w:t xml:space="preserve">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 la complejidad geométrica base de las parcelas (promedio de 9.0 vértices y hasta 222 vértices por polígono), el atacante inyectó en el endpoint GET /api/v1/vulnerable/predios/analisis-expansion una subconsulta con un producto cruzado espacial O(N^2) que computa buffers con alta densidad de segmentos por cuadrante. Para aislar el coste computacional del producto cartesiano sin inducir un bloqueo permanente del servidor de pruebas, la inyección evaluó un subconjunto sistemático de 20 parcelas cruzadas entre sí (400 pares de polígonos), variando la resolución de vértices en el buffer. Como se evidencia en la Figura 1, esta inyección del producto cartesiano desencadena una explosión de complejidad algorítmica O(N^2) que eleva la latencia desde 10.8 ms hasta 1,692.1 ms a medida que los vértices evaluados en el buffer crecen de 14,400 a más de 345,600 puntos, saturando los workers de PostgreSQL en el procesador Intel Core Ultra 5 245KF. En contraste, la arquitectura mitigada preserva una latencia acotada de ~15 ms al restringir los parámetros a escalares validados mediante Pydantic y GeoAlchemy2.</w:t>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1C1B5A">
        <w:rPr>
          <w:rFonts w:ascii="Book Antiqua" w:hAnsi="Book Antiqua"/>
          <w:color w:val="000000"/>
        </w:rPr>
      </w:r>
      <w:r>
        <w:rPr>
          <w:rFonts w:ascii="Book Antiqua" w:hAnsi="Book Antiqua"/>
          <w:color w:val="000000"/>
        </w:rPr>
      </w:r>
      <w:proofErr w:type="spellEnd"/>
      <w:r>
        <w:rPr>
          <w:rFonts w:ascii="Book Antiqua" w:hAnsi="Book Antiqua"/>
          <w:color w:val="000000"/>
        </w:rPr>
      </w:r>
      <w:proofErr w:type="spellStart"/>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sidR="001C1B5A">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1C1B5A">
        <w:rPr>
          <w:rFonts w:ascii="Book Antiqua" w:hAnsi="Book Antiqua"/>
          <w:color w:val="000000"/>
        </w:rPr>
      </w:r>
      <w:proofErr w:type="spellStart"/>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gramStart"/>
      <w:r>
        <w:rPr>
          <w:rFonts w:ascii="Book Antiqua" w:hAnsi="Book Antiqua"/>
          <w:color w:val="000000"/>
        </w:rPr>
      </w:r>
      <w:proofErr w:type="gramEnd"/>
      <w:r>
        <w:rPr>
          <w:rFonts w:ascii="Book Antiqua" w:hAnsi="Book Antiqua"/>
          <w:color w:val="000000"/>
        </w:rPr>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Figura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w:t>
      </w:r>
      <w:proofErr w:type="spellStart"/>
      <w:r>
        <w:rPr>
          <w:rFonts w:ascii="Book Antiqua" w:hAnsi="Book Antiqua"/>
          <w:color w:val="000000"/>
        </w:rPr>
        <w:t>el</w:t>
      </w:r>
      <w:proofErr w:type="spellEnd"/>
      <w:r>
        <w:rPr>
          <w:rFonts w:ascii="Book Antiqua" w:hAnsi="Book Antiqua"/>
          <w:color w:val="000000"/>
        </w:rPr>
        <w:t xml:space="preserve">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t>En el endpoint DELETE /api/v1/vulnerable/predios/borrar, la inyección del payload literal '0101' OR '1'='1' en el parámetro de filtrado sectorial transformó la sentencia en una eliminación incondicional de registros (DELETE FROM tg_lote WHERE cod_sector = '0101' OR '1'='1'), eliminando los 487 lotes y dejando el visor webmapping sin cartografía. En contraste, el endpoint mitigado validó el sector mediante el patrón estricto ^\d{4}$, rechazando la inyección con código HTTP 422 y preservando la base catastral.</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Figura 2, la mitigación arquitectónica integró un pipeline de defensa en profundidad con tres barreras secuenciales, donde la Barrera 2 (Shapely) opera como filtro de integridad topológica en memoria activado específicamente ante cargas útiles geométricas complejas (WKT o GeoJSON, descartando anomalías o geometrías auto-intersecadas con HTTP 422 antes de interactuar con la base de datos), mientras que los parámetros puramente numéricos o alfanuméricos transitan directamente desde la validación estricta de Pydantic (Barrera 1) hacia la compilación de variables tipadas (EWKB) y sentencias preparadas en GeoAlchemy2 y SQLAlchemy (Barrera 3).</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Figura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Para la evaluación empírica de rendimiento y latencia (Tabla 1 y Figura 3), se seleccionó como escenario representativo de alta frecuencia transaccional el endpoint de consulta espacial por radio (GET /api/v1/vulnerable/predios/radio frente a GET /api/v1/mitigated/predios/radio), evaluando peticiones válidas bajo una carga estandarizada de 300 peticiones con 10 clientes concurrentes. Los resultados se resumen en la Tabla 1.</w:t>
      </w:r>
    </w:p>
    <w:p w14:paraId="044F9F8B" w14:textId="77777777" w:rsidR="006C4700" w:rsidRDefault="00000000">
      <w:pPr>
        <w:spacing w:before="160" w:after="80"/>
        <w:jc w:val="center"/>
      </w:pPr>
      <w:r>
        <w:rPr>
          <w:rFonts w:ascii="Book Antiqua" w:hAnsi="Book Antiqua"/>
          <w:b/>
          <w:color w:val="000000"/>
          <w:sz w:val="20"/>
        </w:rPr>
        <w:t>Tabla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Pr>
                <w:rFonts w:ascii="Book Antiqua" w:hAnsi="Book Antiqua"/>
                <w:sz w:val="20"/>
              </w:rPr>
              <w:t>Tasa de Error HTTP (Error Rate)</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Para medir la resiliencia bajo estrés progresivo, se evaluó una serie de concurrencia escalonada de 1 a 100 clientes concurrentes. Como se evidencia en la Figura 3(a), el throughput de la arquitectura mitigada escala eficientemente alcanzando una meseta estable superior a 450 req/s sin degradación por bloqueos. Asimismo, la Figura 3(b) revela que la arquitectura mitigada neutraliza los picos severos de latencia de cola observados en la API vulnerable bajo baja concurrencia (140.8 ms frente a 33.1 ms a 5 clientes). A niveles de estrés elevados (50 a 100 clientes), el percentil 99 de la versión mitigada experimenta un incremento moderado (~101 ms vs. ~62 ms), atribuible a la serialización y sobrecosto de CPU en la capa de aplicación (Pydantic/ORM), lo que representa un compromiso aceptable frente a las garantías de seguridad obtenidas.</w:t>
      </w:r>
      <w:proofErr w:type="spellStart"/>
      <w:r w:rsidR="003D136C">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3D136C">
        <w:rPr>
          <w:rFonts w:ascii="Book Antiqua" w:hAnsi="Book Antiqua"/>
          <w:color w:val="000000"/>
        </w:rPr>
      </w:r>
      <w:proofErr w:type="spellEnd"/>
      <w:r w:rsidR="003D136C">
        <w:rPr>
          <w:rFonts w:ascii="Book Antiqua" w:hAnsi="Book Antiqua"/>
          <w:color w:val="000000"/>
        </w:rPr>
      </w:r>
      <w:proofErr w:type="spellStart"/>
      <w:r w:rsidR="003D136C">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Figura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Los resultados empíricos demuestran que la mitigación basada en GeoAlchemy2 y validación previa con Shapely introduce un sobrecosto medio de latencia de apenas 2.63 ms por petición (+15.24%), conservando una tasa de procesamiento de 484.36 req/s. Un aspecto relevante para el diseño de software es el comportamiento en el percentil 99 (p99): en la prueba de carga estandarizada (10 clientes), la latencia de cola disminuyó de 43.75 ms a 38.24 ms (-12.59%) gracias a la reutilización de planes de ejecución preparados (prepared statements) en PostgreSQL al evitar el re-parseo continuo de consultas dinámicas, mientras que bajo estrés masivo concurrente el sobrecosto de serialización en la capa de aplicación modula la respuesta sin comprometer la estabilidad ni registrar fallos (0.0%). Este incremento marginal en el promedio es insignificante frente a la ganancia de seguridad, neutralizando la exfiltración masiva de datos catastrales, el canal lateral de error y la denegación de servicio espacial.</w:t>
      </w:r>
      <w:proofErr w:type="spellStart"/>
      <w:r>
        <w:rPr>
          <w:rFonts w:ascii="Book Antiqua" w:hAnsi="Book Antiqua"/>
        </w:rPr>
      </w:r>
      <w:proofErr w:type="spellEnd"/>
      <w:r w:rsidR="00870A71">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r>
        <w:rPr>
          <w:rFonts w:ascii="Book Antiqua" w:hAnsi="Book Antiqua"/>
        </w:rPr>
      </w:r>
    </w:p>
    <w:p w14:paraId="18A95C31" w14:textId="3BD7C854" w:rsidR="006C4700" w:rsidRDefault="00000000">
      <w:pPr>
        <w:spacing w:after="80" w:line="240" w:lineRule="auto"/>
        <w:ind w:firstLine="432"/>
      </w:pPr>
      <w:r>
        <w:t>Este sobrecosto medio resulta asumible frente a las garantías de protección obtenidas: neutraliza la filtración masiva de predios, los canales laterales de error y la denegación de servicio. En contraste con la arquitectura vulnerable desprotegida (donde el 100% de los ataques prospera), el pipeline de tres barreras implementado en la capa de aplicación alcanzó una tasa de mitigación del 100% en todos los vectores evaluados de la tríada CIA.</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w:t>
      </w:r>
      <w:proofErr w:type="spellStart"/>
      <w:r>
        <w:rPr>
          <w:rFonts w:ascii="Book Antiqua" w:hAnsi="Book Antiqua"/>
        </w:rPr>
        <w:t>titularidad</w:t>
      </w:r>
      <w:proofErr w:type="spellEnd"/>
      <w:r>
        <w:rPr>
          <w:rFonts w:ascii="Book Antiqua" w:hAnsi="Book Antiqua"/>
        </w:rPr>
        <w:t xml:space="preserve"> (</w:t>
      </w:r>
      <w:proofErr w:type="spellStart"/>
      <w:r>
        <w:rPr>
          <w:rFonts w:ascii="Book Antiqua" w:hAnsi="Book Antiqua"/>
        </w:rPr>
        <w:t>Simulación</w:t>
      </w:r>
      <w:proofErr w:type="spellEnd"/>
      <w:r>
        <w:rPr>
          <w:rFonts w:ascii="Book Antiqua" w:hAnsi="Book Antiqua"/>
        </w:rPr>
        <w:t xml:space="preserve"> 4) demuestra que una inyección en la capa de persistencia trasciende la modificación de </w:t>
      </w:r>
      <w:proofErr w:type="spellStart"/>
      <w:r>
        <w:rPr>
          <w:rFonts w:ascii="Book Antiqua" w:hAnsi="Book Antiqua"/>
        </w:rPr>
        <w:t>una</w:t>
      </w:r>
      <w:proofErr w:type="spellEnd"/>
      <w:r>
        <w:rPr>
          <w:rFonts w:ascii="Book Antiqua" w:hAnsi="Book Antiqua"/>
        </w:rPr>
        <w:t xml:space="preserve"> </w:t>
      </w:r>
      <w:proofErr w:type="spellStart"/>
      <w:r>
        <w:rPr>
          <w:rFonts w:ascii="Book Antiqua" w:hAnsi="Book Antiqua"/>
        </w:rPr>
        <w:t>tabla</w:t>
      </w:r>
      <w:proofErr w:type="spellEnd"/>
      <w:r>
        <w:rPr>
          <w:rFonts w:ascii="Book Antiqua" w:hAnsi="Book Antiqua"/>
        </w:rPr>
        <w:t xml:space="preserve">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w:t>
      </w:r>
      <w:proofErr w:type="spellStart"/>
      <w:r>
        <w:rPr>
          <w:rFonts w:ascii="Book Antiqua" w:hAnsi="Book Antiqua"/>
        </w:rPr>
        <w:t>escenario</w:t>
      </w:r>
      <w:proofErr w:type="spellEnd"/>
      <w:r>
        <w:rPr>
          <w:rFonts w:ascii="Book Antiqua" w:hAnsi="Book Antiqua"/>
        </w:rPr>
        <w:t xml:space="preserve"> </w:t>
      </w:r>
      <w:proofErr w:type="spellStart"/>
      <w:r w:rsidR="00B721BA">
        <w:rPr>
          <w:rFonts w:ascii="Book Antiqua" w:hAnsi="Book Antiqua"/>
        </w:rPr>
        <w:t>confirma</w:t>
      </w:r>
      <w:proofErr w:type="spellEnd"/>
      <w:r>
        <w:rPr>
          <w:rFonts w:ascii="Book Antiqua" w:hAnsi="Book Antiqua"/>
        </w:rPr>
        <w:t xml:space="preserve"> que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tipado</w:t>
      </w:r>
      <w:proofErr w:type="spellEnd"/>
      <w:r>
        <w:rPr>
          <w:rFonts w:ascii="Book Antiqua" w:hAnsi="Book Antiqua"/>
        </w:rPr>
        <w:t xml:space="preserve"> </w:t>
      </w:r>
      <w:proofErr w:type="spellStart"/>
      <w:r>
        <w:rPr>
          <w:rFonts w:ascii="Book Antiqua" w:hAnsi="Book Antiqua"/>
        </w:rPr>
        <w:t>estricto</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0003569C" w:rsidR="006C4700" w:rsidRDefault="00B721BA">
      <w:pPr>
        <w:spacing w:after="80" w:line="240" w:lineRule="auto"/>
        <w:ind w:firstLine="432"/>
      </w:pPr>
      <w:r>
        <w:t>Este artículo formalizó y demostró empíricamente la viabilidad de seis vectores de inyección SQL espacial orientados a la tríada CIA (Confidencialidad, Integridad y Disponibilidad) en sistemas de información catastral basados en PostGIS, evidenciando que las funciones topológicas nativas no garantizan el aislamiento de datos cuando se construyen mediante concatenación de cadenas. La evaluación experimental sobre un dataset de 487 lotes catastrales estructurados bajo el estándar ISO 19152 (LADM) comprobó que un atacante puede evadir límites zonales, reconstruir credenciales mediante canales laterales de error geométrico, inducir denegación de servicio por sobrecarga algorítmica cuadrática, alterar fichas prediales tributarias y ejecutar borrados cartográficos masivos. Frente a ello, la arquitectura de defensa en profundidad basada en compilación tipada mediante ORM (GeoAlchemy2), tipado rígido con Pydantic y validación topológica previa en memoria con Shapely mitigó con éxito el 100% de los escenarios de explotación evaluados. El benchmarking transaccional demostró que este esquema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parametrización en el ORM y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de Vectores de Explotación: Operadores Espaciales (V1–V3) y Flujo Catastral / Control (V4–V6).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r>
              <w:t>Integridad y Disponibilidad: Eliminación incondicional de 487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