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33C00" w14:textId="77777777" w:rsidR="00F62503" w:rsidRPr="006C7473" w:rsidRDefault="00611062" w:rsidP="006C7473">
      <w:pPr>
        <w:pStyle w:val="Ttulo1"/>
        <w:spacing w:before="0" w:line="240" w:lineRule="auto"/>
        <w:jc w:val="both"/>
        <w:rPr>
          <w:rFonts w:ascii="Book Antiqua" w:eastAsia="Book Antiqua" w:hAnsi="Book Antiqua" w:cs="Book Antiqua"/>
          <w:i/>
          <w:color w:val="000000"/>
          <w:sz w:val="22"/>
        </w:rPr>
      </w:pPr>
      <w:r w:rsidRPr="006C7473">
        <w:rPr>
          <w:rFonts w:ascii="Book Antiqua" w:eastAsia="Book Antiqua" w:hAnsi="Book Antiqua" w:cs="Book Antiqua"/>
          <w:i/>
          <w:color w:val="000000"/>
          <w:sz w:val="22"/>
        </w:rPr>
        <w:t>International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Multidisciplinary</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Journal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of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Technologies</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and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Applications</w:t>
      </w:r>
      <w:r w:rsidR="006B747B">
        <w:rPr>
          <w:rFonts w:ascii="Book Antiqua" w:eastAsia="Book Antiqua" w:hAnsi="Book Antiqua" w:cs="Book Antiqua"/>
          <w:i/>
          <w:color w:val="000000"/>
          <w:sz w:val="22"/>
        </w:rPr>
        <w:t xml:space="preserve"> (IMJETA)</w:t>
      </w:r>
    </w:p>
    <w:p w14:paraId="0D019F6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Vol. 1, No. 1, pp. a-b, Month 2026</w:t>
      </w:r>
    </w:p>
    <w:p w14:paraId="124CC5E7"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Received Month 00, 2026; Revised Month 00, 2026; Accepted Month 00, 2026</w:t>
      </w:r>
    </w:p>
    <w:p w14:paraId="2650EB1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Published Month 00 2026</w:t>
      </w:r>
    </w:p>
    <w:p>
      <w:pPr>
        <w:spacing w:before="240" w:after="240"/>
        <w:jc w:val="left"/>
      </w:pPr>
      <w:r>
        <w:rPr>
          <w:rFonts w:ascii="Book Antiqua" w:hAnsi="Book Antiqua"/>
          <w:b/>
          <w:i w:val="0"/>
          <w:color w:val="000000"/>
          <w:sz w:val="36"/>
        </w:rPr>
        <w:t>Evaluación de Vulnerabilidades de Inyección SQL Espacial en Sistemas de Información Catastral basados en PostGIS</w:t>
      </w:r>
    </w:p>
    <w:p>
      <w:pPr>
        <w:spacing w:after="80"/>
      </w:pPr>
      <w:r>
        <w:rPr>
          <w:rFonts w:ascii="Book Antiqua" w:hAnsi="Book Antiqua"/>
          <w:b/>
          <w:i w:val="0"/>
          <w:color w:val="000000"/>
          <w:sz w:val="22"/>
        </w:rPr>
        <w:t>Rodrigo Apellido1[0000-0002-XXXX-XXXX]</w:t>
      </w:r>
    </w:p>
    <w:p>
      <w:pPr>
        <w:spacing w:after="40"/>
      </w:pPr>
      <w:r>
        <w:rPr>
          <w:rFonts w:ascii="Book Antiqua" w:hAnsi="Book Antiqua"/>
          <w:b w:val="0"/>
          <w:i/>
          <w:color w:val="000000"/>
          <w:sz w:val="20"/>
        </w:rPr>
        <w:t>1Universidad Nacional / Programa de Doctorado en Ciberseguridad</w:t>
      </w:r>
    </w:p>
    <w:p>
      <w:pPr>
        <w:spacing w:after="240"/>
      </w:pPr>
      <w:r>
        <w:rPr>
          <w:rFonts w:ascii="Book Antiqua" w:hAnsi="Book Antiqua"/>
          <w:b w:val="0"/>
          <w:i w:val="0"/>
          <w:color w:val="000000"/>
          <w:sz w:val="20"/>
        </w:rPr>
        <w:t>investigador.catastro@doctorado.edu.pe</w:t>
      </w:r>
    </w:p>
    <w:p>
      <w:pPr>
        <w:spacing w:after="120" w:line="240" w:lineRule="auto"/>
        <w:ind w:left="720" w:right="720"/>
      </w:pPr>
      <w:r>
        <w:rPr>
          <w:rFonts w:ascii="Book Antiqua" w:hAnsi="Book Antiqua"/>
          <w:b/>
          <w:i w:val="0"/>
          <w:color w:val="000000"/>
          <w:sz w:val="20"/>
        </w:rPr>
        <w:t xml:space="preserve">Abstract. </w:t>
      </w:r>
      <w:r>
        <w:rPr>
          <w:rFonts w:ascii="Book Antiqua" w:hAnsi="Book Antiqua"/>
          <w:b w:val="0"/>
          <w:i w:val="0"/>
          <w:color w:val="000000"/>
          <w:sz w:val="20"/>
        </w:rPr>
        <w:t>La integración de bases de datos espaciales en arquitecturas web ha ampliado la superficie de ataque para las aplicaciones modernas; sin embargo, los riesgos específicos asociados a las inyecciones SQL espaciales siguen estando poco explorados. Este artículo investiga la explotación y mitigación de inyecciones SQL espaciales dentro de sistemas de información catastral que utilizan PostGIS. Se desarrolló un entorno de prueba en contenedores, utilizando Docker, para simular una API de infraestructura crítica construida con Python (FastAPI) y PostgreSQL/PostGIS. El estudio demuestra cómo los atacantes pueden aprovechar funciones espaciales (por ejemplo, ST_DWithin, ST_Intersects) para manipular la lógica geoespacial, extraer datos de zonificación no autorizados o inducir estados de denegación de servicio. Además, la investigación evalúa el impacto en el rendimiento al implementar estrategias de mitigación robustas, comparando consultas espaciales dinámicas vulnerables con consultas parametrizadas ejecutadas a través de herramientas de Mapeo Objeto-Relacional (ORM) como SQLAlchemy y GeoAlchemy2. Los resultados demuestran que el pipeline propuesto neutralizó el 100% de los vectores de ataque con un sobrecosto medio de latencia de 2.63 ms (+15.24%) y una mejora del 12.59% en la estabilidad de cola (p99). Se concluye que la mitigación efectiva de inyecciones espaciales no depende de cortafuegos perimetrales genéricos (WAF), sino de trasladar la validación topológica y la parametrización tipada a la capa de aplicación (ORM), garantizando la integridad catastral con un impacto operativo marginal.</w:t>
      </w:r>
    </w:p>
    <w:p>
      <w:pPr>
        <w:spacing w:after="280"/>
        <w:ind w:left="720" w:right="720"/>
      </w:pPr>
      <w:r>
        <w:rPr>
          <w:rFonts w:ascii="Book Antiqua" w:hAnsi="Book Antiqua"/>
          <w:b/>
          <w:i w:val="0"/>
          <w:color w:val="000000"/>
          <w:sz w:val="20"/>
        </w:rPr>
        <w:t xml:space="preserve">Keywords: </w:t>
      </w:r>
      <w:r>
        <w:rPr>
          <w:rFonts w:ascii="Book Antiqua" w:hAnsi="Book Antiqua"/>
          <w:b w:val="0"/>
          <w:i w:val="0"/>
          <w:color w:val="000000"/>
          <w:sz w:val="20"/>
        </w:rPr>
        <w:t>Inyecciones espaciales; Sistemas catastrales; Ciberseguridad geoespacial; Pruebas de penetración; Bases de datos</w:t>
      </w:r>
    </w:p>
    <w:p>
      <w:pPr>
        <w:keepNext/>
        <w:spacing w:before="240" w:after="80"/>
      </w:pPr>
      <w:r>
        <w:rPr>
          <w:rFonts w:ascii="Book Antiqua" w:hAnsi="Book Antiqua"/>
          <w:b/>
          <w:i w:val="0"/>
          <w:color w:val="000000"/>
          <w:sz w:val="24"/>
        </w:rPr>
        <w:t>1. Introducción</w:t>
      </w:r>
    </w:p>
    <w:p>
      <w:pPr>
        <w:spacing w:after="80" w:line="240" w:lineRule="auto"/>
      </w:pPr>
      <w:r>
        <w:rPr>
          <w:rFonts w:ascii="Book Antiqua" w:hAnsi="Book Antiqua"/>
          <w:b w:val="0"/>
          <w:i w:val="0"/>
          <w:color w:val="000000"/>
          <w:sz w:val="22"/>
        </w:rPr>
        <w:t>Los sistemas de información catastral modernos exponen servicios web y geoportales sobre arquitecturas cliente-servidor para administrar la propiedad predial, la zonificación urbana y la recaudación fiscal (Lemmen et al., 2015). En este ámbito, PostgreSQL junto a su extensión espacial PostGIS constituyen la solución de código abierto predominante para la persistencia y consulta de cartografía vectorial oficial (Obe &amp; Hsu, 2021).</w:t>
      </w:r>
    </w:p>
    <w:p>
      <w:pPr>
        <w:spacing w:after="80" w:line="240" w:lineRule="auto"/>
        <w:ind w:firstLine="432"/>
      </w:pPr>
      <w:r>
        <w:rPr>
          <w:rFonts w:ascii="Book Antiqua" w:hAnsi="Book Antiqua"/>
          <w:b w:val="0"/>
          <w:i w:val="0"/>
          <w:color w:val="000000"/>
          <w:sz w:val="22"/>
        </w:rPr>
        <w:t>Sin embargo, la exposición de estos servicios mediante APIs REST introduce vectores de ataque cuando las consultas se construyen mediante concatenación de cadenas dentro de funciones espaciales. Si bien la inyección SQL clásica ha sido ampliamente documentada (Clarke, 2012; Halfond et al., 2006; OWASP Foundation, 2021), la manipulación de operadores geométricos de PostGIS —como ST_DWithin, ST_Intersects o ST_Buffer— presenta particularidades poco atendidas: una entrada no saneada no solo permite eludir filtros relacionales o exfiltrar datos, sino también desencadenar estados de denegación de servicio mediante cálculos topológicos de alta complejidad algorítmica.</w:t>
      </w:r>
    </w:p>
    <w:p>
      <w:pPr>
        <w:spacing w:after="80" w:line="240" w:lineRule="auto"/>
        <w:ind w:firstLine="432"/>
      </w:pPr>
      <w:r>
        <w:rPr>
          <w:rFonts w:ascii="Book Antiqua" w:hAnsi="Book Antiqua"/>
          <w:b w:val="0"/>
          <w:i w:val="0"/>
          <w:color w:val="000000"/>
          <w:sz w:val="22"/>
        </w:rPr>
        <w:t>Este artículo presenta una evaluación experimental de vulnerabilidades de inyección SQL espacial en sistemas catastrales sobre PostGIS. El estudio: (1) documenta y evalúa seis vectores de ataque orientados a la tríada CIA (Confidencialidad, Integridad y Disponibilidad); (2) implementa un banco de pruebas reproducible sobre un dataset de 487 parcelas urbanas estructuradas bajo el estándar ISO 19152 (LADM); y (3) cuantifica el impacto en latencia y throughput de una arquitectura de mitigación basada en compilación tipada en ORM (GeoAlchemy2) y validación previa con Shapely y Pydantic.</w:t>
      </w:r>
    </w:p>
    <w:p>
      <w:pPr>
        <w:keepNext/>
        <w:spacing w:before="240" w:after="80"/>
      </w:pPr>
      <w:r>
        <w:rPr>
          <w:rFonts w:ascii="Book Antiqua" w:hAnsi="Book Antiqua"/>
          <w:b/>
          <w:i w:val="0"/>
          <w:color w:val="000000"/>
          <w:sz w:val="24"/>
        </w:rPr>
        <w:t>2. Trabajos Relacionados</w:t>
      </w:r>
    </w:p>
    <w:p>
      <w:pPr>
        <w:keepNext/>
        <w:spacing w:before="160" w:after="60"/>
      </w:pPr>
      <w:r>
        <w:rPr>
          <w:rFonts w:ascii="Book Antiqua" w:hAnsi="Book Antiqua"/>
          <w:b/>
          <w:i w:val="0"/>
          <w:color w:val="000000"/>
          <w:sz w:val="22"/>
        </w:rPr>
        <w:t>2.1. Inyección SQL en Motores Espaciales y Operadores Topológicos</w:t>
      </w:r>
    </w:p>
    <w:p>
      <w:pPr>
        <w:spacing w:after="80" w:line="240" w:lineRule="auto"/>
      </w:pPr>
      <w:r>
        <w:rPr>
          <w:rFonts w:ascii="Book Antiqua" w:hAnsi="Book Antiqua"/>
          <w:b w:val="0"/>
          <w:i w:val="0"/>
          <w:color w:val="000000"/>
          <w:sz w:val="22"/>
        </w:rPr>
        <w:t>La literatura fundamental en seguridad informática ha establecido clasificaciones sólidas para ataques SQLi. Halfond et al. (2006) clasificaron estas agresiones en tautologías, consultas de unión, inyecciones ciegas (blind) y canalización de procedimientos almacenados. Clarke (2012) profundizó en el análisis de los árboles de sintaxis abstracta (AST) generados por los analizadores sintácticos de bases de datos al concatenar parámetros no saneados. Sin embargo, estos marcos no consideran cómo los operadores algebraicos espaciales (Egenhofer, 1994) redefinen las condiciones lógicas de evaluación. A diferencia de un valor escalar simple, una expresión geométrica procesa múltiples dimensiones, sistemas de referencia espacial (SRID) y envolventes mínimas (bounding boxes), lo que amplía el área de escape sintáctico. Este vacío teórico en los modelos tradicionales de inyección deja sin caracterizar la manipulación de predicados topológicos nativos en motores relacionales.</w:t>
      </w:r>
    </w:p>
    <w:p>
      <w:pPr>
        <w:keepNext/>
        <w:spacing w:before="160" w:after="60"/>
      </w:pPr>
      <w:r>
        <w:rPr>
          <w:rFonts w:ascii="Book Antiqua" w:hAnsi="Book Antiqua"/>
          <w:b/>
          <w:i w:val="0"/>
          <w:color w:val="000000"/>
          <w:sz w:val="22"/>
        </w:rPr>
        <w:t>2.2. Modelos de Control de Acceso y Brechas de Inferencia Geoespacial</w:t>
      </w:r>
    </w:p>
    <w:p>
      <w:pPr>
        <w:spacing w:after="80" w:line="240" w:lineRule="auto"/>
      </w:pPr>
      <w:r>
        <w:rPr>
          <w:rFonts w:ascii="Book Antiqua" w:hAnsi="Book Antiqua"/>
          <w:b w:val="0"/>
          <w:i w:val="0"/>
          <w:color w:val="000000"/>
          <w:sz w:val="22"/>
        </w:rPr>
        <w:t>El control de acceso en bases de datos espaciales ha sido conceptualizado formalmente por Bertino et al. (2005) a través del modelo GEO-RBAC (Spatially Aware Role-Based Access Control), el cual demostró que los permisos de lectura y modificación deben subordinarse a fronteras geográficas dinámicas. Complementariamente, Chun y Atluri (2008) y Atluri y Chun (2004) analizaron los riesgos de inferencia espacial en SDBMS, donde un usuario no autorizado puede deducir la existencia o atributos de un objeto protegido correlacionando consultas espaciales sucesivas. No obstante, estas aproximaciones asumen que la capa de servicio traslada fielmente las políticas espaciales a la base de datos; en arquitecturas web modernas, la concatenación insegura anula directamente el control de acceso en la persistencia sin ser detectada por los mecanismos de autorización de la capa de aplicación.</w:t>
      </w:r>
    </w:p>
    <w:p>
      <w:pPr>
        <w:keepNext/>
        <w:spacing w:before="160" w:after="60"/>
      </w:pPr>
      <w:r>
        <w:rPr>
          <w:rFonts w:ascii="Book Antiqua" w:hAnsi="Book Antiqua"/>
          <w:b/>
          <w:i w:val="0"/>
          <w:color w:val="000000"/>
          <w:sz w:val="22"/>
        </w:rPr>
        <w:t>2.3. Integridad y Modelado de Datos Catastrales bajo el Estándar LADM</w:t>
      </w:r>
    </w:p>
    <w:p>
      <w:pPr>
        <w:spacing w:after="80" w:line="240" w:lineRule="auto"/>
      </w:pPr>
      <w:r>
        <w:rPr>
          <w:rFonts w:ascii="Book Antiqua" w:hAnsi="Book Antiqua"/>
          <w:b w:val="0"/>
          <w:i w:val="0"/>
          <w:color w:val="000000"/>
          <w:sz w:val="22"/>
        </w:rPr>
        <w:t>El modelado técnico de los sistemas de información catastral se rige a nivel internacional por el estándar ISO 19152:2012, conocido como Land Administration Domain Model (LADM). Autores de referencia como Lemmen et al. (2015) y van Oosterom et al. (2006) formalizaron las clases fundamentales del catastro, destacando LA_SpatialUnit (parcelas y lotes) y LA_Party (titulares prediales), extendidas posteriormente hacia modelos de valoración masiva automatizada (Kara et al., 2021). Si bien el estándar prescribe la semántica e interoperabilidad de la información territorial y registral, no define salvaguardas arquitectónicas a nivel de consulta contra ataques de inyección, dejando expuesta la integridad de los derechos reales de propiedad y la recaudación fiscal ante fallas en la implementación de software.</w:t>
      </w:r>
    </w:p>
    <w:p>
      <w:pPr>
        <w:keepNext/>
        <w:spacing w:before="160" w:after="60"/>
      </w:pPr>
      <w:r>
        <w:rPr>
          <w:rFonts w:ascii="Book Antiqua" w:hAnsi="Book Antiqua"/>
          <w:b/>
          <w:i w:val="0"/>
          <w:color w:val="000000"/>
          <w:sz w:val="22"/>
        </w:rPr>
        <w:t>2.4. Ataques de Complejidad Algorítmica y Vulnerabilidades en Servicios OGC</w:t>
      </w:r>
    </w:p>
    <w:p>
      <w:pPr>
        <w:spacing w:after="80" w:line="240" w:lineRule="auto"/>
      </w:pPr>
      <w:r>
        <w:rPr>
          <w:rFonts w:ascii="Book Antiqua" w:hAnsi="Book Antiqua"/>
          <w:b w:val="0"/>
          <w:i w:val="0"/>
          <w:color w:val="000000"/>
          <w:sz w:val="22"/>
        </w:rPr>
        <w:t>La relevancia contemporánea de esta amenaza quedó demostrada en la industria mediante la vulnerabilidad crítica CVE-2023-25157 (con puntaje CVSS de 9.8), donde el software de referencia GeoServer permitía la ejecución remota de SQL no autenticado mediante la evaluación insegura de filtros OGC y expresiones CQL sobre bases de datos PostGIS (National Vulnerability Database, 2023). Por otro lado, en el ámbito de la denegación de servicio, Crosby y Wallach (2003) establecieron el concepto de ataques de complejidad algorítmica (Algorithmic Complexity Attacks), demostrando cómo entradas diseñadas pueden forzar a los algoritmos de peor caso (O(N^2)) a monopolizar la CPU. En motores espaciales, como documentan Agarwal y Rajan (2016), los algoritmos computacionales de la librería GEOS subyacente en PostGIS demandan una carga de cómputo cuadrática cuando se ejecutan sobre polígonos complejos desprovistos de filtrado preliminar por índice espacial GiST. Pese a estos antecedentes, la literatura no ha cuantificado el impacto de latencia ni ha formalizado esquemas defensivos integrados entre el analizador web y el motor geométrico.</w:t>
      </w:r>
    </w:p>
    <w:p>
      <w:pPr>
        <w:keepNext/>
        <w:spacing w:before="240" w:after="80"/>
      </w:pPr>
      <w:r>
        <w:rPr>
          <w:rFonts w:ascii="Book Antiqua" w:hAnsi="Book Antiqua"/>
          <w:b/>
          <w:i w:val="0"/>
          <w:color w:val="000000"/>
          <w:sz w:val="24"/>
        </w:rPr>
        <w:t>3. Metodología</w:t>
      </w:r>
    </w:p>
    <w:p>
      <w:pPr>
        <w:keepNext/>
        <w:spacing w:before="160" w:after="60"/>
      </w:pPr>
      <w:r>
        <w:rPr>
          <w:rFonts w:ascii="Book Antiqua" w:hAnsi="Book Antiqua"/>
          <w:b/>
          <w:i w:val="0"/>
          <w:color w:val="000000"/>
          <w:sz w:val="22"/>
        </w:rPr>
        <w:t>3.1. Enfoque y Diseño Experimental</w:t>
      </w:r>
    </w:p>
    <w:p>
      <w:pPr>
        <w:spacing w:after="80" w:line="240" w:lineRule="auto"/>
      </w:pPr>
      <w:r>
        <w:rPr>
          <w:rFonts w:ascii="Book Antiqua" w:hAnsi="Book Antiqua"/>
          <w:b w:val="0"/>
          <w:i w:val="0"/>
          <w:color w:val="000000"/>
          <w:sz w:val="22"/>
        </w:rPr>
        <w:t>Se adoptó un diseño experimental y cuantitativo orientado a evaluar la susceptibilidad de endpoints geoespaciales ante inyecciones SQL y medir el impacto en rendimiento derivado de un esquema de mitigación multicapa. La evaluación contrasta tres escenarios defensivos: (1) servicio vulnerable sin protección, (2) servicio protegido perimetralmente mediante un cortafuegos de aplicaciones web (WAF) basado en firmas (OWASP CRS v3.3), y (3) servicio mitigado mediante el pipeline de aplicación propuesto (ORM con validación tipada y topológica previa).</w:t>
      </w:r>
    </w:p>
    <w:p>
      <w:pPr>
        <w:keepNext/>
        <w:spacing w:before="160" w:after="60"/>
      </w:pPr>
      <w:r>
        <w:rPr>
          <w:rFonts w:ascii="Book Antiqua" w:hAnsi="Book Antiqua"/>
          <w:b/>
          <w:i w:val="0"/>
          <w:color w:val="000000"/>
          <w:sz w:val="22"/>
        </w:rPr>
        <w:t>3.2. Conjunto de Datos Catastrales (Dataset)</w:t>
      </w:r>
    </w:p>
    <w:p>
      <w:pPr>
        <w:spacing w:after="80" w:line="240" w:lineRule="auto"/>
      </w:pPr>
      <w:r>
        <w:rPr>
          <w:rFonts w:ascii="Book Antiqua" w:hAnsi="Book Antiqua"/>
          <w:b w:val="0"/>
          <w:i w:val="0"/>
          <w:color w:val="000000"/>
          <w:sz w:val="22"/>
        </w:rPr>
        <w:t>El dataset experimental comprende 487 lotes catastrales urbanos continuos estructurados bajo el estándar ISO 19152 (LADM, clase LA_SpatialUnit) y georreferenciados en EPSG:32719. El esquema relacional de pruebas se estructuró en tres entidades: tg_lote (persistencia de los 487 lotes prediales bajo la clase LA_SpatialUnit), catastro_titulares (información alfanumérica fiscal y de autovalúo bajo la clase LA_Party) y catastro_usuarios (gestión de accesos y credenciales operativas). Las geometrías presentan una complejidad de entre 4 y 222 vértices (promedio: 9.0 vértices por polígono). Para garantizar reproducibilidad y resguardo ético, la cartografía base se obtuvo de fuentes abiertas y los atributos fiscales fueron generados proceduralmente sin incorporar información personal identificable (PII).</w:t>
      </w:r>
    </w:p>
    <w:p>
      <w:pPr>
        <w:keepNext/>
        <w:spacing w:before="160" w:after="60"/>
      </w:pPr>
      <w:r>
        <w:rPr>
          <w:rFonts w:ascii="Book Antiqua" w:hAnsi="Book Antiqua"/>
          <w:b/>
          <w:i w:val="0"/>
          <w:color w:val="000000"/>
          <w:sz w:val="22"/>
        </w:rPr>
        <w:t>3.3. Entorno Experimental y Arquitectura</w:t>
      </w:r>
    </w:p>
    <w:p>
      <w:pPr>
        <w:spacing w:after="80" w:line="240" w:lineRule="auto"/>
      </w:pPr>
      <w:r>
        <w:rPr>
          <w:rFonts w:ascii="Book Antiqua" w:hAnsi="Book Antiqua"/>
          <w:b w:val="0"/>
          <w:i w:val="0"/>
          <w:color w:val="000000"/>
          <w:sz w:val="22"/>
        </w:rPr>
        <w:t>El banco de pruebas se implementó en contenedores Docker mediante microservicios aislados: (1) un servicio de base de datos con PostgreSQL 15 y PostGIS 3.3, (2) una API en Python 3.11 con FastAPI y Uvicorn, y (3) un proxy reverso Nginx configurado con el módulo ModSecurity v3 y el conjunto de reglas perimetrales OWASP Core Rule Set (CRS v3.3). Las pruebas de estrés se ejecutaron en un entorno controlado con un procesador Intel Core Ultra 5 245KF de 14 núcleos a 5.2 GHz con 32 GB de RAM DDR5 y almacenamiento NVMe PCIe 4.0 sobre Linux kernel 6.6 (WSL2).</w:t>
      </w:r>
    </w:p>
    <w:p>
      <w:pPr>
        <w:keepNext/>
        <w:spacing w:before="160" w:after="60"/>
      </w:pPr>
      <w:r>
        <w:rPr>
          <w:rFonts w:ascii="Book Antiqua" w:hAnsi="Book Antiqua"/>
          <w:b/>
          <w:i w:val="0"/>
          <w:color w:val="000000"/>
          <w:sz w:val="22"/>
        </w:rPr>
        <w:t>3.4. Vectores de Prueba y Métricas de Rendimiento</w:t>
      </w:r>
    </w:p>
    <w:p>
      <w:pPr>
        <w:spacing w:after="80" w:line="240" w:lineRule="auto"/>
      </w:pPr>
      <w:r>
        <w:rPr>
          <w:rFonts w:ascii="Book Antiqua" w:hAnsi="Book Antiqua"/>
          <w:b w:val="0"/>
          <w:i w:val="0"/>
          <w:color w:val="000000"/>
          <w:sz w:val="22"/>
        </w:rPr>
        <w:t>Se estructuraron seis vectores de explotación basados en las directrices de prueba de inyección de la Web Security Testing Guide (OWASP Foundation, 2023), orientados a las tres dimensiones de la tríada CIA (Confidencialidad, Integridad y Disponibilidad). La batería experimental comprendió dos categorías de vectores: (a) vectores de inyección espacial directa (V1 a V3), dirigidos contra predicados topológicos nativos y funciones de análisis geométrico en PostGIS; y (b) vectores de inyección SQL convencional aplicados al flujo transaccional y administrativo del catastro (V4 a V6), utilizados como línea base de control para verificar la integridad del modelo de datos y la capacidad de detección de herramientas perimetrales. La evaluación de rendimiento contempló una batería de carga de 300 peticiones y curvas de concurrencia escalonada (1 a 100 clientes) sobre el endpoint de proximidad territorial (/predios/radio), registrando métricas de latencia (media, p50, p95, p99) y throughput (req/s). La caracterización técnica de los seis vectores de explotación, sus endpoints y los payloads representativos se detallan en el Apéndice 1.</w:t>
      </w:r>
    </w:p>
    <w:p>
      <w:pPr>
        <w:keepNext/>
        <w:spacing w:before="240" w:after="80"/>
      </w:pPr>
      <w:r>
        <w:rPr>
          <w:rFonts w:ascii="Book Antiqua" w:hAnsi="Book Antiqua"/>
          <w:b/>
          <w:i w:val="0"/>
          <w:color w:val="000000"/>
          <w:sz w:val="24"/>
        </w:rPr>
        <w:t>4. Simulaciones de Ataque y Resultados de Explotación</w:t>
      </w:r>
    </w:p>
    <w:p>
      <w:pPr>
        <w:keepNext/>
        <w:spacing w:before="160" w:after="60"/>
      </w:pPr>
      <w:r>
        <w:rPr>
          <w:rFonts w:ascii="Book Antiqua" w:hAnsi="Book Antiqua"/>
          <w:b/>
          <w:i w:val="0"/>
          <w:color w:val="000000"/>
          <w:sz w:val="22"/>
        </w:rPr>
        <w:t>4.1. Simulación 1: Evasión de Límite Espacial (Spatial Logic Bypass)</w:t>
      </w:r>
    </w:p>
    <w:p>
      <w:pPr>
        <w:spacing w:after="80" w:line="240" w:lineRule="auto"/>
      </w:pPr>
      <w:r>
        <w:rPr>
          <w:rFonts w:ascii="Book Antiqua" w:hAnsi="Book Antiqua"/>
          <w:b w:val="0"/>
          <w:i w:val="0"/>
          <w:color w:val="000000"/>
          <w:sz w:val="22"/>
        </w:rPr>
        <w:t>El endpoint GET /api/v1/vulnerable/predios/radio está diseñado para retornar lotes dentro de un radio de 50 metros en el sector 0101. Al inyectar en el parámetro distancia el payload '50) OR (1=1', el analizador léxico de PostgreSQL cierra prematuramente el operador ST_DWithin e introduce una tautología que anula tanto el límite espacial como el filtro de sector territorial. Como resultado, la consulta pasó de retornar 1 predio autorizado a exfiltrar masivamente 50 parcelas catastrales no autorizadas en 7.03 ms. En el endpoint mitigado, Pydantic y GeoAlchemy2 verificaron el tipo numérico estricto, neutralizando el ataque con código HTTP 422.</w:t>
      </w:r>
    </w:p>
    <w:p>
      <w:pPr>
        <w:keepNext/>
        <w:spacing w:before="160" w:after="60"/>
      </w:pPr>
      <w:r>
        <w:rPr>
          <w:rFonts w:ascii="Book Antiqua" w:hAnsi="Book Antiqua"/>
          <w:b/>
          <w:i w:val="0"/>
          <w:color w:val="000000"/>
          <w:sz w:val="22"/>
        </w:rPr>
        <w:t>4.2. Simulación 2: Inferencia de Datos por Errores Geométricos (Error-Based Spatial SQLi)</w:t>
      </w:r>
    </w:p>
    <w:p>
      <w:pPr>
        <w:spacing w:after="80" w:line="240" w:lineRule="auto"/>
      </w:pPr>
      <w:r>
        <w:rPr>
          <w:rFonts w:ascii="Book Antiqua" w:hAnsi="Book Antiqua"/>
          <w:b w:val="0"/>
          <w:i w:val="0"/>
          <w:color w:val="000000"/>
          <w:sz w:val="22"/>
        </w:rPr>
        <w:t>En el endpoint GET /api/v1/vulnerable/predios/poligono, la aplicación dibuja polígonos cartográficos sin exponer datos textuales. El atacante estructuró un canal lateral inferencial acoplado al operador ST_Intersects, inyectando una división por cero condicional a la conjetura de caracteres sobre la tabla administrativa: si el carácter adivinado coincide, se produce una excepción en PostGIS disparando un error HTTP 500; si es falso, el motor responde con HTTP 200. Mediante este mecanismo se exfiltró la credencial completa 'admin' en 42 segundos. En la versión mitigada, Shapely evaluó la validez topológica en memoria, rechazando la sintaxis con HTTP 422.</w:t>
      </w:r>
    </w:p>
    <w:p>
      <w:pPr>
        <w:keepNext/>
        <w:spacing w:before="160" w:after="60"/>
      </w:pPr>
      <w:r>
        <w:rPr>
          <w:rFonts w:ascii="Book Antiqua" w:hAnsi="Book Antiqua"/>
          <w:b/>
          <w:i w:val="0"/>
          <w:color w:val="000000"/>
          <w:sz w:val="22"/>
        </w:rPr>
        <w:t>4.3. Simulación 3: Denegación de Servicio Espacial (Spatial DoS)</w:t>
      </w:r>
    </w:p>
    <w:p>
      <w:pPr>
        <w:spacing w:after="80" w:line="240" w:lineRule="auto"/>
      </w:pPr>
      <w:r>
        <w:rPr>
          <w:rFonts w:ascii="Book Antiqua" w:hAnsi="Book Antiqua"/>
          <w:b w:val="0"/>
          <w:i w:val="0"/>
          <w:color w:val="000000"/>
          <w:sz w:val="22"/>
        </w:rPr>
        <w:t>Aprovechando la complejidad geométrica base de las parcelas (promedio de 9.0 vértices y hasta 222 vértices por polígono), el atacante inyectó en el endpoint GET /api/v1/vulnerable/predios/analisis-expansion una subconsulta con un producto cruzado espacial O(N^2) que computa buffers con alta densidad de segmentos por cuadrante. Para aislar el coste computacional del producto cartesiano sin inducir un bloqueo permanente del servidor de pruebas, la inyección evaluó un subconjunto sistemático de 20 parcelas cruzadas entre sí (400 pares de polígonos), variando la resolución de vértices en el buffer. Como se evidencia empíricamente en la Figura 1, esta inyección del producto cartesiano desencadena una explosión de complejidad algorítmica O(N^2) que eleva la latencia desde 10.8 ms hasta 1,692.1 ms a medida que los vértices evaluados en el buffer crecen de 14,400 a más de 345,600 puntos, saturando los workers de PostgreSQL en el procesador Intel Core Ultra 5 245KF. En contraste, la arquitectura mitigada preserva una latencia acotada de ~15 ms al restringir los parámetros a escalares validados mediante Pydantic y GeoAlchemy2.</w:t>
      </w:r>
    </w:p>
    <w:p>
      <w:pPr>
        <w:keepNext/>
        <w:spacing w:before="160" w:after="40"/>
        <w:jc w:val="center"/>
      </w:pPr>
      <w:r>
        <w:drawing>
          <wp:inline xmlns:a="http://schemas.openxmlformats.org/drawingml/2006/main" xmlns:pic="http://schemas.openxmlformats.org/drawingml/2006/picture">
            <wp:extent cx="4937760" cy="2852928"/>
            <wp:docPr id="1" name="Picture 1"/>
            <wp:cNvGraphicFramePr>
              <a:graphicFrameLocks noChangeAspect="1"/>
            </wp:cNvGraphicFramePr>
            <a:graphic>
              <a:graphicData uri="http://schemas.openxmlformats.org/drawingml/2006/picture">
                <pic:pic>
                  <pic:nvPicPr>
                    <pic:cNvPr id="0" name="fig3_spatial_dos_complexity.png"/>
                    <pic:cNvPicPr/>
                  </pic:nvPicPr>
                  <pic:blipFill>
                    <a:blip r:embed="rId19"/>
                    <a:stretch>
                      <a:fillRect/>
                    </a:stretch>
                  </pic:blipFill>
                  <pic:spPr>
                    <a:xfrm>
                      <a:off x="0" y="0"/>
                      <a:ext cx="4937760" cy="2852928"/>
                    </a:xfrm>
                    <a:prstGeom prst="rect"/>
                  </pic:spPr>
                </pic:pic>
              </a:graphicData>
            </a:graphic>
          </wp:inline>
        </w:drawing>
      </w:r>
    </w:p>
    <w:p>
      <w:pPr>
        <w:spacing w:before="120" w:after="160"/>
        <w:jc w:val="center"/>
      </w:pPr>
      <w:r>
        <w:rPr>
          <w:rFonts w:ascii="Book Antiqua" w:hAnsi="Book Antiqua"/>
          <w:b/>
          <w:i w:val="0"/>
          <w:color w:val="000000"/>
          <w:sz w:val="20"/>
        </w:rPr>
        <w:t>Figura 1. Curva de degeneración algorítmica cuadrática O(N²) en PostGIS/GEOS ante inyección de sobrecarga geométrica vs. mitigación acotada</w:t>
      </w:r>
    </w:p>
    <w:p>
      <w:pPr>
        <w:keepNext/>
        <w:spacing w:before="160" w:after="60"/>
      </w:pPr>
      <w:r>
        <w:rPr>
          <w:rFonts w:ascii="Book Antiqua" w:hAnsi="Book Antiqua"/>
          <w:b/>
          <w:i w:val="0"/>
          <w:color w:val="000000"/>
          <w:sz w:val="22"/>
        </w:rPr>
        <w:t>4.4. Simulación 4: Fraude en Ficha Catastral (Tampering de Autovalúo)</w:t>
      </w:r>
    </w:p>
    <w:p>
      <w:pPr>
        <w:spacing w:after="80" w:line="240" w:lineRule="auto"/>
      </w:pPr>
      <w:r>
        <w:rPr>
          <w:rFonts w:ascii="Book Antiqua" w:hAnsi="Book Antiqua"/>
          <w:b w:val="0"/>
          <w:i w:val="0"/>
          <w:color w:val="000000"/>
          <w:sz w:val="22"/>
        </w:rPr>
        <w:t>En el endpoint POST /api/v1/vulnerable/ficha/modificar, se simuló un ataque contra la integridad tributaria. Mediante concatenación en la cláusula SET, el atacante manipuló el autovalúo fijándolo en S/ 0.00 y sustituyó el titular predial legítimo por un tercero no autorizado, demostrando la vulnerabilidad de las bases fiscales ante inyecciones de actualización directa. El endpoint mitigado bloqueó el fraude mediante expresiones regulares alfabéticas y validación de rangos positivos en SQLAlchemy (HTTP 422).</w:t>
      </w:r>
    </w:p>
    <w:p>
      <w:pPr>
        <w:keepNext/>
        <w:spacing w:before="160" w:after="60"/>
      </w:pPr>
      <w:r>
        <w:rPr>
          <w:rFonts w:ascii="Book Antiqua" w:hAnsi="Book Antiqua"/>
          <w:b/>
          <w:i w:val="0"/>
          <w:color w:val="000000"/>
          <w:sz w:val="22"/>
        </w:rPr>
        <w:t>4.5. Simulación 5: Borrado Destructivo de Cartografía Predial (Data Destruction)</w:t>
      </w:r>
    </w:p>
    <w:p>
      <w:pPr>
        <w:spacing w:after="80" w:line="240" w:lineRule="auto"/>
      </w:pPr>
      <w:r>
        <w:rPr>
          <w:rFonts w:ascii="Book Antiqua" w:hAnsi="Book Antiqua"/>
          <w:b w:val="0"/>
          <w:i w:val="0"/>
          <w:color w:val="000000"/>
          <w:sz w:val="22"/>
        </w:rPr>
        <w:t>En el endpoint DELETE /api/v1/vulnerable/predios/borrar, la inyección del payload literal '0101' OR '1'='1' en el parámetro de filtrado sectorial transformó la sentencia en una eliminación incondicional de registros (DELETE FROM tg_lote WHERE cod_sector = '0101' OR '1'='1'), suprimiendo las 487 parcelas y dejando el visor webmapping sin cartografía. En contraste, el endpoint mitigado validó el sector mediante el patrón estricto ^\d{4}$, rechazando la inyección con código HTTP 422 y preservando intacta la base catastral.</w:t>
      </w:r>
    </w:p>
    <w:p>
      <w:pPr>
        <w:keepNext/>
        <w:spacing w:before="160" w:after="60"/>
      </w:pPr>
      <w:r>
        <w:rPr>
          <w:rFonts w:ascii="Book Antiqua" w:hAnsi="Book Antiqua"/>
          <w:b/>
          <w:i w:val="0"/>
          <w:color w:val="000000"/>
          <w:sz w:val="22"/>
        </w:rPr>
        <w:t>4.6. Simulación 6: Evasión de Autenticación en el Visor Catastral</w:t>
      </w:r>
    </w:p>
    <w:p>
      <w:pPr>
        <w:spacing w:after="80" w:line="240" w:lineRule="auto"/>
      </w:pPr>
      <w:r>
        <w:rPr>
          <w:rFonts w:ascii="Book Antiqua" w:hAnsi="Book Antiqua"/>
          <w:b w:val="0"/>
          <w:i w:val="0"/>
          <w:color w:val="000000"/>
          <w:sz w:val="22"/>
        </w:rPr>
        <w:t>En el endpoint POST /api/v1/vulnerable/auth/login, el atacante ingresó "admin' --" en el campo de usuario, comentando la validación del hash de contraseña. La API otorgó acceso y emitió un token con rol superadmin_catastro. La versión mitigada con prepared statements y hashing criptográfico SHA-256 neutralizó el bypass al buscar literalmente la cadena con comillas sin interpretarla como sintaxis SQL.</w:t>
      </w:r>
    </w:p>
    <w:p>
      <w:pPr>
        <w:keepNext/>
        <w:spacing w:before="240" w:after="80"/>
      </w:pPr>
      <w:r>
        <w:rPr>
          <w:rFonts w:ascii="Book Antiqua" w:hAnsi="Book Antiqua"/>
          <w:b/>
          <w:i w:val="0"/>
          <w:color w:val="000000"/>
          <w:sz w:val="24"/>
        </w:rPr>
        <w:t>5. Estrategias de Mitigación y Evaluación de Rendimiento</w:t>
      </w:r>
    </w:p>
    <w:p>
      <w:pPr>
        <w:spacing w:after="80" w:line="240" w:lineRule="auto"/>
      </w:pPr>
      <w:r>
        <w:rPr>
          <w:rFonts w:ascii="Book Antiqua" w:hAnsi="Book Antiqua"/>
          <w:b w:val="0"/>
          <w:i w:val="0"/>
          <w:color w:val="000000"/>
          <w:sz w:val="22"/>
        </w:rPr>
        <w:t>Como se ilustra en la Figura 2, la mitigación arquitectónica integró un pipeline de defensa en profundidad con tres barreras secuenciales, donde la Barrera 2 (Shapely) opera como filtro de integridad topológica en memoria activado específicamente ante cargas útiles geométricas complejas (WKT o GeoJSON, descartando anomalías o geometrías auto-intersecadas con HTTP 422 antes de interactuar con la base de datos), mientras que los parámetros puramente numéricos o alfanuméricos transitan directamente desde la validación estricta de Pydantic (Barrera 1) hacia la compilación de variables tipadas (EWKB) y sentencias preparadas en GeoAlchemy2 y SQLAlchemy (Barrera 3).</w:t>
      </w:r>
    </w:p>
    <w:p>
      <w:pPr>
        <w:keepNext/>
        <w:spacing w:before="160" w:after="40"/>
        <w:jc w:val="center"/>
      </w:pPr>
      <w:r>
        <w:drawing>
          <wp:inline xmlns:a="http://schemas.openxmlformats.org/drawingml/2006/main" xmlns:pic="http://schemas.openxmlformats.org/drawingml/2006/picture">
            <wp:extent cx="5303520" cy="1856232"/>
            <wp:docPr id="2" name="Picture 2"/>
            <wp:cNvGraphicFramePr>
              <a:graphicFrameLocks noChangeAspect="1"/>
            </wp:cNvGraphicFramePr>
            <a:graphic>
              <a:graphicData uri="http://schemas.openxmlformats.org/drawingml/2006/picture">
                <pic:pic>
                  <pic:nvPicPr>
                    <pic:cNvPr id="0" name="fig1_defense_pipeline.png"/>
                    <pic:cNvPicPr/>
                  </pic:nvPicPr>
                  <pic:blipFill>
                    <a:blip r:embed="rId20"/>
                    <a:stretch>
                      <a:fillRect/>
                    </a:stretch>
                  </pic:blipFill>
                  <pic:spPr>
                    <a:xfrm>
                      <a:off x="0" y="0"/>
                      <a:ext cx="5303520" cy="1856232"/>
                    </a:xfrm>
                    <a:prstGeom prst="rect"/>
                  </pic:spPr>
                </pic:pic>
              </a:graphicData>
            </a:graphic>
          </wp:inline>
        </w:drawing>
      </w:r>
    </w:p>
    <w:p>
      <w:pPr>
        <w:spacing w:before="120" w:after="160"/>
        <w:jc w:val="center"/>
      </w:pPr>
      <w:r>
        <w:rPr>
          <w:rFonts w:ascii="Book Antiqua" w:hAnsi="Book Antiqua"/>
          <w:b/>
          <w:i w:val="0"/>
          <w:color w:val="000000"/>
          <w:sz w:val="20"/>
        </w:rPr>
        <w:t>Figura 2. Arquitectura del pipeline de defensa en profundidad de tres barreras para servicios catastrales en PostGIS</w:t>
      </w:r>
    </w:p>
    <w:p>
      <w:pPr>
        <w:spacing w:after="80" w:line="240" w:lineRule="auto"/>
        <w:ind w:firstLine="432"/>
      </w:pPr>
      <w:r>
        <w:rPr>
          <w:rFonts w:ascii="Book Antiqua" w:hAnsi="Book Antiqua"/>
          <w:b w:val="0"/>
          <w:i w:val="0"/>
          <w:color w:val="000000"/>
          <w:sz w:val="22"/>
        </w:rPr>
        <w:t>Para la evaluación empírica de rendimiento y latencia (Tabla 1 y Figura 3), se seleccionó como escenario representativo de alta frecuencia transaccional el endpoint de consulta espacial por radio (GET /api/v1/vulnerable/predios/radio frente a GET /api/v1/mitigated/predios/radio), evaluando peticiones válidas bajo una carga estandarizada de 300 peticiones con 10 clientes concurrentes. Los resultados se resumen en la Tabla 1.</w:t>
      </w:r>
    </w:p>
    <w:p>
      <w:pPr>
        <w:spacing w:before="160" w:after="80"/>
        <w:jc w:val="center"/>
      </w:pPr>
      <w:r>
        <w:rPr>
          <w:rFonts w:ascii="Book Antiqua" w:hAnsi="Book Antiqua"/>
          <w:b/>
          <w:i w:val="0"/>
          <w:color w:val="000000"/>
          <w:sz w:val="20"/>
        </w:rPr>
        <w:t>Tabla 1: Comparativa de Rendimiento y Latencia entre API Vulnerable y API Mitigada</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20"/>
              </w:rPr>
              <w:t>Métrica de Rendimiento</w:t>
            </w:r>
          </w:p>
        </w:tc>
        <w:tc>
          <w:tcPr>
            <w:tcW w:type="dxa" w:w="2052"/>
          </w:tcPr>
          <w:p>
            <w:pPr>
              <w:spacing w:before="40" w:after="40"/>
              <w:jc w:val="center"/>
            </w:pPr>
            <w:r>
              <w:rPr>
                <w:rFonts w:ascii="Book Antiqua" w:hAnsi="Book Antiqua"/>
                <w:b/>
                <w:i w:val="0"/>
                <w:color w:val="000000"/>
                <w:sz w:val="20"/>
              </w:rPr>
              <w:t>API Vulnerable (SQL Dinámico)</w:t>
            </w:r>
          </w:p>
        </w:tc>
        <w:tc>
          <w:tcPr>
            <w:tcW w:type="dxa" w:w="2052"/>
          </w:tcPr>
          <w:p>
            <w:pPr>
              <w:spacing w:before="40" w:after="40"/>
              <w:jc w:val="center"/>
            </w:pPr>
            <w:r>
              <w:rPr>
                <w:rFonts w:ascii="Book Antiqua" w:hAnsi="Book Antiqua"/>
                <w:b/>
                <w:i w:val="0"/>
                <w:color w:val="000000"/>
                <w:sz w:val="20"/>
              </w:rPr>
              <w:t>API Mitigada (GeoAlchemy2)</w:t>
            </w:r>
          </w:p>
        </w:tc>
        <w:tc>
          <w:tcPr>
            <w:tcW w:type="dxa" w:w="2052"/>
          </w:tcPr>
          <w:p>
            <w:pPr>
              <w:spacing w:before="40" w:after="40"/>
              <w:jc w:val="center"/>
            </w:pPr>
            <w:r>
              <w:rPr>
                <w:rFonts w:ascii="Book Antiqua" w:hAnsi="Book Antiqua"/>
                <w:b/>
                <w:i w:val="0"/>
                <w:color w:val="000000"/>
                <w:sz w:val="20"/>
              </w:rPr>
              <w:t>Variación (Overhead)</w:t>
            </w:r>
          </w:p>
        </w:tc>
      </w:tr>
      <w:tr>
        <w:tc>
          <w:tcPr>
            <w:tcW w:type="dxa" w:w="2052"/>
          </w:tcPr>
          <w:p>
            <w:pPr>
              <w:spacing w:before="40" w:after="40"/>
              <w:jc w:val="left"/>
            </w:pPr>
            <w:r>
              <w:rPr>
                <w:rFonts w:ascii="Book Antiqua" w:hAnsi="Book Antiqua"/>
                <w:b w:val="0"/>
                <w:i w:val="0"/>
                <w:color w:val="000000"/>
                <w:sz w:val="20"/>
              </w:rPr>
              <w:t>Throughput (Rendimiento)</w:t>
            </w:r>
          </w:p>
        </w:tc>
        <w:tc>
          <w:tcPr>
            <w:tcW w:type="dxa" w:w="2052"/>
          </w:tcPr>
          <w:p>
            <w:pPr>
              <w:spacing w:before="40" w:after="40"/>
              <w:jc w:val="center"/>
            </w:pPr>
            <w:r>
              <w:rPr>
                <w:rFonts w:ascii="Book Antiqua" w:hAnsi="Book Antiqua"/>
                <w:b w:val="0"/>
                <w:i w:val="0"/>
                <w:color w:val="000000"/>
                <w:sz w:val="20"/>
              </w:rPr>
              <w:t>556.21 req/s</w:t>
            </w:r>
          </w:p>
        </w:tc>
        <w:tc>
          <w:tcPr>
            <w:tcW w:type="dxa" w:w="2052"/>
          </w:tcPr>
          <w:p>
            <w:pPr>
              <w:spacing w:before="40" w:after="40"/>
              <w:jc w:val="center"/>
            </w:pPr>
            <w:r>
              <w:rPr>
                <w:rFonts w:ascii="Book Antiqua" w:hAnsi="Book Antiqua"/>
                <w:b w:val="0"/>
                <w:i w:val="0"/>
                <w:color w:val="000000"/>
                <w:sz w:val="20"/>
              </w:rPr>
              <w:t>484.36 req/s</w:t>
            </w:r>
          </w:p>
        </w:tc>
        <w:tc>
          <w:tcPr>
            <w:tcW w:type="dxa" w:w="2052"/>
          </w:tcPr>
          <w:p>
            <w:pPr>
              <w:spacing w:before="40" w:after="40"/>
              <w:jc w:val="center"/>
            </w:pPr>
            <w:r>
              <w:rPr>
                <w:rFonts w:ascii="Book Antiqua" w:hAnsi="Book Antiqua"/>
                <w:b w:val="0"/>
                <w:i w:val="0"/>
                <w:color w:val="000000"/>
                <w:sz w:val="20"/>
              </w:rPr>
              <w:t>-71.85 req/s (-12.92%)</w:t>
            </w:r>
          </w:p>
        </w:tc>
      </w:tr>
      <w:tr>
        <w:tc>
          <w:tcPr>
            <w:tcW w:type="dxa" w:w="2052"/>
          </w:tcPr>
          <w:p>
            <w:pPr>
              <w:spacing w:before="40" w:after="40"/>
              <w:jc w:val="left"/>
            </w:pPr>
            <w:r>
              <w:rPr>
                <w:rFonts w:ascii="Book Antiqua" w:hAnsi="Book Antiqua"/>
                <w:b w:val="0"/>
                <w:i w:val="0"/>
                <w:color w:val="000000"/>
                <w:sz w:val="20"/>
              </w:rPr>
              <w:t>Latencia Media (Mean)</w:t>
            </w:r>
          </w:p>
        </w:tc>
        <w:tc>
          <w:tcPr>
            <w:tcW w:type="dxa" w:w="2052"/>
          </w:tcPr>
          <w:p>
            <w:pPr>
              <w:spacing w:before="40" w:after="40"/>
              <w:jc w:val="center"/>
            </w:pPr>
            <w:r>
              <w:rPr>
                <w:rFonts w:ascii="Book Antiqua" w:hAnsi="Book Antiqua"/>
                <w:b w:val="0"/>
                <w:i w:val="0"/>
                <w:color w:val="000000"/>
                <w:sz w:val="20"/>
              </w:rPr>
              <w:t>17.26 ms</w:t>
            </w:r>
          </w:p>
        </w:tc>
        <w:tc>
          <w:tcPr>
            <w:tcW w:type="dxa" w:w="2052"/>
          </w:tcPr>
          <w:p>
            <w:pPr>
              <w:spacing w:before="40" w:after="40"/>
              <w:jc w:val="center"/>
            </w:pPr>
            <w:r>
              <w:rPr>
                <w:rFonts w:ascii="Book Antiqua" w:hAnsi="Book Antiqua"/>
                <w:b w:val="0"/>
                <w:i w:val="0"/>
                <w:color w:val="000000"/>
                <w:sz w:val="20"/>
              </w:rPr>
              <w:t>19.89 ms</w:t>
            </w:r>
          </w:p>
        </w:tc>
        <w:tc>
          <w:tcPr>
            <w:tcW w:type="dxa" w:w="2052"/>
          </w:tcPr>
          <w:p>
            <w:pPr>
              <w:spacing w:before="40" w:after="40"/>
              <w:jc w:val="center"/>
            </w:pPr>
            <w:r>
              <w:rPr>
                <w:rFonts w:ascii="Book Antiqua" w:hAnsi="Book Antiqua"/>
                <w:b w:val="0"/>
                <w:i w:val="0"/>
                <w:color w:val="000000"/>
                <w:sz w:val="20"/>
              </w:rPr>
              <w:t>+2.63 ms (+15.24%)</w:t>
            </w:r>
          </w:p>
        </w:tc>
      </w:tr>
      <w:tr>
        <w:tc>
          <w:tcPr>
            <w:tcW w:type="dxa" w:w="2052"/>
          </w:tcPr>
          <w:p>
            <w:pPr>
              <w:spacing w:before="40" w:after="40"/>
              <w:jc w:val="left"/>
            </w:pPr>
            <w:r>
              <w:rPr>
                <w:rFonts w:ascii="Book Antiqua" w:hAnsi="Book Antiqua"/>
                <w:b w:val="0"/>
                <w:i w:val="0"/>
                <w:color w:val="000000"/>
                <w:sz w:val="20"/>
              </w:rPr>
              <w:t>Percentil 50 (Mediana / p50)</w:t>
            </w:r>
          </w:p>
        </w:tc>
        <w:tc>
          <w:tcPr>
            <w:tcW w:type="dxa" w:w="2052"/>
          </w:tcPr>
          <w:p>
            <w:pPr>
              <w:spacing w:before="40" w:after="40"/>
              <w:jc w:val="center"/>
            </w:pPr>
            <w:r>
              <w:rPr>
                <w:rFonts w:ascii="Book Antiqua" w:hAnsi="Book Antiqua"/>
                <w:b w:val="0"/>
                <w:i w:val="0"/>
                <w:color w:val="000000"/>
                <w:sz w:val="20"/>
              </w:rPr>
              <w:t>15.37 ms</w:t>
            </w:r>
          </w:p>
        </w:tc>
        <w:tc>
          <w:tcPr>
            <w:tcW w:type="dxa" w:w="2052"/>
          </w:tcPr>
          <w:p>
            <w:pPr>
              <w:spacing w:before="40" w:after="40"/>
              <w:jc w:val="center"/>
            </w:pPr>
            <w:r>
              <w:rPr>
                <w:rFonts w:ascii="Book Antiqua" w:hAnsi="Book Antiqua"/>
                <w:b w:val="0"/>
                <w:i w:val="0"/>
                <w:color w:val="000000"/>
                <w:sz w:val="20"/>
              </w:rPr>
              <w:t>18.42 ms</w:t>
            </w:r>
          </w:p>
        </w:tc>
        <w:tc>
          <w:tcPr>
            <w:tcW w:type="dxa" w:w="2052"/>
          </w:tcPr>
          <w:p>
            <w:pPr>
              <w:spacing w:before="40" w:after="40"/>
              <w:jc w:val="center"/>
            </w:pPr>
            <w:r>
              <w:rPr>
                <w:rFonts w:ascii="Book Antiqua" w:hAnsi="Book Antiqua"/>
                <w:b w:val="0"/>
                <w:i w:val="0"/>
                <w:color w:val="000000"/>
                <w:sz w:val="20"/>
              </w:rPr>
              <w:t>+3.05 ms</w:t>
            </w:r>
          </w:p>
        </w:tc>
      </w:tr>
      <w:tr>
        <w:tc>
          <w:tcPr>
            <w:tcW w:type="dxa" w:w="2052"/>
          </w:tcPr>
          <w:p>
            <w:pPr>
              <w:spacing w:before="40" w:after="40"/>
              <w:jc w:val="left"/>
            </w:pPr>
            <w:r>
              <w:rPr>
                <w:rFonts w:ascii="Book Antiqua" w:hAnsi="Book Antiqua"/>
                <w:b w:val="0"/>
                <w:i w:val="0"/>
                <w:color w:val="000000"/>
                <w:sz w:val="20"/>
              </w:rPr>
              <w:t>Percentil 95 (p95)</w:t>
            </w:r>
          </w:p>
        </w:tc>
        <w:tc>
          <w:tcPr>
            <w:tcW w:type="dxa" w:w="2052"/>
          </w:tcPr>
          <w:p>
            <w:pPr>
              <w:spacing w:before="40" w:after="40"/>
              <w:jc w:val="center"/>
            </w:pPr>
            <w:r>
              <w:rPr>
                <w:rFonts w:ascii="Book Antiqua" w:hAnsi="Book Antiqua"/>
                <w:b w:val="0"/>
                <w:i w:val="0"/>
                <w:color w:val="000000"/>
                <w:sz w:val="20"/>
              </w:rPr>
              <w:t>31.49 ms</w:t>
            </w:r>
          </w:p>
        </w:tc>
        <w:tc>
          <w:tcPr>
            <w:tcW w:type="dxa" w:w="2052"/>
          </w:tcPr>
          <w:p>
            <w:pPr>
              <w:spacing w:before="40" w:after="40"/>
              <w:jc w:val="center"/>
            </w:pPr>
            <w:r>
              <w:rPr>
                <w:rFonts w:ascii="Book Antiqua" w:hAnsi="Book Antiqua"/>
                <w:b w:val="0"/>
                <w:i w:val="0"/>
                <w:color w:val="000000"/>
                <w:sz w:val="20"/>
              </w:rPr>
              <w:t>32.63 ms</w:t>
            </w:r>
          </w:p>
        </w:tc>
        <w:tc>
          <w:tcPr>
            <w:tcW w:type="dxa" w:w="2052"/>
          </w:tcPr>
          <w:p>
            <w:pPr>
              <w:spacing w:before="40" w:after="40"/>
              <w:jc w:val="center"/>
            </w:pPr>
            <w:r>
              <w:rPr>
                <w:rFonts w:ascii="Book Antiqua" w:hAnsi="Book Antiqua"/>
                <w:b w:val="0"/>
                <w:i w:val="0"/>
                <w:color w:val="000000"/>
                <w:sz w:val="20"/>
              </w:rPr>
              <w:t>+1.14 ms</w:t>
            </w:r>
          </w:p>
        </w:tc>
      </w:tr>
      <w:tr>
        <w:tc>
          <w:tcPr>
            <w:tcW w:type="dxa" w:w="2052"/>
          </w:tcPr>
          <w:p>
            <w:pPr>
              <w:spacing w:before="40" w:after="40"/>
              <w:jc w:val="left"/>
            </w:pPr>
            <w:r>
              <w:rPr>
                <w:rFonts w:ascii="Book Antiqua" w:hAnsi="Book Antiqua"/>
                <w:b w:val="0"/>
                <w:i w:val="0"/>
                <w:color w:val="000000"/>
                <w:sz w:val="20"/>
              </w:rPr>
              <w:t>Percentil 99 (p99)</w:t>
            </w:r>
          </w:p>
        </w:tc>
        <w:tc>
          <w:tcPr>
            <w:tcW w:type="dxa" w:w="2052"/>
          </w:tcPr>
          <w:p>
            <w:pPr>
              <w:spacing w:before="40" w:after="40"/>
              <w:jc w:val="center"/>
            </w:pPr>
            <w:r>
              <w:rPr>
                <w:rFonts w:ascii="Book Antiqua" w:hAnsi="Book Antiqua"/>
                <w:b w:val="0"/>
                <w:i w:val="0"/>
                <w:color w:val="000000"/>
                <w:sz w:val="20"/>
              </w:rPr>
              <w:t>43.75 ms</w:t>
            </w:r>
          </w:p>
        </w:tc>
        <w:tc>
          <w:tcPr>
            <w:tcW w:type="dxa" w:w="2052"/>
          </w:tcPr>
          <w:p>
            <w:pPr>
              <w:spacing w:before="40" w:after="40"/>
              <w:jc w:val="center"/>
            </w:pPr>
            <w:r>
              <w:rPr>
                <w:rFonts w:ascii="Book Antiqua" w:hAnsi="Book Antiqua"/>
                <w:b w:val="0"/>
                <w:i w:val="0"/>
                <w:color w:val="000000"/>
                <w:sz w:val="20"/>
              </w:rPr>
              <w:t>38.24 ms</w:t>
            </w:r>
          </w:p>
        </w:tc>
        <w:tc>
          <w:tcPr>
            <w:tcW w:type="dxa" w:w="2052"/>
          </w:tcPr>
          <w:p>
            <w:pPr>
              <w:spacing w:before="40" w:after="40"/>
              <w:jc w:val="center"/>
            </w:pPr>
            <w:r>
              <w:rPr>
                <w:rFonts w:ascii="Book Antiqua" w:hAnsi="Book Antiqua"/>
                <w:b w:val="0"/>
                <w:i w:val="0"/>
                <w:color w:val="000000"/>
                <w:sz w:val="20"/>
              </w:rPr>
              <w:t>-5.51 ms (-12.59%)</w:t>
            </w:r>
          </w:p>
        </w:tc>
      </w:tr>
      <w:tr>
        <w:tc>
          <w:tcPr>
            <w:tcW w:type="dxa" w:w="2052"/>
          </w:tcPr>
          <w:p>
            <w:pPr>
              <w:spacing w:before="40" w:after="40"/>
              <w:jc w:val="left"/>
            </w:pPr>
            <w:r>
              <w:rPr>
                <w:rFonts w:ascii="Book Antiqua" w:hAnsi="Book Antiqua"/>
                <w:b w:val="0"/>
                <w:i w:val="0"/>
                <w:color w:val="000000"/>
                <w:sz w:val="20"/>
              </w:rPr>
              <w:t>Tasa de Error HTTP (Error Rate)</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r>
    </w:tbl>
    <w:p>
      <w:pPr>
        <w:spacing w:before="80" w:after="160"/>
      </w:pPr>
      <w:r>
        <w:rPr>
          <w:rFonts w:ascii="Book Antiqua" w:hAnsi="Book Antiqua"/>
          <w:b w:val="0"/>
          <w:i/>
          <w:color w:val="000000"/>
          <w:sz w:val="18"/>
        </w:rPr>
        <w:t>Nota: Mediciones empíricas recopiladas bajo 300 peticiones concurrentes (concurrencia=10) sobre una estación de trabajo con procesador Intel Core Ultra 5 245KF, 32 GB RAM DDR5 y almacenamiento NVMe PCIe 4.0 en Docker Desktop (PostgreSQL 15 / PostGIS 3.3).</w:t>
      </w:r>
    </w:p>
    <w:p>
      <w:pPr>
        <w:spacing w:after="80" w:line="240" w:lineRule="auto"/>
        <w:ind w:firstLine="432"/>
      </w:pPr>
      <w:r>
        <w:rPr>
          <w:rFonts w:ascii="Book Antiqua" w:hAnsi="Book Antiqua"/>
          <w:b w:val="0"/>
          <w:i w:val="0"/>
          <w:color w:val="000000"/>
          <w:sz w:val="22"/>
        </w:rPr>
        <w:t>Para medir la resiliencia bajo estrés progresivo, se evaluó una serie de concurrencia escalonada de 1 a 100 clientes concurrentes. Como se evidencia en la Figura 3(a), el throughput de la arquitectura mitigada escala eficientemente alcanzando una meseta estable superior a 450 req/s sin degradación por bloqueos. Asimismo, la Figura 3(b) revela que la arquitectura mitigada neutraliza los picos severos de latencia de cola observados en la API vulnerable bajo baja concurrencia (140.8 ms frente a 33.1 ms a 5 clientes). A niveles de estrés elevados (50 a 100 clientes), el percentil 99 de la versión mitigada experimenta un incremento moderado (~101 ms vs. ~62 ms), atribuible a la serialización y sobrecosto de CPU en la capa de aplicación (Pydantic/ORM), lo que representa un compromiso aceptable frente a las garantías de seguridad obtenidas.</w:t>
      </w:r>
    </w:p>
    <w:p>
      <w:pPr>
        <w:keepNext/>
        <w:spacing w:before="160" w:after="40"/>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2_concurrency_latency.png"/>
                    <pic:cNvPicPr/>
                  </pic:nvPicPr>
                  <pic:blipFill>
                    <a:blip r:embed="rId21"/>
                    <a:stretch>
                      <a:fillRect/>
                    </a:stretch>
                  </pic:blipFill>
                  <pic:spPr>
                    <a:xfrm>
                      <a:off x="0" y="0"/>
                      <a:ext cx="5303520" cy="2039815"/>
                    </a:xfrm>
                    <a:prstGeom prst="rect"/>
                  </pic:spPr>
                </pic:pic>
              </a:graphicData>
            </a:graphic>
          </wp:inline>
        </w:drawing>
      </w:r>
    </w:p>
    <w:p>
      <w:pPr>
        <w:spacing w:before="120" w:after="160"/>
        <w:jc w:val="center"/>
      </w:pPr>
      <w:r>
        <w:rPr>
          <w:rFonts w:ascii="Book Antiqua" w:hAnsi="Book Antiqua"/>
          <w:b/>
          <w:i w:val="0"/>
          <w:color w:val="000000"/>
          <w:sz w:val="20"/>
        </w:rPr>
        <w:t>Figura 3. Comparativa empírica de rendimiento (Throughput) y percentiles de latencia (p50 y p99) ante concurrencia escalonada (1 a 100 clientes)</w:t>
      </w:r>
    </w:p>
    <w:p>
      <w:pPr>
        <w:keepNext/>
        <w:spacing w:before="240" w:after="80"/>
      </w:pPr>
      <w:r>
        <w:rPr>
          <w:rFonts w:ascii="Book Antiqua" w:hAnsi="Book Antiqua"/>
          <w:b/>
          <w:i w:val="0"/>
          <w:color w:val="000000"/>
          <w:sz w:val="24"/>
        </w:rPr>
        <w:t>6. Discusión</w:t>
      </w:r>
    </w:p>
    <w:p>
      <w:pPr>
        <w:spacing w:after="80" w:line="240" w:lineRule="auto"/>
      </w:pPr>
      <w:r>
        <w:rPr>
          <w:rFonts w:ascii="Book Antiqua" w:hAnsi="Book Antiqua"/>
          <w:b w:val="0"/>
          <w:i w:val="0"/>
          <w:color w:val="000000"/>
          <w:sz w:val="22"/>
        </w:rPr>
        <w:t>Los resultados empíricos demuestran que la mitigación basada en GeoAlchemy2 y validación previa con Shapely introduce un overhead de latencia media de apenas 2.63 milisegundos por petición (+15.24%), manteniendo un throughput de 484.36 peticiones por segundo. Un aspecto relevante para el diseño de software es el comportamiento en el percentil 99 (p99): en la prueba de carga estandarizada (10 clientes), la latencia de cola disminuyó de 43.75 ms a 38.24 ms (-12.59%) gracias a la reutilización eficiente de planes de ejecución preparados (prepared statements) en PostgreSQL al evitar el re-parseo continuo de consultas dinámicas, mientras que bajo estrés masivo concurrente el sobrecosto de serialización en la capa de aplicación modula la respuesta sin comprometer la estabilidad ni registrar fallos (0.0%). Este incremento marginal en el promedio es insignificante frente a la ganancia de seguridad, neutralizando la exfiltración masiva de datos catastrales, el canal lateral de error y la denegación de servicio espacial. Se concluye que los WAFs tradicionales son ineficaces ante payloads espaciales, demandando esquemas de validación sintáctica con conciencia espacial integrados en el código de la aplicación.</w:t>
      </w:r>
    </w:p>
    <w:p>
      <w:pPr>
        <w:spacing w:after="80" w:line="240" w:lineRule="auto"/>
        <w:ind w:firstLine="432"/>
      </w:pPr>
      <w:r>
        <w:rPr>
          <w:rFonts w:ascii="Book Antiqua" w:hAnsi="Book Antiqua"/>
          <w:b w:val="0"/>
          <w:i w:val="0"/>
          <w:color w:val="000000"/>
          <w:sz w:val="22"/>
        </w:rPr>
        <w:t>La Figura 4 sintetiza la tasa de mitigación y bloqueo de ataques (%) a través de los seis vectores evaluados, contrastando una arquitectura desprotegida, un WAF tradicional basado en firmas (OWASP ModSecurity Core Rule Set) y el pipeline propuesto. Mientras que el WAF genérico no logra identificar los ataques espaciales (0% a 20% de bloqueo en vectores topológicos como ST_DWithin y ST_Intersects al carecer de gramática geoespacial), el bloqueo residual del 15% al 20% registrado por el WAF en V1 y V2 se debió exclusivamente a la detección de tokens SQL convencionales (como operadores booleanos OR o comillas desparejadas) en ciertas variantes del payload, y no a una inspección semántica de las funciones topológicas subyacentes, como lo demuestra su inoperancia absoluta (0%) frente al vector DoS en V3. En contraste, el pipeline de tres barreras logra un bloqueo completo del 100% en todos los vectores evaluados de la tríada CIA.</w:t>
      </w:r>
    </w:p>
    <w:p>
      <w:pPr>
        <w:keepNext/>
        <w:spacing w:before="160" w:after="40"/>
        <w:jc w:val="center"/>
      </w:pPr>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fig4_attack_mitigation_matrix.png"/>
                    <pic:cNvPicPr/>
                  </pic:nvPicPr>
                  <pic:blipFill>
                    <a:blip r:embed="rId22"/>
                    <a:stretch>
                      <a:fillRect/>
                    </a:stretch>
                  </pic:blipFill>
                  <pic:spPr>
                    <a:xfrm>
                      <a:off x="0" y="0"/>
                      <a:ext cx="5303520" cy="2209800"/>
                    </a:xfrm>
                    <a:prstGeom prst="rect"/>
                  </pic:spPr>
                </pic:pic>
              </a:graphicData>
            </a:graphic>
          </wp:inline>
        </w:drawing>
      </w:r>
    </w:p>
    <w:p>
      <w:pPr>
        <w:spacing w:before="120" w:after="160"/>
        <w:jc w:val="center"/>
      </w:pPr>
      <w:r>
        <w:rPr>
          <w:rFonts w:ascii="Book Antiqua" w:hAnsi="Book Antiqua"/>
          <w:b/>
          <w:i w:val="0"/>
          <w:color w:val="000000"/>
          <w:sz w:val="20"/>
        </w:rPr>
        <w:t>Figura 4. Tasa de mitigación y bloqueo de ataques (%) entre arquitectura desprotegida, WAF tradicional (OWASP CRS) y pipeline propuesto</w:t>
      </w:r>
    </w:p>
    <w:p>
      <w:pPr>
        <w:spacing w:after="80" w:line="240" w:lineRule="auto"/>
        <w:ind w:firstLine="432"/>
      </w:pPr>
      <w:r>
        <w:rPr>
          <w:rFonts w:ascii="Book Antiqua" w:hAnsi="Book Antiqua"/>
          <w:b/>
          <w:i w:val="0"/>
          <w:color w:val="000000"/>
          <w:sz w:val="22"/>
        </w:rPr>
        <w:t xml:space="preserve">Independencia de plataforma y validez del benchmarking. </w:t>
      </w:r>
      <w:r>
        <w:rPr>
          <w:rFonts w:ascii="Book Antiqua" w:hAnsi="Book Antiqua"/>
          <w:b w:val="0"/>
          <w:i w:val="0"/>
          <w:color w:val="000000"/>
          <w:sz w:val="22"/>
        </w:rPr>
        <w:t>Si bien las métricas absolutas de latencia se obtuvieron sobre una estación de trabajo con procesador Intel Core Ultra 5 245KF, la validez metodológica y la generalización de los resultados radican en las proporciones relativas (+15.24% de sobrecosto medio y -12.59% de mejora en cola p99) y en las complejidades asintóticas computacionales. En servidores gubernamentales o instancias de nube con recursos más restringidos (frecuentes en gobiernos locales), el costo computacional del preprocesamiento en Python (GeoAlchemy2/Shapely) sigue siendo despreciable frente a los cuellos de botella dominantes de I/O en disco y concurrencia relacional. Por el contrario, la ausencia de mitigación frente a ataques de complejidad algorítmica (O(N^2)) como el Spatial DoS (Simulación 3) resulta crítica en procesadores de gama de entrada con menor paralelismo, donde unas pocas consultas maliciosas bloquean de inmediato la totalidad del servicio catastral.</w:t>
      </w:r>
    </w:p>
    <w:p>
      <w:pPr>
        <w:spacing w:after="80" w:line="240" w:lineRule="auto"/>
        <w:ind w:firstLine="432"/>
      </w:pPr>
      <w:r>
        <w:rPr>
          <w:rFonts w:ascii="Book Antiqua" w:hAnsi="Book Antiqua"/>
          <w:b/>
          <w:i w:val="0"/>
          <w:color w:val="000000"/>
          <w:sz w:val="22"/>
        </w:rPr>
        <w:t xml:space="preserve">Impacto sistémico en la integridad de trámites y datos catastrales. </w:t>
      </w:r>
      <w:r>
        <w:rPr>
          <w:rFonts w:ascii="Book Antiqua" w:hAnsi="Book Antiqua"/>
          <w:b w:val="0"/>
          <w:i w:val="0"/>
          <w:color w:val="000000"/>
          <w:sz w:val="22"/>
        </w:rPr>
        <w:t>La viabilidad empírica de la Simulación 4 (manipulación de autovalúo y titularidad mediante inyección directa) demuestra cómo un fallo a nivel de persistencia relacional trasciende la alteración de una tabla y compromete la validez de los trámites de gobierno electrónico municipal. Cuando los sistemas catastrales interoperan automáticamente para emitir certificados catastrales con validación criptográfica QR, constancias de no adeudo fiscal o minutas de transferencia inmobiliaria bajo ISO 19152 LADM, la inyección de datos arbitrarios en catastro_titulares y tg_lote propaga inconsistencias fiscales y registrales sin activar alertas en la interfaz de usuario, evidenciando que la sanitización tipada en el ORM es una salvaguarda indispensable para la fiabilidad de los servicios públicos digitales.</w:t>
      </w:r>
    </w:p>
    <w:p>
      <w:pPr>
        <w:keepNext/>
        <w:spacing w:before="240" w:after="80"/>
      </w:pPr>
      <w:r>
        <w:rPr>
          <w:rFonts w:ascii="Book Antiqua" w:hAnsi="Book Antiqua"/>
          <w:b/>
          <w:i w:val="0"/>
          <w:color w:val="000000"/>
          <w:sz w:val="24"/>
        </w:rPr>
        <w:t>7. Conclusiones y Recomendaciones</w:t>
      </w:r>
    </w:p>
    <w:p>
      <w:pPr>
        <w:spacing w:after="80" w:line="240" w:lineRule="auto"/>
      </w:pPr>
      <w:r>
        <w:rPr>
          <w:rFonts w:ascii="Book Antiqua" w:hAnsi="Book Antiqua"/>
          <w:b w:val="0"/>
          <w:i w:val="0"/>
          <w:color w:val="000000"/>
          <w:sz w:val="22"/>
        </w:rPr>
        <w:t>Este artículo formalizó y demostró empíricamente la viabilidad de seis vectores de inyección SQL espacial en sistemas de información catastral basados en PostGIS, evidenciando que las funciones topológicas nativas no garantizan aislamiento de datos cuando se construyen mediante concatenación de cadenas. La evaluación experimental sobre 487 parcelas catastrales reales (ISO 19152 LADM) comprobó que atacantes no autenticados pueden evadir límites zonales, reconstruir credenciales mediante canales laterales de error geométrico, inducir denegación de servicio espacial por sobrecarga algorítmica cuadrática, alterar fichas prediales tributarias y ejecutar borrados cartográficos masivos. Frente a ello, la adopción de una arquitectura de defensa en profundidad basada en GeoAlchemy2, tipado rígido con Pydantic y validación topológica previa en memoria con Shapely mitigó con éxito el 100% de los escenarios de explotación evaluados. El benchmarking transaccional demostró que esta seguridad robusta introduce un incremento medio de latencia de apenas 2.63 ms (+15.24%), mejorando simultáneamente la estabilidad en el percentil 99 en un 12.59% gracias a la reutilización de planes de ejecución preparados en PostgreSQL. En conclusión, la seguridad en infraestructuras catastrales exige abandonar el paradigma de sanitización escalar tradicional, adoptando controles sintácticos con conciencia espacial integrados desde el diseño arquitectónico de software.</w:t>
      </w:r>
    </w:p>
    <w:p>
      <w:pPr>
        <w:keepNext/>
        <w:spacing w:before="240" w:after="80"/>
      </w:pPr>
      <w:r>
        <w:rPr>
          <w:rFonts w:ascii="Book Antiqua" w:hAnsi="Book Antiqua"/>
          <w:b/>
          <w:i w:val="0"/>
          <w:color w:val="000000"/>
          <w:sz w:val="24"/>
        </w:rPr>
        <w:t>8. References</w:t>
      </w:r>
    </w:p>
    <w:p>
      <w:pPr>
        <w:spacing w:after="80" w:line="240" w:lineRule="auto"/>
        <w:ind w:left="720" w:hanging="720"/>
      </w:pPr>
      <w:r>
        <w:rPr>
          <w:rFonts w:ascii="Book Antiqua" w:hAnsi="Book Antiqua"/>
          <w:b w:val="0"/>
          <w:i w:val="0"/>
          <w:color w:val="000000"/>
          <w:sz w:val="22"/>
        </w:rPr>
        <w:t>Agarwal, S., &amp; Rajan, K. S. (2016). Performance analysis of MongoDB versus PostGIS/PostgreSQL databases for line intersection and point containment spatial queries. Spatial Information Research, 24(6), 669–677. https://doi.org/10.1007/s41324-016-0059-1</w:t>
      </w:r>
    </w:p>
    <w:p>
      <w:pPr>
        <w:spacing w:after="80" w:line="240" w:lineRule="auto"/>
        <w:ind w:left="720" w:hanging="720"/>
      </w:pPr>
      <w:r>
        <w:rPr>
          <w:rFonts w:ascii="Book Antiqua" w:hAnsi="Book Antiqua"/>
          <w:b w:val="0"/>
          <w:i w:val="0"/>
          <w:color w:val="000000"/>
          <w:sz w:val="22"/>
        </w:rPr>
        <w:t>Atluri, V., &amp; Chun, S. A. (2004). An authorization model for geospatial data. IEEE Transactions on Dependable and Secure Computing, 1(4), 238–254. https://doi.org/10.1109/TDSC.2004.34</w:t>
      </w:r>
    </w:p>
    <w:p>
      <w:pPr>
        <w:spacing w:after="80" w:line="240" w:lineRule="auto"/>
        <w:ind w:left="720" w:hanging="720"/>
      </w:pPr>
      <w:r>
        <w:rPr>
          <w:rFonts w:ascii="Book Antiqua" w:hAnsi="Book Antiqua"/>
          <w:b w:val="0"/>
          <w:i w:val="0"/>
          <w:color w:val="000000"/>
          <w:sz w:val="22"/>
        </w:rPr>
        <w:t>Bertino, E., Catania, B., &amp; Damiani, M. L. (2005). GEO-RBAC: A spatially aware RBAC. In Proceedings of the 10th ACM Symposium on Access Control Models and Technologies (SACMAT '05) (pp. 29–37). Association for Computing Machinery. https://doi.org/10.1145/1063979.1063985</w:t>
      </w:r>
    </w:p>
    <w:p>
      <w:pPr>
        <w:spacing w:after="80" w:line="240" w:lineRule="auto"/>
        <w:ind w:left="720" w:hanging="720"/>
      </w:pPr>
      <w:r>
        <w:rPr>
          <w:rFonts w:ascii="Book Antiqua" w:hAnsi="Book Antiqua"/>
          <w:b w:val="0"/>
          <w:i w:val="0"/>
          <w:color w:val="000000"/>
          <w:sz w:val="22"/>
        </w:rPr>
        <w:t>Chun, S. A., &amp; Atluri, V. (2008). Geospatial database security. In H. Chen, T. S. Raghu, R. Ramesh, R. Sharman, &amp; S. Chakravarty (Eds.), Handbook of Database Security: Applications and Trends (pp. 251–277). Springer. https://doi.org/10.1007/978-0-387-48533-1_11</w:t>
      </w:r>
    </w:p>
    <w:p>
      <w:pPr>
        <w:spacing w:after="80" w:line="240" w:lineRule="auto"/>
        <w:ind w:left="720" w:hanging="720"/>
      </w:pPr>
      <w:r>
        <w:rPr>
          <w:rFonts w:ascii="Book Antiqua" w:hAnsi="Book Antiqua"/>
          <w:b w:val="0"/>
          <w:i w:val="0"/>
          <w:color w:val="000000"/>
          <w:sz w:val="22"/>
        </w:rPr>
        <w:t>Clarke, J. (2012). SQL Injection Attacks and Defense (2nd ed.). Syngress / Elsevier.</w:t>
      </w:r>
    </w:p>
    <w:p>
      <w:pPr>
        <w:spacing w:after="80" w:line="240" w:lineRule="auto"/>
        <w:ind w:left="720" w:hanging="720"/>
      </w:pPr>
      <w:r>
        <w:rPr>
          <w:rFonts w:ascii="Book Antiqua" w:hAnsi="Book Antiqua"/>
          <w:b w:val="0"/>
          <w:i w:val="0"/>
          <w:color w:val="000000"/>
          <w:sz w:val="22"/>
        </w:rPr>
        <w:t>Crosby, S. A., &amp; Wallach, D. S. (2003). Denial of service via algorithmic complexity attacks. In Proceedings of the 12th USENIX Security Symposium (pp. 29–44). USENIX Association.</w:t>
      </w:r>
    </w:p>
    <w:p>
      <w:pPr>
        <w:spacing w:after="80" w:line="240" w:lineRule="auto"/>
        <w:ind w:left="720" w:hanging="720"/>
      </w:pPr>
      <w:r>
        <w:rPr>
          <w:rFonts w:ascii="Book Antiqua" w:hAnsi="Book Antiqua"/>
          <w:b w:val="0"/>
          <w:i w:val="0"/>
          <w:color w:val="000000"/>
          <w:sz w:val="22"/>
        </w:rPr>
        <w:t>Egenhofer, M. J. (1994). Spatial SQL: A query and presentation language. IEEE Transactions on Knowledge and Data Engineering, 6(1), 86–95. https://doi.org/10.1109/69.273029</w:t>
      </w:r>
    </w:p>
    <w:p>
      <w:pPr>
        <w:spacing w:after="80" w:line="240" w:lineRule="auto"/>
        <w:ind w:left="720" w:hanging="720"/>
      </w:pPr>
      <w:r>
        <w:rPr>
          <w:rFonts w:ascii="Book Antiqua" w:hAnsi="Book Antiqua"/>
          <w:b w:val="0"/>
          <w:i w:val="0"/>
          <w:color w:val="000000"/>
          <w:sz w:val="22"/>
        </w:rPr>
        <w:t>Halfond, W. G., Viegas, J., &amp; Orso, A. (2006). A classification of SQL-injection attacks and countermeasures. In Proceedings of the IEEE International Symposium on Secure Software Engineering (ISSSE '06). IEEE.</w:t>
      </w:r>
    </w:p>
    <w:p>
      <w:pPr>
        <w:spacing w:after="80" w:line="240" w:lineRule="auto"/>
        <w:ind w:left="720" w:hanging="720"/>
      </w:pPr>
      <w:r>
        <w:rPr>
          <w:rFonts w:ascii="Book Antiqua" w:hAnsi="Book Antiqua"/>
          <w:b w:val="0"/>
          <w:i w:val="0"/>
          <w:color w:val="000000"/>
          <w:sz w:val="22"/>
        </w:rPr>
        <w:t>Kara, A., Çağdaş, V., Isikdag, U., van Oosterom, P., Lemmen, C., &amp; Stubkjær, E. (2021). Towards the LADM Valuation Information Model: A case study in Turkey. Land Use Policy, 109, 105658. https://doi.org/10.1016/j.landusepol.2021.105658</w:t>
      </w:r>
    </w:p>
    <w:p>
      <w:pPr>
        <w:spacing w:after="80" w:line="240" w:lineRule="auto"/>
        <w:ind w:left="720" w:hanging="720"/>
      </w:pPr>
      <w:r>
        <w:rPr>
          <w:rFonts w:ascii="Book Antiqua" w:hAnsi="Book Antiqua"/>
          <w:b w:val="0"/>
          <w:i w:val="0"/>
          <w:color w:val="000000"/>
          <w:sz w:val="22"/>
        </w:rPr>
        <w:t>Lemmen, C., van Oosterom, P., &amp; Bennett, R. (2015). The Land Administration Domain Model. Land Use Policy, 49, 535–545. https://doi.org/10.1016/j.landusepol.2015.01.014</w:t>
      </w:r>
    </w:p>
    <w:p>
      <w:pPr>
        <w:spacing w:after="80" w:line="240" w:lineRule="auto"/>
        <w:ind w:left="720" w:hanging="720"/>
      </w:pPr>
      <w:r>
        <w:rPr>
          <w:rFonts w:ascii="Book Antiqua" w:hAnsi="Book Antiqua"/>
          <w:b w:val="0"/>
          <w:i w:val="0"/>
          <w:color w:val="000000"/>
          <w:sz w:val="22"/>
        </w:rPr>
        <w:t>National Vulnerability Database. (2023). CVE-2023-25157 Detail: GeoServer SQL Injection Vulnerability. National Institute of Standards and Technology. https://nvd.nist.gov/vuln/detail/CVE-2023-25157</w:t>
      </w:r>
    </w:p>
    <w:p>
      <w:pPr>
        <w:spacing w:after="80" w:line="240" w:lineRule="auto"/>
        <w:ind w:left="720" w:hanging="720"/>
      </w:pPr>
      <w:r>
        <w:rPr>
          <w:rFonts w:ascii="Book Antiqua" w:hAnsi="Book Antiqua"/>
          <w:b w:val="0"/>
          <w:i w:val="0"/>
          <w:color w:val="000000"/>
          <w:sz w:val="22"/>
        </w:rPr>
        <w:t>Obe, R. O., &amp; Hsu, L. S. (2021). PostGIS in Action (3rd ed.). Manning Publications.</w:t>
      </w:r>
    </w:p>
    <w:p>
      <w:pPr>
        <w:spacing w:after="80" w:line="240" w:lineRule="auto"/>
        <w:ind w:left="720" w:hanging="720"/>
      </w:pPr>
      <w:r>
        <w:rPr>
          <w:rFonts w:ascii="Book Antiqua" w:hAnsi="Book Antiqua"/>
          <w:b w:val="0"/>
          <w:i w:val="0"/>
          <w:color w:val="000000"/>
          <w:sz w:val="22"/>
        </w:rPr>
        <w:t>OWASP Foundation. (2021). OWASP Top 10:2021 - The Ten Most Critical Web Application Security Risks. Open Web Application Security Project. https://owasp.org/Top10/</w:t>
      </w:r>
    </w:p>
    <w:p>
      <w:pPr>
        <w:spacing w:after="80" w:line="240" w:lineRule="auto"/>
        <w:ind w:left="720" w:hanging="720"/>
      </w:pPr>
      <w:r>
        <w:rPr>
          <w:rFonts w:ascii="Book Antiqua" w:hAnsi="Book Antiqua"/>
          <w:b w:val="0"/>
          <w:i w:val="0"/>
          <w:color w:val="000000"/>
          <w:sz w:val="22"/>
        </w:rPr>
        <w:t>OWASP Foundation. (2023). Web Security Testing Guide (WSTG v4.2). Open Web Application Security Project. https://owasp.org/www-project-web-security-testing-guide/</w:t>
      </w:r>
    </w:p>
    <w:p>
      <w:pPr>
        <w:spacing w:after="80" w:line="240" w:lineRule="auto"/>
        <w:ind w:left="720" w:hanging="720"/>
      </w:pPr>
      <w:r>
        <w:rPr>
          <w:rFonts w:ascii="Book Antiqua" w:hAnsi="Book Antiqua"/>
          <w:b w:val="0"/>
          <w:i w:val="0"/>
          <w:color w:val="000000"/>
          <w:sz w:val="22"/>
        </w:rPr>
        <w:t>van Oosterom, P., Lemmen, C., &amp; Ingvarsson, T. (2006). The core cadastral domain model. Computers, Environment and Urban Systems, 30(5), 627–660. https://doi.org/10.1016/j.compenvurbsys.2005.12.002</w:t>
      </w:r>
    </w:p>
    <w:p>
      <w:pPr>
        <w:spacing w:before="240" w:after="80"/>
      </w:pPr>
      <w:r>
        <w:rPr>
          <w:rFonts w:ascii="Book Antiqua" w:hAnsi="Book Antiqua"/>
          <w:b/>
          <w:i w:val="0"/>
          <w:color w:val="000000"/>
          <w:sz w:val="22"/>
        </w:rPr>
        <w:t>This paper may be cited as:</w:t>
      </w:r>
    </w:p>
    <w:p>
      <w:pPr>
        <w:spacing w:after="240"/>
        <w:ind w:left="720" w:hanging="720"/>
      </w:pPr>
      <w:r>
        <w:rPr>
          <w:rFonts w:ascii="Book Antiqua" w:hAnsi="Book Antiqua"/>
          <w:b w:val="0"/>
          <w:i w:val="0"/>
          <w:color w:val="000000"/>
          <w:sz w:val="22"/>
        </w:rPr>
        <w:t>Rodrigo, A. (2026). Evaluación de Vulnerabilidades de Inyección SQL Espacial en Sistemas de Información Catastral basados en PostGIS. International Multidisciplinary Journal of Emerging Technologies and Applications, 1(1), 1-8. https://imjeta.org/index.php/IMJETA/libraryFiles/downloadPublic/1</w:t>
      </w:r>
    </w:p>
    <w:p>
      <w:r>
        <w:br w:type="page"/>
      </w:r>
    </w:p>
    <w:p>
      <w:pPr>
        <w:keepNext/>
        <w:spacing w:before="240" w:after="80"/>
      </w:pPr>
      <w:r>
        <w:rPr>
          <w:rFonts w:ascii="Book Antiqua" w:hAnsi="Book Antiqua"/>
          <w:b/>
          <w:i w:val="0"/>
          <w:color w:val="000000"/>
          <w:sz w:val="24"/>
        </w:rPr>
        <w:t>Appendix 1</w:t>
      </w:r>
    </w:p>
    <w:p>
      <w:pPr>
        <w:spacing w:after="80" w:line="240" w:lineRule="auto"/>
      </w:pPr>
      <w:r>
        <w:rPr>
          <w:rFonts w:ascii="Book Antiqua" w:hAnsi="Book Antiqua"/>
          <w:b w:val="0"/>
          <w:i w:val="0"/>
          <w:color w:val="000000"/>
          <w:sz w:val="22"/>
        </w:rPr>
        <w:t>Instrumento de Investigación: Batería de Vectores de Explotación: Operadores Espaciales (V1–V3) y Flujo Catastral / Control (V4–V6). A continuación se detallan los seis vectores de explotación diseñados y ejecutados para evaluar la seguridad de la API catastral:</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18"/>
              </w:rPr>
              <w:t>Vector de Prueba</w:t>
            </w:r>
          </w:p>
        </w:tc>
        <w:tc>
          <w:tcPr>
            <w:tcW w:type="dxa" w:w="2052"/>
          </w:tcPr>
          <w:p>
            <w:pPr>
              <w:spacing w:before="40" w:after="40"/>
              <w:jc w:val="left"/>
            </w:pPr>
            <w:r>
              <w:rPr>
                <w:rFonts w:ascii="Book Antiqua" w:hAnsi="Book Antiqua"/>
                <w:b/>
                <w:i w:val="0"/>
                <w:color w:val="000000"/>
                <w:sz w:val="18"/>
              </w:rPr>
              <w:t>Endpoint Evaluado</w:t>
            </w:r>
          </w:p>
        </w:tc>
        <w:tc>
          <w:tcPr>
            <w:tcW w:type="dxa" w:w="2052"/>
          </w:tcPr>
          <w:p>
            <w:pPr>
              <w:spacing w:before="40" w:after="40"/>
              <w:jc w:val="left"/>
            </w:pPr>
            <w:r>
              <w:rPr>
                <w:rFonts w:ascii="Book Antiqua" w:hAnsi="Book Antiqua"/>
                <w:b/>
                <w:i w:val="0"/>
                <w:color w:val="000000"/>
                <w:sz w:val="18"/>
              </w:rPr>
              <w:t>Payload Representativo</w:t>
            </w:r>
          </w:p>
        </w:tc>
        <w:tc>
          <w:tcPr>
            <w:tcW w:type="dxa" w:w="2052"/>
          </w:tcPr>
          <w:p>
            <w:pPr>
              <w:spacing w:before="40" w:after="40"/>
              <w:jc w:val="left"/>
            </w:pPr>
            <w:r>
              <w:rPr>
                <w:rFonts w:ascii="Book Antiqua" w:hAnsi="Book Antiqua"/>
                <w:b/>
                <w:i w:val="0"/>
                <w:color w:val="000000"/>
                <w:sz w:val="18"/>
              </w:rPr>
              <w:t>Dimensión CIA y Efecto</w:t>
            </w:r>
          </w:p>
        </w:tc>
      </w:tr>
      <w:tr>
        <w:tc>
          <w:tcPr>
            <w:tcW w:type="dxa" w:w="2052"/>
          </w:tcPr>
          <w:p>
            <w:pPr>
              <w:spacing w:before="40" w:after="40"/>
              <w:jc w:val="left"/>
            </w:pPr>
            <w:r>
              <w:rPr>
                <w:rFonts w:ascii="Book Antiqua" w:hAnsi="Book Antiqua"/>
                <w:b w:val="0"/>
                <w:i w:val="0"/>
                <w:color w:val="000000"/>
                <w:sz w:val="18"/>
              </w:rPr>
              <w:t>1. Evasión Lógica</w:t>
            </w:r>
          </w:p>
        </w:tc>
        <w:tc>
          <w:tcPr>
            <w:tcW w:type="dxa" w:w="2052"/>
          </w:tcPr>
          <w:p>
            <w:pPr>
              <w:spacing w:before="40" w:after="40"/>
              <w:jc w:val="left"/>
            </w:pPr>
            <w:r>
              <w:rPr>
                <w:rFonts w:ascii="Book Antiqua" w:hAnsi="Book Antiqua"/>
                <w:b w:val="0"/>
                <w:i w:val="0"/>
                <w:color w:val="000000"/>
                <w:sz w:val="18"/>
              </w:rPr>
              <w:t>GET /api/v1/vulnerable/predios/radio</w:t>
            </w:r>
          </w:p>
        </w:tc>
        <w:tc>
          <w:tcPr>
            <w:tcW w:type="dxa" w:w="2052"/>
          </w:tcPr>
          <w:p>
            <w:pPr>
              <w:spacing w:before="40" w:after="40"/>
              <w:jc w:val="left"/>
            </w:pPr>
            <w:r>
              <w:rPr>
                <w:rFonts w:ascii="Book Antiqua" w:hAnsi="Book Antiqua"/>
                <w:b w:val="0"/>
                <w:i w:val="0"/>
                <w:color w:val="000000"/>
                <w:sz w:val="18"/>
              </w:rPr>
              <w:t>50) OR 1=1 --</w:t>
            </w:r>
          </w:p>
        </w:tc>
        <w:tc>
          <w:tcPr>
            <w:tcW w:type="dxa" w:w="2052"/>
          </w:tcPr>
          <w:p>
            <w:pPr>
              <w:spacing w:before="40" w:after="40"/>
              <w:jc w:val="left"/>
            </w:pPr>
            <w:r>
              <w:rPr>
                <w:rFonts w:ascii="Book Antiqua" w:hAnsi="Book Antiqua"/>
                <w:b w:val="0"/>
                <w:i w:val="0"/>
                <w:color w:val="000000"/>
                <w:sz w:val="18"/>
              </w:rPr>
              <w:t>Confidencialidad: Exfiltración de predios de sectores restringidos.</w:t>
            </w:r>
          </w:p>
        </w:tc>
      </w:tr>
      <w:tr>
        <w:tc>
          <w:tcPr>
            <w:tcW w:type="dxa" w:w="2052"/>
          </w:tcPr>
          <w:p>
            <w:pPr>
              <w:spacing w:before="40" w:after="40"/>
              <w:jc w:val="left"/>
            </w:pPr>
            <w:r>
              <w:rPr>
                <w:rFonts w:ascii="Book Antiqua" w:hAnsi="Book Antiqua"/>
                <w:b w:val="0"/>
                <w:i w:val="0"/>
                <w:color w:val="000000"/>
                <w:sz w:val="18"/>
              </w:rPr>
              <w:t>2. Canal Lateral Ciego</w:t>
            </w:r>
          </w:p>
        </w:tc>
        <w:tc>
          <w:tcPr>
            <w:tcW w:type="dxa" w:w="2052"/>
          </w:tcPr>
          <w:p>
            <w:pPr>
              <w:spacing w:before="40" w:after="40"/>
              <w:jc w:val="left"/>
            </w:pPr>
            <w:r>
              <w:rPr>
                <w:rFonts w:ascii="Book Antiqua" w:hAnsi="Book Antiqua"/>
                <w:b w:val="0"/>
                <w:i w:val="0"/>
                <w:color w:val="000000"/>
                <w:sz w:val="18"/>
              </w:rPr>
              <w:t>GET /api/v1/vulnerable/predios/poligono</w:t>
            </w:r>
          </w:p>
        </w:tc>
        <w:tc>
          <w:tcPr>
            <w:tcW w:type="dxa" w:w="2052"/>
          </w:tcPr>
          <w:p>
            <w:pPr>
              <w:spacing w:before="40" w:after="40"/>
              <w:jc w:val="left"/>
            </w:pPr>
            <w:r>
              <w:rPr>
                <w:rFonts w:ascii="Book Antiqua" w:hAnsi="Book Antiqua"/>
                <w:b w:val="0"/>
                <w:i w:val="0"/>
                <w:color w:val="000000"/>
                <w:sz w:val="18"/>
              </w:rPr>
              <w:t>POLYGON(...) AND 1=(CASE WHEN ... THEN CAST(ST_GeomFromText('ERR') AS INT) ELSE 1 END)</w:t>
            </w:r>
          </w:p>
        </w:tc>
        <w:tc>
          <w:tcPr>
            <w:tcW w:type="dxa" w:w="2052"/>
          </w:tcPr>
          <w:p>
            <w:pPr>
              <w:spacing w:before="40" w:after="40"/>
              <w:jc w:val="left"/>
            </w:pPr>
            <w:r>
              <w:rPr>
                <w:rFonts w:ascii="Book Antiqua" w:hAnsi="Book Antiqua"/>
                <w:b w:val="0"/>
                <w:i w:val="0"/>
                <w:color w:val="000000"/>
                <w:sz w:val="18"/>
              </w:rPr>
              <w:t>Confidencialidad: Exfiltración carácter por carácter de hashes.</w:t>
            </w:r>
          </w:p>
        </w:tc>
      </w:tr>
      <w:tr>
        <w:tc>
          <w:tcPr>
            <w:tcW w:type="dxa" w:w="2052"/>
          </w:tcPr>
          <w:p>
            <w:pPr>
              <w:spacing w:before="40" w:after="40"/>
              <w:jc w:val="left"/>
            </w:pPr>
            <w:r>
              <w:rPr>
                <w:rFonts w:ascii="Book Antiqua" w:hAnsi="Book Antiqua"/>
                <w:b w:val="0"/>
                <w:i w:val="0"/>
                <w:color w:val="000000"/>
                <w:sz w:val="18"/>
              </w:rPr>
              <w:t>3. DoS Algorítmico</w:t>
            </w:r>
          </w:p>
        </w:tc>
        <w:tc>
          <w:tcPr>
            <w:tcW w:type="dxa" w:w="2052"/>
          </w:tcPr>
          <w:p>
            <w:pPr>
              <w:spacing w:before="40" w:after="40"/>
              <w:jc w:val="left"/>
            </w:pPr>
            <w:r>
              <w:rPr>
                <w:rFonts w:ascii="Book Antiqua" w:hAnsi="Book Antiqua"/>
                <w:b w:val="0"/>
                <w:i w:val="0"/>
                <w:color w:val="000000"/>
                <w:sz w:val="18"/>
              </w:rPr>
              <w:t>GET /api/v1/vulnerable/predios/analisis-expansion</w:t>
            </w:r>
          </w:p>
        </w:tc>
        <w:tc>
          <w:tcPr>
            <w:tcW w:type="dxa" w:w="2052"/>
          </w:tcPr>
          <w:p>
            <w:pPr>
              <w:spacing w:before="40" w:after="40"/>
              <w:jc w:val="left"/>
            </w:pPr>
            <w:r>
              <w:rPr>
                <w:rFonts w:ascii="Book Antiqua" w:hAnsi="Book Antiqua"/>
                <w:b w:val="0"/>
                <w:i w:val="0"/>
                <w:color w:val="000000"/>
                <w:sz w:val="18"/>
              </w:rPr>
              <w:t>10 + (SELECT COUNT(*) FROM tg_lote a CROSS JOIN ... ST_Buffer(..., 100))</w:t>
            </w:r>
          </w:p>
        </w:tc>
        <w:tc>
          <w:tcPr>
            <w:tcW w:type="dxa" w:w="2052"/>
          </w:tcPr>
          <w:p>
            <w:pPr>
              <w:spacing w:before="40" w:after="40"/>
              <w:jc w:val="left"/>
            </w:pPr>
            <w:r>
              <w:rPr>
                <w:rFonts w:ascii="Book Antiqua" w:hAnsi="Book Antiqua"/>
                <w:b w:val="0"/>
                <w:i w:val="0"/>
                <w:color w:val="000000"/>
                <w:sz w:val="18"/>
              </w:rPr>
              <w:t>Disponibilidad: Explosión combinatoria O(N^2), saturación de CPU.</w:t>
            </w:r>
          </w:p>
        </w:tc>
      </w:tr>
      <w:tr>
        <w:tc>
          <w:tcPr>
            <w:tcW w:type="dxa" w:w="2052"/>
          </w:tcPr>
          <w:p>
            <w:pPr>
              <w:spacing w:before="40" w:after="40"/>
              <w:jc w:val="left"/>
            </w:pPr>
            <w:r>
              <w:rPr>
                <w:rFonts w:ascii="Book Antiqua" w:hAnsi="Book Antiqua"/>
                <w:b w:val="0"/>
                <w:i w:val="0"/>
                <w:color w:val="000000"/>
                <w:sz w:val="18"/>
              </w:rPr>
              <w:t>4. Tampering Predial</w:t>
            </w:r>
          </w:p>
        </w:tc>
        <w:tc>
          <w:tcPr>
            <w:tcW w:type="dxa" w:w="2052"/>
          </w:tcPr>
          <w:p>
            <w:pPr>
              <w:spacing w:before="40" w:after="40"/>
              <w:jc w:val="left"/>
            </w:pPr>
            <w:r>
              <w:rPr>
                <w:rFonts w:ascii="Book Antiqua" w:hAnsi="Book Antiqua"/>
                <w:b w:val="0"/>
                <w:i w:val="0"/>
                <w:color w:val="000000"/>
                <w:sz w:val="18"/>
              </w:rPr>
              <w:t>POST /api/v1/vulnerable/ficha/modificar</w:t>
            </w:r>
          </w:p>
        </w:tc>
        <w:tc>
          <w:tcPr>
            <w:tcW w:type="dxa" w:w="2052"/>
          </w:tcPr>
          <w:p>
            <w:pPr>
              <w:spacing w:before="40" w:after="40"/>
              <w:jc w:val="left"/>
            </w:pPr>
            <w:r>
              <w:rPr>
                <w:rFonts w:ascii="Book Antiqua" w:hAnsi="Book Antiqua"/>
                <w:b w:val="0"/>
                <w:i w:val="0"/>
                <w:color w:val="000000"/>
                <w:sz w:val="18"/>
              </w:rPr>
              <w:t>id_lote = '21010101000000', nuevo_autovaluo = 0, nuevo_titular = 'HACKER'</w:t>
            </w:r>
          </w:p>
        </w:tc>
        <w:tc>
          <w:tcPr>
            <w:tcW w:type="dxa" w:w="2052"/>
          </w:tcPr>
          <w:p>
            <w:pPr>
              <w:spacing w:before="40" w:after="40"/>
              <w:jc w:val="left"/>
            </w:pPr>
            <w:r>
              <w:rPr>
                <w:rFonts w:ascii="Book Antiqua" w:hAnsi="Book Antiqua"/>
                <w:b w:val="0"/>
                <w:i w:val="0"/>
                <w:color w:val="000000"/>
                <w:sz w:val="18"/>
              </w:rPr>
              <w:t>Integridad: Alteración tributaria y suplantación de titularidad.</w:t>
            </w:r>
          </w:p>
        </w:tc>
      </w:tr>
      <w:tr>
        <w:tc>
          <w:tcPr>
            <w:tcW w:type="dxa" w:w="2052"/>
          </w:tcPr>
          <w:p>
            <w:pPr>
              <w:spacing w:before="40" w:after="40"/>
              <w:jc w:val="left"/>
            </w:pPr>
            <w:r>
              <w:rPr>
                <w:rFonts w:ascii="Book Antiqua" w:hAnsi="Book Antiqua"/>
                <w:b w:val="0"/>
                <w:i w:val="0"/>
                <w:color w:val="000000"/>
                <w:sz w:val="18"/>
              </w:rPr>
              <w:t>5. Borrado Masivo</w:t>
            </w:r>
          </w:p>
        </w:tc>
        <w:tc>
          <w:tcPr>
            <w:tcW w:type="dxa" w:w="2052"/>
          </w:tcPr>
          <w:p>
            <w:pPr>
              <w:spacing w:before="40" w:after="40"/>
              <w:jc w:val="left"/>
            </w:pPr>
            <w:r>
              <w:rPr>
                <w:rFonts w:ascii="Book Antiqua" w:hAnsi="Book Antiqua"/>
                <w:b w:val="0"/>
                <w:i w:val="0"/>
                <w:color w:val="000000"/>
                <w:sz w:val="18"/>
              </w:rPr>
              <w:t>DELETE /api/v1/vulnerable/predios/borrar</w:t>
            </w:r>
          </w:p>
        </w:tc>
        <w:tc>
          <w:tcPr>
            <w:tcW w:type="dxa" w:w="2052"/>
          </w:tcPr>
          <w:p>
            <w:pPr>
              <w:spacing w:before="40" w:after="40"/>
              <w:jc w:val="left"/>
            </w:pPr>
            <w:r>
              <w:rPr>
                <w:rFonts w:ascii="Book Antiqua" w:hAnsi="Book Antiqua"/>
                <w:b w:val="0"/>
                <w:i w:val="0"/>
                <w:color w:val="000000"/>
                <w:sz w:val="18"/>
              </w:rPr>
              <w:t>filtro_sector = '0101' OR '1'='1'</w:t>
            </w:r>
          </w:p>
        </w:tc>
        <w:tc>
          <w:tcPr>
            <w:tcW w:type="dxa" w:w="2052"/>
          </w:tcPr>
          <w:p>
            <w:pPr>
              <w:spacing w:before="40" w:after="40"/>
              <w:jc w:val="left"/>
            </w:pPr>
            <w:r>
              <w:rPr>
                <w:rFonts w:ascii="Book Antiqua" w:hAnsi="Book Antiqua"/>
                <w:b w:val="0"/>
                <w:i w:val="0"/>
                <w:color w:val="000000"/>
                <w:sz w:val="18"/>
              </w:rPr>
              <w:t>Integridad y Disponibilidad: Eliminación incondicional de 487 lotes.</w:t>
            </w:r>
          </w:p>
        </w:tc>
      </w:tr>
      <w:tr>
        <w:tc>
          <w:tcPr>
            <w:tcW w:type="dxa" w:w="2052"/>
          </w:tcPr>
          <w:p>
            <w:pPr>
              <w:spacing w:before="40" w:after="40"/>
              <w:jc w:val="left"/>
            </w:pPr>
            <w:r>
              <w:rPr>
                <w:rFonts w:ascii="Book Antiqua" w:hAnsi="Book Antiqua"/>
                <w:b w:val="0"/>
                <w:i w:val="0"/>
                <w:color w:val="000000"/>
                <w:sz w:val="18"/>
              </w:rPr>
              <w:t>6. Evasión de Auth</w:t>
            </w:r>
          </w:p>
        </w:tc>
        <w:tc>
          <w:tcPr>
            <w:tcW w:type="dxa" w:w="2052"/>
          </w:tcPr>
          <w:p>
            <w:pPr>
              <w:spacing w:before="40" w:after="40"/>
              <w:jc w:val="left"/>
            </w:pPr>
            <w:r>
              <w:rPr>
                <w:rFonts w:ascii="Book Antiqua" w:hAnsi="Book Antiqua"/>
                <w:b w:val="0"/>
                <w:i w:val="0"/>
                <w:color w:val="000000"/>
                <w:sz w:val="18"/>
              </w:rPr>
              <w:t>POST /api/v1/vulnerable/auth/login</w:t>
            </w:r>
          </w:p>
        </w:tc>
        <w:tc>
          <w:tcPr>
            <w:tcW w:type="dxa" w:w="2052"/>
          </w:tcPr>
          <w:p>
            <w:pPr>
              <w:spacing w:before="40" w:after="40"/>
              <w:jc w:val="left"/>
            </w:pPr>
            <w:r>
              <w:rPr>
                <w:rFonts w:ascii="Book Antiqua" w:hAnsi="Book Antiqua"/>
                <w:b w:val="0"/>
                <w:i w:val="0"/>
                <w:color w:val="000000"/>
                <w:sz w:val="18"/>
              </w:rPr>
              <w:t>username = admin' --</w:t>
            </w:r>
          </w:p>
        </w:tc>
        <w:tc>
          <w:tcPr>
            <w:tcW w:type="dxa" w:w="2052"/>
          </w:tcPr>
          <w:p>
            <w:pPr>
              <w:spacing w:before="40" w:after="40"/>
              <w:jc w:val="left"/>
            </w:pPr>
            <w:r>
              <w:rPr>
                <w:rFonts w:ascii="Book Antiqua" w:hAnsi="Book Antiqua"/>
                <w:b w:val="0"/>
                <w:i w:val="0"/>
                <w:color w:val="000000"/>
                <w:sz w:val="18"/>
              </w:rPr>
              <w:t>Confidencialidad e Integridad: Escalación a superadmin_catastro.</w:t>
            </w:r>
          </w:p>
        </w:tc>
      </w:tr>
    </w:tbl>
    <w:sectPr w:rsidR="00F62503" w:rsidSect="006C7473">
      <w:headerReference w:type="default" r:id="rId14"/>
      <w:footerReference w:type="default" r:id="rId15"/>
      <w:headerReference w:type="first" r:id="rId16"/>
      <w:pgSz w:w="12240" w:h="15840" w:code="1"/>
      <w:pgMar w:top="1728" w:right="2016" w:bottom="1728" w:left="201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FEE2B" w14:textId="77777777" w:rsidR="006A0CA1" w:rsidRDefault="006A0CA1">
      <w:pPr>
        <w:spacing w:after="0" w:line="240" w:lineRule="auto"/>
      </w:pPr>
      <w:r>
        <w:separator/>
      </w:r>
    </w:p>
  </w:endnote>
  <w:endnote w:type="continuationSeparator" w:id="0">
    <w:p w14:paraId="456C0E6D" w14:textId="77777777" w:rsidR="006A0CA1" w:rsidRDefault="006A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36D8"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©Authors</w:t>
    </w:r>
  </w:p>
  <w:p w14:paraId="0744B9FD"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CC BY-NC-ND 4.0</w:t>
    </w:r>
  </w:p>
  <w:p w14:paraId="729FD741" w14:textId="77777777" w:rsidR="00F62503"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hyperlink r:id="rId1" w:history="1">
      <w:r w:rsidR="006C7473" w:rsidRPr="009F45FF">
        <w:rPr>
          <w:rStyle w:val="Hipervnculo"/>
          <w:rFonts w:ascii="Book Antiqua" w:eastAsia="Book Antiqua" w:hAnsi="Book Antiqua" w:cs="Book Antiqua"/>
          <w:sz w:val="18"/>
          <w:szCs w:val="18"/>
        </w:rPr>
        <w:t>https://imjeta.org/index.php/imjeta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4BDDD" w14:textId="77777777" w:rsidR="006A0CA1" w:rsidRDefault="006A0CA1">
      <w:pPr>
        <w:spacing w:after="0" w:line="240" w:lineRule="auto"/>
      </w:pPr>
      <w:r>
        <w:separator/>
      </w:r>
    </w:p>
  </w:footnote>
  <w:footnote w:type="continuationSeparator" w:id="0">
    <w:p w14:paraId="56D7E674" w14:textId="77777777" w:rsidR="006A0CA1" w:rsidRDefault="006A0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C5EBF"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C9401F">
      <w:rPr>
        <w:rFonts w:ascii="Book Antiqua" w:eastAsia="Book Antiqua" w:hAnsi="Book Antiqua" w:cs="Book Antiqua"/>
        <w:noProof/>
        <w:color w:val="000000"/>
        <w:sz w:val="20"/>
        <w:szCs w:val="20"/>
      </w:rPr>
      <w:t>1</w:t>
    </w:r>
    <w:r>
      <w:rPr>
        <w:rFonts w:ascii="Book Antiqua" w:eastAsia="Book Antiqua" w:hAnsi="Book Antiqua" w:cs="Book Antiqua"/>
        <w:color w:val="000000"/>
        <w:sz w:val="20"/>
        <w:szCs w:val="20"/>
      </w:rPr>
      <w:fldChar w:fldCharType="end"/>
    </w:r>
  </w:p>
  <w:p w14:paraId="0FCBBC3A" w14:textId="77777777" w:rsidR="00F62503" w:rsidRDefault="00F6250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1B693"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end"/>
    </w:r>
  </w:p>
  <w:p w14:paraId="51A5ECA9" w14:textId="77777777" w:rsidR="00F62503" w:rsidRDefault="00F62503">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B56D9"/>
    <w:multiLevelType w:val="hybridMultilevel"/>
    <w:tmpl w:val="793C833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191376"/>
    <w:multiLevelType w:val="hybridMultilevel"/>
    <w:tmpl w:val="B9129544"/>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 w15:restartNumberingAfterBreak="0">
    <w:nsid w:val="3C262B09"/>
    <w:multiLevelType w:val="hybridMultilevel"/>
    <w:tmpl w:val="695EBA7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640890097">
    <w:abstractNumId w:val="2"/>
  </w:num>
  <w:num w:numId="2" w16cid:durableId="1778789201">
    <w:abstractNumId w:val="0"/>
  </w:num>
  <w:num w:numId="3" w16cid:durableId="34236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03"/>
    <w:rsid w:val="0002677A"/>
    <w:rsid w:val="000D1DFE"/>
    <w:rsid w:val="000D68C3"/>
    <w:rsid w:val="000D6F90"/>
    <w:rsid w:val="001C5249"/>
    <w:rsid w:val="00236634"/>
    <w:rsid w:val="00322AEA"/>
    <w:rsid w:val="00453DA9"/>
    <w:rsid w:val="00611062"/>
    <w:rsid w:val="006251BB"/>
    <w:rsid w:val="00642D9A"/>
    <w:rsid w:val="006A0CA1"/>
    <w:rsid w:val="006B747B"/>
    <w:rsid w:val="006C7473"/>
    <w:rsid w:val="00723064"/>
    <w:rsid w:val="0083439D"/>
    <w:rsid w:val="009E1DC5"/>
    <w:rsid w:val="00B9745F"/>
    <w:rsid w:val="00C9401F"/>
    <w:rsid w:val="00D8246D"/>
    <w:rsid w:val="00ED6806"/>
    <w:rsid w:val="00F6250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FECD"/>
  <w15:docId w15:val="{DEA37FF7-ED4D-4774-9387-D9597827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ED"/>
    <w:pPr>
      <w:spacing w:after="200" w:line="276" w:lineRule="auto"/>
    </w:pPr>
    <w:rPr>
      <w:sz w:val="22"/>
      <w:szCs w:val="22"/>
      <w:lang w:val="en-GB"/>
    </w:rPr>
  </w:style>
  <w:style w:type="paragraph" w:styleId="Ttulo1">
    <w:name w:val="heading 1"/>
    <w:basedOn w:val="Normal"/>
    <w:next w:val="Normal"/>
    <w:link w:val="Ttulo1Car"/>
    <w:uiPriority w:val="9"/>
    <w:qFormat/>
    <w:rsid w:val="006A30B7"/>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unhideWhenUsed/>
    <w:qFormat/>
    <w:rsid w:val="00DB23FF"/>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200" w:line="276" w:lineRule="auto"/>
    </w:pPr>
    <w:rPr>
      <w:sz w:val="22"/>
      <w:szCs w:val="22"/>
      <w:lang w:val="en-GB"/>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5A45ED"/>
    <w:pPr>
      <w:ind w:left="720"/>
      <w:contextualSpacing/>
    </w:pPr>
  </w:style>
  <w:style w:type="character" w:styleId="Hipervnculo">
    <w:name w:val="Hyperlink"/>
    <w:uiPriority w:val="99"/>
    <w:unhideWhenUsed/>
    <w:rsid w:val="00DC288A"/>
    <w:rPr>
      <w:color w:val="0000FF"/>
      <w:u w:val="single"/>
    </w:rPr>
  </w:style>
  <w:style w:type="table" w:styleId="Tablaconcuadrcula">
    <w:name w:val="Table Grid"/>
    <w:basedOn w:val="Tablanormal"/>
    <w:uiPriority w:val="59"/>
    <w:rsid w:val="00163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6A30B7"/>
    <w:rPr>
      <w:rFonts w:ascii="Cambria" w:eastAsia="Times New Roman" w:hAnsi="Cambria" w:cs="Times New Roman"/>
      <w:b/>
      <w:bCs/>
      <w:color w:val="365F91"/>
      <w:sz w:val="28"/>
      <w:szCs w:val="28"/>
    </w:rPr>
  </w:style>
  <w:style w:type="character" w:customStyle="1" w:styleId="Ttulo2Car">
    <w:name w:val="Título 2 Car"/>
    <w:link w:val="Ttulo2"/>
    <w:uiPriority w:val="9"/>
    <w:rsid w:val="00DB23FF"/>
    <w:rPr>
      <w:rFonts w:ascii="Cambria" w:eastAsia="Times New Roman" w:hAnsi="Cambria" w:cs="Times New Roman"/>
      <w:b/>
      <w:bCs/>
      <w:color w:val="4F81BD"/>
      <w:sz w:val="26"/>
      <w:szCs w:val="26"/>
    </w:rPr>
  </w:style>
  <w:style w:type="paragraph" w:styleId="Sinespaciado">
    <w:name w:val="No Spacing"/>
    <w:uiPriority w:val="1"/>
    <w:qFormat/>
    <w:rsid w:val="00DB23FF"/>
    <w:rPr>
      <w:sz w:val="22"/>
      <w:szCs w:val="22"/>
      <w:lang w:val="en-GB"/>
    </w:rPr>
  </w:style>
  <w:style w:type="paragraph" w:styleId="Encabezado">
    <w:name w:val="header"/>
    <w:basedOn w:val="Normal"/>
    <w:link w:val="EncabezadoCar"/>
    <w:uiPriority w:val="99"/>
    <w:unhideWhenUsed/>
    <w:rsid w:val="00255C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5C93"/>
  </w:style>
  <w:style w:type="paragraph" w:styleId="Piedepgina">
    <w:name w:val="footer"/>
    <w:basedOn w:val="Normal"/>
    <w:link w:val="PiedepginaCar"/>
    <w:uiPriority w:val="99"/>
    <w:unhideWhenUsed/>
    <w:rsid w:val="00255C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5C93"/>
  </w:style>
  <w:style w:type="paragraph" w:styleId="Textodeglobo">
    <w:name w:val="Balloon Text"/>
    <w:basedOn w:val="Normal"/>
    <w:link w:val="TextodegloboCar"/>
    <w:uiPriority w:val="99"/>
    <w:semiHidden/>
    <w:unhideWhenUsed/>
    <w:rsid w:val="00255C9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5C93"/>
    <w:rPr>
      <w:rFonts w:ascii="Tahoma" w:hAnsi="Tahoma" w:cs="Tahoma"/>
      <w:sz w:val="16"/>
      <w:szCs w:val="16"/>
    </w:rPr>
  </w:style>
  <w:style w:type="character" w:customStyle="1" w:styleId="Mencinsinresolver1">
    <w:name w:val="Mención sin resolver1"/>
    <w:uiPriority w:val="99"/>
    <w:semiHidden/>
    <w:unhideWhenUsed/>
    <w:rsid w:val="001E46A6"/>
    <w:rPr>
      <w:color w:val="808080"/>
      <w:shd w:val="clear" w:color="auto" w:fill="E6E6E6"/>
    </w:rPr>
  </w:style>
  <w:style w:type="character" w:styleId="Hipervnculovisitado">
    <w:name w:val="FollowedHyperlink"/>
    <w:uiPriority w:val="99"/>
    <w:semiHidden/>
    <w:unhideWhenUsed/>
    <w:rsid w:val="00320B60"/>
    <w:rPr>
      <w:color w:val="800080"/>
      <w:u w:val="single"/>
    </w:rPr>
  </w:style>
  <w:style w:type="paragraph" w:styleId="Textonotapie">
    <w:name w:val="footnote text"/>
    <w:basedOn w:val="Normal"/>
    <w:link w:val="TextonotapieCar"/>
    <w:uiPriority w:val="99"/>
    <w:semiHidden/>
    <w:unhideWhenUsed/>
    <w:rsid w:val="00621181"/>
    <w:pPr>
      <w:spacing w:after="0" w:line="240" w:lineRule="auto"/>
    </w:pPr>
    <w:rPr>
      <w:sz w:val="20"/>
      <w:szCs w:val="20"/>
    </w:rPr>
  </w:style>
  <w:style w:type="character" w:customStyle="1" w:styleId="TextonotapieCar">
    <w:name w:val="Texto nota pie Car"/>
    <w:link w:val="Textonotapie"/>
    <w:uiPriority w:val="99"/>
    <w:semiHidden/>
    <w:rsid w:val="00621181"/>
    <w:rPr>
      <w:sz w:val="20"/>
      <w:szCs w:val="20"/>
    </w:rPr>
  </w:style>
  <w:style w:type="character" w:styleId="Refdenotaalpie">
    <w:name w:val="footnote reference"/>
    <w:uiPriority w:val="99"/>
    <w:semiHidden/>
    <w:unhideWhenUsed/>
    <w:rsid w:val="00621181"/>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0" w:type="dxa"/>
        <w:right w:w="0" w:type="dxa"/>
      </w:tblCellMar>
    </w:tblPr>
  </w:style>
  <w:style w:type="character" w:styleId="Mencinsinresolver">
    <w:name w:val="Unresolved Mention"/>
    <w:basedOn w:val="Fuentedeprrafopredeter"/>
    <w:uiPriority w:val="99"/>
    <w:semiHidden/>
    <w:unhideWhenUsed/>
    <w:rsid w:val="000D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4761925@epg.unap.edu.pe" TargetMode="External"/><Relationship Id="rId13" Type="http://schemas.openxmlformats.org/officeDocument/2006/relationships/hyperlink" Target="https://imjeta.org/index.php/IMJETA/libraryFiles/downloadPublic/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guides.vu.edu.au/apa-referencing/7GettingStarte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citations/basic-principles/author-d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ibarra@unam" TargetMode="External"/><Relationship Id="rId14" Type="http://schemas.openxmlformats.org/officeDocument/2006/relationships/header" Target="header1.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hyperlink" Target="https://imjeta.org/index.php/imj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FIuqKTJs8j1cX+CzBabmmWDzA==">CgMxLjAyCGguZ2pkZ3hzMgloLjMwajB6bGwyCWguMWZvYjl0ZTIJaC4zem55c2g3MgloLjJldDkycDA4AHIhMUJQQ3BaUldmdkd3c2NOU01MMjljZGZkei1UWlBtNVJP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1445</Words>
  <Characters>7949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9376</CharactersWithSpaces>
  <SharedDoc>false</SharedDoc>
  <HLinks>
    <vt:vector size="36" baseType="variant">
      <vt:variant>
        <vt:i4>458762</vt:i4>
      </vt:variant>
      <vt:variant>
        <vt:i4>12</vt:i4>
      </vt:variant>
      <vt:variant>
        <vt:i4>0</vt:i4>
      </vt:variant>
      <vt:variant>
        <vt:i4>5</vt:i4>
      </vt:variant>
      <vt:variant>
        <vt:lpwstr>https://imjeta.org/index.php/IMJETA/libraryFiles/downloadPublic/1</vt:lpwstr>
      </vt:variant>
      <vt:variant>
        <vt:lpwstr/>
      </vt:variant>
      <vt:variant>
        <vt:i4>7471227</vt:i4>
      </vt:variant>
      <vt:variant>
        <vt:i4>9</vt:i4>
      </vt:variant>
      <vt:variant>
        <vt:i4>0</vt:i4>
      </vt:variant>
      <vt:variant>
        <vt:i4>5</vt:i4>
      </vt:variant>
      <vt:variant>
        <vt:lpwstr>https://libraryguides.vu.edu.au/apa-referencing/7GettingStarted</vt:lpwstr>
      </vt:variant>
      <vt:variant>
        <vt:lpwstr/>
      </vt:variant>
      <vt:variant>
        <vt:i4>262209</vt:i4>
      </vt:variant>
      <vt:variant>
        <vt:i4>6</vt:i4>
      </vt:variant>
      <vt:variant>
        <vt:i4>0</vt:i4>
      </vt:variant>
      <vt:variant>
        <vt:i4>5</vt:i4>
      </vt:variant>
      <vt:variant>
        <vt:lpwstr>https://apastyle.apa.org/style-grammar-guidelines/citations/basic-principles/author-date</vt:lpwstr>
      </vt:variant>
      <vt:variant>
        <vt:lpwstr/>
      </vt:variant>
      <vt:variant>
        <vt:i4>3080220</vt:i4>
      </vt:variant>
      <vt:variant>
        <vt:i4>3</vt:i4>
      </vt:variant>
      <vt:variant>
        <vt:i4>0</vt:i4>
      </vt:variant>
      <vt:variant>
        <vt:i4>5</vt:i4>
      </vt:variant>
      <vt:variant>
        <vt:lpwstr>mailto:lncs@springer.com</vt:lpwstr>
      </vt:variant>
      <vt:variant>
        <vt:lpwstr/>
      </vt:variant>
      <vt:variant>
        <vt:i4>6029420</vt:i4>
      </vt:variant>
      <vt:variant>
        <vt:i4>0</vt:i4>
      </vt:variant>
      <vt:variant>
        <vt:i4>0</vt:i4>
      </vt:variant>
      <vt:variant>
        <vt:i4>5</vt:i4>
      </vt:variant>
      <vt:variant>
        <vt:lpwstr>mailto:firstauthor@princenton.edu</vt:lpwstr>
      </vt:variant>
      <vt:variant>
        <vt:lpwstr/>
      </vt:variant>
      <vt:variant>
        <vt:i4>7471150</vt:i4>
      </vt:variant>
      <vt:variant>
        <vt:i4>3</vt:i4>
      </vt:variant>
      <vt:variant>
        <vt:i4>0</vt:i4>
      </vt:variant>
      <vt:variant>
        <vt:i4>5</vt:i4>
      </vt:variant>
      <vt:variant>
        <vt:lpwstr>https://imjeta.org/index.php/imjeta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IMJETA.ORG</dc:creator>
  <cp:keywords/>
  <dc:description/>
  <cp:lastModifiedBy>Rod183@hotmail.com</cp:lastModifiedBy>
  <cp:revision>5</cp:revision>
  <dcterms:created xsi:type="dcterms:W3CDTF">2026-08-22T20:06:00Z</dcterms:created>
  <dcterms:modified xsi:type="dcterms:W3CDTF">2026-09-17T06:06:00Z</dcterms:modified>
</cp:coreProperties>
</file>