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EAC31"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sidRPr="006C7473">
        <w:rPr>
          <w:rFonts w:ascii="Book Antiqua" w:eastAsia="Book Antiqua" w:hAnsi="Book Antiqua" w:cs="Book Antiqua"/>
          <w:i/>
          <w:color w:val="000000"/>
          <w:sz w:val="22"/>
        </w:rPr>
        <w:t>International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Multidisciplinary</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Journal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of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Technologies</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and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Applications</w:t>
      </w:r>
      <w:r w:rsidR="006B747B">
        <w:rPr>
          <w:rFonts w:ascii="Book Antiqua" w:eastAsia="Book Antiqua" w:hAnsi="Book Antiqua" w:cs="Book Antiqua"/>
          <w:i/>
          <w:color w:val="000000"/>
          <w:sz w:val="22"/>
        </w:rPr>
        <w:t xml:space="preserve"> (IMJETA)</w:t>
      </w:r>
    </w:p>
    <w:p w14:paraId="3AA0D6C7"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Vol. 1, No. 1, pp. a-b, Month 2026</w:t>
      </w:r>
    </w:p>
    <w:p w14:paraId="475C5740"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Received Month 00, 2026; Revised Month 00, 2026; Accepted Month 00, 2026</w:t>
      </w:r>
    </w:p>
    <w:p w14:paraId="3C8C0C9D"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Published Month 00 2026</w:t>
      </w:r>
    </w:p>
    <w:p w14:paraId="63CCBF1F" w14:textId="77777777" w:rsidR="006C4700" w:rsidRDefault="00000000">
      <w:pPr>
        <w:spacing w:before="240" w:after="240"/>
      </w:pPr>
      <w:r>
        <w:rPr>
          <w:rFonts w:ascii="Book Antiqua" w:hAnsi="Book Antiqua"/>
          <w:b/>
          <w:color w:val="000000"/>
          <w:sz w:val="36"/>
        </w:rPr>
        <w:t>Evaluación de Vulnerabilidades de Inyección SQL Espacial en Sistemas de Información Catastral basados en PostGIS</w:t>
      </w:r>
    </w:p>
    <w:p w14:paraId="40CCEB2B" w14:textId="77777777" w:rsidR="006C4700" w:rsidRDefault="00000000">
      <w:pPr>
        <w:spacing w:after="80"/>
      </w:pPr>
      <w:r>
        <w:rPr>
          <w:rFonts w:ascii="Book Antiqua" w:hAnsi="Book Antiqua"/>
          <w:b/>
          <w:color w:val="000000"/>
        </w:rPr>
        <w:t>Rodrigo Apellido1[0000-0002-XXXX-XXXX]</w:t>
      </w:r>
    </w:p>
    <w:p w14:paraId="1066A179" w14:textId="77777777" w:rsidR="006C4700" w:rsidRDefault="00000000">
      <w:pPr>
        <w:spacing w:after="40"/>
      </w:pPr>
      <w:r>
        <w:rPr>
          <w:rFonts w:ascii="Book Antiqua" w:hAnsi="Book Antiqua"/>
          <w:i/>
          <w:color w:val="000000"/>
          <w:sz w:val="20"/>
        </w:rPr>
        <w:t>1Universidad Nacional / Programa de Doctorado en Ciberseguridad</w:t>
      </w:r>
    </w:p>
    <w:p w14:paraId="4C4D520F" w14:textId="77777777" w:rsidR="006C4700" w:rsidRDefault="00000000">
      <w:pPr>
        <w:spacing w:after="240"/>
      </w:pPr>
      <w:r>
        <w:rPr>
          <w:rFonts w:ascii="Book Antiqua" w:hAnsi="Book Antiqua"/>
          <w:color w:val="000000"/>
          <w:sz w:val="20"/>
        </w:rPr>
        <w:t>investigador.catastro@doctorado.edu.pe</w:t>
      </w:r>
    </w:p>
    <w:p w14:paraId="4D51DEA4" w14:textId="10077BE0" w:rsidR="006C4700" w:rsidRDefault="00000000">
      <w:pPr>
        <w:spacing w:after="120" w:line="240" w:lineRule="auto"/>
        <w:ind w:left="720" w:right="720"/>
      </w:pPr>
      <w:r>
        <w:rPr>
          <w:rFonts w:ascii="Book Antiqua" w:hAnsi="Book Antiqua"/>
          <w:b/>
          <w:color w:val="000000"/>
          <w:sz w:val="20"/>
        </w:rPr>
        <w:t xml:space="preserve">Abstract. </w:t>
      </w:r>
      <w:r>
        <w:rPr>
          <w:rFonts w:ascii="Book Antiqua" w:hAnsi="Book Antiqua"/>
          <w:color w:val="000000"/>
          <w:sz w:val="20"/>
        </w:rPr>
        <w:t xml:space="preserve">La </w:t>
      </w:r>
      <w:proofErr w:type="spellStart"/>
      <w:r w:rsidR="00D115E6">
        <w:rPr>
          <w:rFonts w:ascii="Book Antiqua" w:hAnsi="Book Antiqua"/>
          <w:color w:val="000000"/>
          <w:sz w:val="20"/>
        </w:rPr>
        <w:t>incorporación</w:t>
      </w:r>
      <w:proofErr w:type="spellEnd"/>
      <w:r>
        <w:rPr>
          <w:rFonts w:ascii="Book Antiqua" w:hAnsi="Book Antiqua"/>
          <w:color w:val="000000"/>
          <w:sz w:val="20"/>
        </w:rPr>
        <w:t xml:space="preserve"> de bases de datos espaciales en arquitecturas web ha ampliado la superficie de </w:t>
      </w:r>
      <w:proofErr w:type="spellStart"/>
      <w:r>
        <w:rPr>
          <w:rFonts w:ascii="Book Antiqua" w:hAnsi="Book Antiqua"/>
          <w:color w:val="000000"/>
          <w:sz w:val="20"/>
        </w:rPr>
        <w:t>ataque</w:t>
      </w:r>
      <w:proofErr w:type="spellEnd"/>
      <w:r>
        <w:rPr>
          <w:rFonts w:ascii="Book Antiqua" w:hAnsi="Book Antiqua"/>
          <w:color w:val="000000"/>
          <w:sz w:val="20"/>
        </w:rPr>
        <w:t xml:space="preserve"> para las </w:t>
      </w:r>
      <w:proofErr w:type="spellStart"/>
      <w:r>
        <w:rPr>
          <w:rFonts w:ascii="Book Antiqua" w:hAnsi="Book Antiqua"/>
          <w:color w:val="000000"/>
          <w:sz w:val="20"/>
        </w:rPr>
        <w:t>aplicaciones</w:t>
      </w:r>
      <w:proofErr w:type="spellEnd"/>
      <w:r>
        <w:rPr>
          <w:rFonts w:ascii="Book Antiqua" w:hAnsi="Book Antiqua"/>
          <w:color w:val="000000"/>
          <w:sz w:val="20"/>
        </w:rPr>
        <w:t xml:space="preserve"> </w:t>
      </w:r>
      <w:proofErr w:type="spellStart"/>
      <w:r>
        <w:rPr>
          <w:rFonts w:ascii="Book Antiqua" w:hAnsi="Book Antiqua"/>
          <w:color w:val="000000"/>
          <w:sz w:val="20"/>
        </w:rPr>
        <w:t>modernas</w:t>
      </w:r>
      <w:proofErr w:type="spellEnd"/>
      <w:r>
        <w:rPr>
          <w:rFonts w:ascii="Book Antiqua" w:hAnsi="Book Antiqua"/>
          <w:color w:val="000000"/>
          <w:sz w:val="20"/>
        </w:rPr>
        <w:t xml:space="preserve">; sin embargo,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riesgos</w:t>
      </w:r>
      <w:proofErr w:type="spellEnd"/>
      <w:r>
        <w:rPr>
          <w:rFonts w:ascii="Book Antiqua" w:hAnsi="Book Antiqua"/>
          <w:color w:val="000000"/>
          <w:sz w:val="20"/>
        </w:rPr>
        <w:t xml:space="preserve"> </w:t>
      </w:r>
      <w:proofErr w:type="spellStart"/>
      <w:r>
        <w:rPr>
          <w:rFonts w:ascii="Book Antiqua" w:hAnsi="Book Antiqua"/>
          <w:color w:val="000000"/>
          <w:sz w:val="20"/>
        </w:rPr>
        <w:t>asociados</w:t>
      </w:r>
      <w:proofErr w:type="spellEnd"/>
      <w:r>
        <w:rPr>
          <w:rFonts w:ascii="Book Antiqua" w:hAnsi="Book Antiqua"/>
          <w:color w:val="000000"/>
          <w:sz w:val="20"/>
        </w:rPr>
        <w:t xml:space="preserve"> a las </w:t>
      </w:r>
      <w:proofErr w:type="spellStart"/>
      <w:r>
        <w:rPr>
          <w:rFonts w:ascii="Book Antiqua" w:hAnsi="Book Antiqua"/>
          <w:color w:val="000000"/>
          <w:sz w:val="20"/>
        </w:rPr>
        <w:t>inyecciones</w:t>
      </w:r>
      <w:proofErr w:type="spellEnd"/>
      <w:r>
        <w:rPr>
          <w:rFonts w:ascii="Book Antiqua" w:hAnsi="Book Antiqua"/>
          <w:color w:val="000000"/>
          <w:sz w:val="20"/>
        </w:rPr>
        <w:t xml:space="preserve"> SQL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siguen</w:t>
      </w:r>
      <w:proofErr w:type="spellEnd"/>
      <w:r>
        <w:rPr>
          <w:rFonts w:ascii="Book Antiqua" w:hAnsi="Book Antiqua"/>
          <w:color w:val="000000"/>
          <w:sz w:val="20"/>
        </w:rPr>
        <w:t xml:space="preserve"> estando poco explorados. Este artículo investiga la explotación y mitigación de inyecciones SQL espaciales dentro de sistemas de información catastral que utilizan PostGIS. Se desarrolló un entorno de </w:t>
      </w:r>
      <w:proofErr w:type="spellStart"/>
      <w:r>
        <w:rPr>
          <w:rFonts w:ascii="Book Antiqua" w:hAnsi="Book Antiqua"/>
          <w:color w:val="000000"/>
          <w:sz w:val="20"/>
        </w:rPr>
        <w:t>prueba</w:t>
      </w:r>
      <w:proofErr w:type="spellEnd"/>
      <w:r>
        <w:rPr>
          <w:rFonts w:ascii="Book Antiqua" w:hAnsi="Book Antiqua"/>
          <w:color w:val="000000"/>
          <w:sz w:val="20"/>
        </w:rPr>
        <w:t xml:space="preserve"> </w:t>
      </w:r>
      <w:proofErr w:type="spellStart"/>
      <w:r>
        <w:rPr>
          <w:rFonts w:ascii="Book Antiqua" w:hAnsi="Book Antiqua"/>
          <w:color w:val="000000"/>
          <w:sz w:val="20"/>
        </w:rPr>
        <w:t>en</w:t>
      </w:r>
      <w:proofErr w:type="spellEnd"/>
      <w:r>
        <w:rPr>
          <w:rFonts w:ascii="Book Antiqua" w:hAnsi="Book Antiqua"/>
          <w:color w:val="000000"/>
          <w:sz w:val="20"/>
        </w:rPr>
        <w:t xml:space="preserve"> </w:t>
      </w:r>
      <w:proofErr w:type="spellStart"/>
      <w:r>
        <w:rPr>
          <w:rFonts w:ascii="Book Antiqua" w:hAnsi="Book Antiqua"/>
          <w:color w:val="000000"/>
          <w:sz w:val="20"/>
        </w:rPr>
        <w:t>contenedores</w:t>
      </w:r>
      <w:proofErr w:type="spellEnd"/>
      <w:r>
        <w:rPr>
          <w:rFonts w:ascii="Book Antiqua" w:hAnsi="Book Antiqua"/>
          <w:color w:val="000000"/>
          <w:sz w:val="20"/>
        </w:rPr>
        <w:t xml:space="preserve">, </w:t>
      </w:r>
      <w:proofErr w:type="spellStart"/>
      <w:r>
        <w:rPr>
          <w:rFonts w:ascii="Book Antiqua" w:hAnsi="Book Antiqua"/>
          <w:color w:val="000000"/>
          <w:sz w:val="20"/>
        </w:rPr>
        <w:t>utilizando</w:t>
      </w:r>
      <w:proofErr w:type="spellEnd"/>
      <w:r>
        <w:rPr>
          <w:rFonts w:ascii="Book Antiqua" w:hAnsi="Book Antiqua"/>
          <w:color w:val="000000"/>
          <w:sz w:val="20"/>
        </w:rPr>
        <w:t xml:space="preserve"> Docker, para </w:t>
      </w:r>
      <w:proofErr w:type="spellStart"/>
      <w:r>
        <w:rPr>
          <w:rFonts w:ascii="Book Antiqua" w:hAnsi="Book Antiqua"/>
          <w:color w:val="000000"/>
          <w:sz w:val="20"/>
        </w:rPr>
        <w:t>simular</w:t>
      </w:r>
      <w:proofErr w:type="spellEnd"/>
      <w:r>
        <w:rPr>
          <w:rFonts w:ascii="Book Antiqua" w:hAnsi="Book Antiqua"/>
          <w:color w:val="000000"/>
          <w:sz w:val="20"/>
        </w:rPr>
        <w:t xml:space="preserve"> </w:t>
      </w:r>
      <w:proofErr w:type="spellStart"/>
      <w:r>
        <w:rPr>
          <w:rFonts w:ascii="Book Antiqua" w:hAnsi="Book Antiqua"/>
          <w:color w:val="000000"/>
          <w:sz w:val="20"/>
        </w:rPr>
        <w:t>una</w:t>
      </w:r>
      <w:proofErr w:type="spellEnd"/>
      <w:r>
        <w:rPr>
          <w:rFonts w:ascii="Book Antiqua" w:hAnsi="Book Antiqua"/>
          <w:color w:val="000000"/>
          <w:sz w:val="20"/>
        </w:rPr>
        <w:t xml:space="preserve"> API de </w:t>
      </w:r>
      <w:proofErr w:type="spellStart"/>
      <w:r>
        <w:rPr>
          <w:rFonts w:ascii="Book Antiqua" w:hAnsi="Book Antiqua"/>
          <w:color w:val="000000"/>
          <w:sz w:val="20"/>
        </w:rPr>
        <w:t>infraestructura</w:t>
      </w:r>
      <w:proofErr w:type="spellEnd"/>
      <w:r>
        <w:rPr>
          <w:rFonts w:ascii="Book Antiqua" w:hAnsi="Book Antiqua"/>
          <w:color w:val="000000"/>
          <w:sz w:val="20"/>
        </w:rPr>
        <w:t xml:space="preserve"> </w:t>
      </w:r>
      <w:proofErr w:type="spellStart"/>
      <w:r>
        <w:rPr>
          <w:rFonts w:ascii="Book Antiqua" w:hAnsi="Book Antiqua"/>
          <w:color w:val="000000"/>
          <w:sz w:val="20"/>
        </w:rPr>
        <w:t>construida</w:t>
      </w:r>
      <w:proofErr w:type="spellEnd"/>
      <w:r>
        <w:rPr>
          <w:rFonts w:ascii="Book Antiqua" w:hAnsi="Book Antiqua"/>
          <w:color w:val="000000"/>
          <w:sz w:val="20"/>
        </w:rPr>
        <w:t xml:space="preserve"> con Python (</w:t>
      </w:r>
      <w:proofErr w:type="spellStart"/>
      <w:r>
        <w:rPr>
          <w:rFonts w:ascii="Book Antiqua" w:hAnsi="Book Antiqua"/>
          <w:color w:val="000000"/>
          <w:sz w:val="20"/>
        </w:rPr>
        <w:t>FastAPI</w:t>
      </w:r>
      <w:proofErr w:type="spellEnd"/>
      <w:r>
        <w:rPr>
          <w:rFonts w:ascii="Book Antiqua" w:hAnsi="Book Antiqua"/>
          <w:color w:val="000000"/>
          <w:sz w:val="20"/>
        </w:rPr>
        <w:t>) y PostgreSQL/</w:t>
      </w:r>
      <w:proofErr w:type="spellStart"/>
      <w:r>
        <w:rPr>
          <w:rFonts w:ascii="Book Antiqua" w:hAnsi="Book Antiqua"/>
          <w:color w:val="000000"/>
          <w:sz w:val="20"/>
        </w:rPr>
        <w:t>PostGIS</w:t>
      </w:r>
      <w:proofErr w:type="spellEnd"/>
      <w:r>
        <w:rPr>
          <w:rFonts w:ascii="Book Antiqua" w:hAnsi="Book Antiqua"/>
          <w:color w:val="000000"/>
          <w:sz w:val="20"/>
        </w:rPr>
        <w:t xml:space="preserve">. El </w:t>
      </w:r>
      <w:proofErr w:type="spellStart"/>
      <w:r>
        <w:rPr>
          <w:rFonts w:ascii="Book Antiqua" w:hAnsi="Book Antiqua"/>
          <w:color w:val="000000"/>
          <w:sz w:val="20"/>
        </w:rPr>
        <w:t>estudio</w:t>
      </w:r>
      <w:proofErr w:type="spellEnd"/>
      <w:r>
        <w:rPr>
          <w:rFonts w:ascii="Book Antiqua" w:hAnsi="Book Antiqua"/>
          <w:color w:val="000000"/>
          <w:sz w:val="20"/>
        </w:rPr>
        <w:t xml:space="preserve"> </w:t>
      </w:r>
      <w:proofErr w:type="spellStart"/>
      <w:r>
        <w:rPr>
          <w:rFonts w:ascii="Book Antiqua" w:hAnsi="Book Antiqua"/>
          <w:color w:val="000000"/>
          <w:sz w:val="20"/>
        </w:rPr>
        <w:t>demuestra</w:t>
      </w:r>
      <w:proofErr w:type="spellEnd"/>
      <w:r>
        <w:rPr>
          <w:rFonts w:ascii="Book Antiqua" w:hAnsi="Book Antiqua"/>
          <w:color w:val="000000"/>
          <w:sz w:val="20"/>
        </w:rPr>
        <w:t xml:space="preserve"> </w:t>
      </w:r>
      <w:proofErr w:type="spellStart"/>
      <w:r>
        <w:rPr>
          <w:rFonts w:ascii="Book Antiqua" w:hAnsi="Book Antiqua"/>
          <w:color w:val="000000"/>
          <w:sz w:val="20"/>
        </w:rPr>
        <w:t>cómo</w:t>
      </w:r>
      <w:proofErr w:type="spellEnd"/>
      <w:r>
        <w:rPr>
          <w:rFonts w:ascii="Book Antiqua" w:hAnsi="Book Antiqua"/>
          <w:color w:val="000000"/>
          <w:sz w:val="20"/>
        </w:rPr>
        <w:t xml:space="preserv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atacantes</w:t>
      </w:r>
      <w:proofErr w:type="spellEnd"/>
      <w:r>
        <w:rPr>
          <w:rFonts w:ascii="Book Antiqua" w:hAnsi="Book Antiqua"/>
          <w:color w:val="000000"/>
          <w:sz w:val="20"/>
        </w:rPr>
        <w:t xml:space="preserve"> </w:t>
      </w:r>
      <w:proofErr w:type="spellStart"/>
      <w:r>
        <w:rPr>
          <w:rFonts w:ascii="Book Antiqua" w:hAnsi="Book Antiqua"/>
          <w:color w:val="000000"/>
          <w:sz w:val="20"/>
        </w:rPr>
        <w:t>pueden</w:t>
      </w:r>
      <w:proofErr w:type="spellEnd"/>
      <w:r>
        <w:rPr>
          <w:rFonts w:ascii="Book Antiqua" w:hAnsi="Book Antiqua"/>
          <w:color w:val="000000"/>
          <w:sz w:val="20"/>
        </w:rPr>
        <w:t xml:space="preserve"> </w:t>
      </w:r>
      <w:proofErr w:type="spellStart"/>
      <w:r>
        <w:rPr>
          <w:rFonts w:ascii="Book Antiqua" w:hAnsi="Book Antiqua"/>
          <w:color w:val="000000"/>
          <w:sz w:val="20"/>
        </w:rPr>
        <w:t>aprovechar</w:t>
      </w:r>
      <w:proofErr w:type="spellEnd"/>
      <w:r>
        <w:rPr>
          <w:rFonts w:ascii="Book Antiqua" w:hAnsi="Book Antiqua"/>
          <w:color w:val="000000"/>
          <w:sz w:val="20"/>
        </w:rPr>
        <w:t xml:space="preserve"> </w:t>
      </w:r>
      <w:proofErr w:type="spellStart"/>
      <w:r>
        <w:rPr>
          <w:rFonts w:ascii="Book Antiqua" w:hAnsi="Book Antiqua"/>
          <w:color w:val="000000"/>
          <w:sz w:val="20"/>
        </w:rPr>
        <w:t>funciones</w:t>
      </w:r>
      <w:proofErr w:type="spellEnd"/>
      <w:r>
        <w:rPr>
          <w:rFonts w:ascii="Book Antiqua" w:hAnsi="Book Antiqua"/>
          <w:color w:val="000000"/>
          <w:sz w:val="20"/>
        </w:rPr>
        <w:t xml:space="preserve">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ST_DWithin</w:t>
      </w:r>
      <w:proofErr w:type="spellEnd"/>
      <w:r>
        <w:rPr>
          <w:rFonts w:ascii="Book Antiqua" w:hAnsi="Book Antiqua"/>
          <w:color w:val="000000"/>
          <w:sz w:val="20"/>
        </w:rPr>
        <w:t xml:space="preserve">, </w:t>
      </w:r>
      <w:proofErr w:type="spellStart"/>
      <w:r>
        <w:rPr>
          <w:rFonts w:ascii="Book Antiqua" w:hAnsi="Book Antiqua"/>
          <w:color w:val="000000"/>
          <w:sz w:val="20"/>
        </w:rPr>
        <w:t>ST_Intersects</w:t>
      </w:r>
      <w:proofErr w:type="spellEnd"/>
      <w:r>
        <w:rPr>
          <w:rFonts w:ascii="Book Antiqua" w:hAnsi="Book Antiqua"/>
          <w:color w:val="000000"/>
          <w:sz w:val="20"/>
        </w:rPr>
        <w:t xml:space="preserve">) para manipular la lógica geoespacial, extraer datos de zonificación no autorizados o inducir estados de denegación de servicio. Además, la investigación evalúa el impacto en el rendimiento al implementar estrategias de mitigación robustas, comparando consultas espaciales dinámicas vulnerables con consultas parametrizadas ejecutadas a través de herramientas de Mapeo Objeto-Relacional (ORM) como SQLAlchemy y GeoAlchemy2. Los resultados </w:t>
      </w:r>
      <w:r w:rsidR="00D115E6">
        <w:rPr>
          <w:rFonts w:ascii="Book Antiqua" w:hAnsi="Book Antiqua"/>
          <w:color w:val="000000"/>
          <w:sz w:val="20"/>
        </w:rPr>
        <w:t>indican</w:t>
      </w:r>
      <w:r>
        <w:rPr>
          <w:rFonts w:ascii="Book Antiqua" w:hAnsi="Book Antiqua"/>
          <w:color w:val="000000"/>
          <w:sz w:val="20"/>
        </w:rPr>
        <w:t xml:space="preserve"> que el pipeline propuesto neutralizó </w:t>
      </w:r>
      <w:proofErr w:type="spellStart"/>
      <w:r>
        <w:rPr>
          <w:rFonts w:ascii="Book Antiqua" w:hAnsi="Book Antiqua"/>
          <w:color w:val="000000"/>
          <w:sz w:val="20"/>
        </w:rPr>
        <w:t>el</w:t>
      </w:r>
      <w:proofErr w:type="spellEnd"/>
      <w:r>
        <w:rPr>
          <w:rFonts w:ascii="Book Antiqua" w:hAnsi="Book Antiqua"/>
          <w:color w:val="000000"/>
          <w:sz w:val="20"/>
        </w:rPr>
        <w:t xml:space="preserve"> 100% de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vectores</w:t>
      </w:r>
      <w:proofErr w:type="spellEnd"/>
      <w:r>
        <w:rPr>
          <w:rFonts w:ascii="Book Antiqua" w:hAnsi="Book Antiqua"/>
          <w:color w:val="000000"/>
          <w:sz w:val="20"/>
        </w:rPr>
        <w:t xml:space="preserve"> de </w:t>
      </w:r>
      <w:proofErr w:type="spellStart"/>
      <w:r>
        <w:rPr>
          <w:rFonts w:ascii="Book Antiqua" w:hAnsi="Book Antiqua"/>
          <w:color w:val="000000"/>
          <w:sz w:val="20"/>
        </w:rPr>
        <w:t>ataque</w:t>
      </w:r>
      <w:proofErr w:type="spellEnd"/>
      <w:r>
        <w:rPr>
          <w:rFonts w:ascii="Book Antiqua" w:hAnsi="Book Antiqua"/>
          <w:color w:val="000000"/>
          <w:sz w:val="20"/>
        </w:rPr>
        <w:t xml:space="preserve"> con un </w:t>
      </w:r>
      <w:proofErr w:type="spellStart"/>
      <w:r w:rsidR="00D115E6">
        <w:rPr>
          <w:rFonts w:ascii="Book Antiqua" w:hAnsi="Book Antiqua"/>
          <w:color w:val="000000"/>
          <w:sz w:val="20"/>
        </w:rPr>
        <w:t>coste</w:t>
      </w:r>
      <w:proofErr w:type="spellEnd"/>
      <w:r w:rsidR="00D115E6">
        <w:rPr>
          <w:rFonts w:ascii="Book Antiqua" w:hAnsi="Book Antiqua"/>
          <w:color w:val="000000"/>
          <w:sz w:val="20"/>
        </w:rPr>
        <w:t xml:space="preserve"> </w:t>
      </w:r>
      <w:proofErr w:type="spellStart"/>
      <w:r w:rsidR="00D115E6">
        <w:rPr>
          <w:rFonts w:ascii="Book Antiqua" w:hAnsi="Book Antiqua"/>
          <w:color w:val="000000"/>
          <w:sz w:val="20"/>
        </w:rPr>
        <w:t>adicional</w:t>
      </w:r>
      <w:proofErr w:type="spellEnd"/>
      <w:r>
        <w:rPr>
          <w:rFonts w:ascii="Book Antiqua" w:hAnsi="Book Antiqua"/>
          <w:color w:val="000000"/>
          <w:sz w:val="20"/>
        </w:rPr>
        <w:t xml:space="preserve"> medio de </w:t>
      </w:r>
      <w:proofErr w:type="spellStart"/>
      <w:r>
        <w:rPr>
          <w:rFonts w:ascii="Book Antiqua" w:hAnsi="Book Antiqua"/>
          <w:color w:val="000000"/>
          <w:sz w:val="20"/>
        </w:rPr>
        <w:t>latencia</w:t>
      </w:r>
      <w:proofErr w:type="spellEnd"/>
      <w:r>
        <w:rPr>
          <w:rFonts w:ascii="Book Antiqua" w:hAnsi="Book Antiqua"/>
          <w:color w:val="000000"/>
          <w:sz w:val="20"/>
        </w:rPr>
        <w:t xml:space="preserve"> de 2.63 </w:t>
      </w:r>
      <w:proofErr w:type="spellStart"/>
      <w:r>
        <w:rPr>
          <w:rFonts w:ascii="Book Antiqua" w:hAnsi="Book Antiqua"/>
          <w:color w:val="000000"/>
          <w:sz w:val="20"/>
        </w:rPr>
        <w:t>ms</w:t>
      </w:r>
      <w:proofErr w:type="spellEnd"/>
      <w:r>
        <w:rPr>
          <w:rFonts w:ascii="Book Antiqua" w:hAnsi="Book Antiqua"/>
          <w:color w:val="000000"/>
          <w:sz w:val="20"/>
        </w:rPr>
        <w:t xml:space="preserve"> (+15.24%) y una mejora del 12.59% en la estabilidad de cola (p99). Se concluye que la mitigación efectiva de inyecciones espaciales no depende de cortafuegos perimetrales genéricos (WAF), sino de trasladar la validación topológica y la parametrización tipada a la capa de aplicación (ORM), garantizando la integridad catastral con un impacto operativo marginal.</w:t>
      </w:r>
    </w:p>
    <w:p w14:paraId="58D72792" w14:textId="77777777" w:rsidR="006C4700" w:rsidRDefault="00000000">
      <w:pPr>
        <w:spacing w:after="280"/>
        <w:ind w:left="720" w:right="720"/>
      </w:pPr>
      <w:r>
        <w:rPr>
          <w:rFonts w:ascii="Book Antiqua" w:hAnsi="Book Antiqua"/>
          <w:b/>
          <w:color w:val="000000"/>
          <w:sz w:val="20"/>
        </w:rPr>
        <w:t xml:space="preserve">Keywords: </w:t>
      </w:r>
      <w:r>
        <w:rPr>
          <w:rFonts w:ascii="Book Antiqua" w:hAnsi="Book Antiqua"/>
          <w:color w:val="000000"/>
          <w:sz w:val="20"/>
        </w:rPr>
        <w:t>Inyecciones espaciales; Sistemas catastrales; Ciberseguridad geoespacial; Pruebas de penetración; Bases de datos</w:t>
      </w:r>
    </w:p>
    <w:p w14:paraId="5115FEC1" w14:textId="77777777" w:rsidR="006C4700" w:rsidRDefault="00000000">
      <w:pPr>
        <w:keepNext/>
        <w:spacing w:before="240" w:after="80"/>
      </w:pPr>
      <w:r>
        <w:rPr>
          <w:rFonts w:ascii="Book Antiqua" w:hAnsi="Book Antiqua"/>
          <w:b/>
          <w:color w:val="000000"/>
          <w:sz w:val="24"/>
        </w:rPr>
        <w:t>1. Introducción</w:t>
      </w:r>
    </w:p>
    <w:p w14:paraId="53DB0F79" w14:textId="4E542F19" w:rsidR="006C4700" w:rsidRDefault="00000000">
      <w:pPr>
        <w:spacing w:after="80" w:line="240" w:lineRule="auto"/>
      </w:pPr>
      <w:r>
        <w:rPr>
          <w:rFonts w:ascii="Book Antiqua" w:hAnsi="Book Antiqua"/>
          <w:color w:val="000000"/>
        </w:rPr>
        <w:t xml:space="preserve">Los sistemas de información catastral modernos exponen servicios web y geoportales sobre arquitecturas cliente-servidor para administrar la propiedad predial, la zonificación urbana y la recaudación fiscal (Lemmen et al., 2015). En este </w:t>
      </w:r>
      <w:r>
        <w:rPr>
          <w:rFonts w:ascii="Book Antiqua" w:hAnsi="Book Antiqua"/>
          <w:color w:val="000000"/>
        </w:rPr>
        <w:lastRenderedPageBreak/>
        <w:t xml:space="preserve">ámbito, PostgreSQL junto a </w:t>
      </w:r>
      <w:proofErr w:type="spellStart"/>
      <w:r>
        <w:rPr>
          <w:rFonts w:ascii="Book Antiqua" w:hAnsi="Book Antiqua"/>
          <w:color w:val="000000"/>
        </w:rPr>
        <w:t>su</w:t>
      </w:r>
      <w:proofErr w:type="spellEnd"/>
      <w:r>
        <w:rPr>
          <w:rFonts w:ascii="Book Antiqua" w:hAnsi="Book Antiqua"/>
          <w:color w:val="000000"/>
        </w:rPr>
        <w:t xml:space="preserve"> </w:t>
      </w:r>
      <w:proofErr w:type="spellStart"/>
      <w:r>
        <w:rPr>
          <w:rFonts w:ascii="Book Antiqua" w:hAnsi="Book Antiqua"/>
          <w:color w:val="000000"/>
        </w:rPr>
        <w:t>extensión</w:t>
      </w:r>
      <w:proofErr w:type="spellEnd"/>
      <w:r>
        <w:rPr>
          <w:rFonts w:ascii="Book Antiqua" w:hAnsi="Book Antiqua"/>
          <w:color w:val="000000"/>
        </w:rPr>
        <w:t xml:space="preserve">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w:t>
      </w:r>
      <w:proofErr w:type="spellStart"/>
      <w:r>
        <w:rPr>
          <w:rFonts w:ascii="Book Antiqua" w:hAnsi="Book Antiqua"/>
          <w:color w:val="000000"/>
        </w:rPr>
        <w:t>constituyen</w:t>
      </w:r>
      <w:proofErr w:type="spellEnd"/>
      <w:r>
        <w:rPr>
          <w:rFonts w:ascii="Book Antiqua" w:hAnsi="Book Antiqua"/>
          <w:color w:val="000000"/>
        </w:rPr>
        <w:t xml:space="preserve"> la </w:t>
      </w:r>
      <w:proofErr w:type="spellStart"/>
      <w:r>
        <w:rPr>
          <w:rFonts w:ascii="Book Antiqua" w:hAnsi="Book Antiqua"/>
          <w:color w:val="000000"/>
        </w:rPr>
        <w:t>solución</w:t>
      </w:r>
      <w:proofErr w:type="spellEnd"/>
      <w:r>
        <w:rPr>
          <w:rFonts w:ascii="Book Antiqua" w:hAnsi="Book Antiqua"/>
          <w:color w:val="000000"/>
        </w:rPr>
        <w:t xml:space="preserve"> de </w:t>
      </w:r>
      <w:proofErr w:type="spellStart"/>
      <w:r>
        <w:rPr>
          <w:rFonts w:ascii="Book Antiqua" w:hAnsi="Book Antiqua"/>
          <w:color w:val="000000"/>
        </w:rPr>
        <w:t>código</w:t>
      </w:r>
      <w:proofErr w:type="spellEnd"/>
      <w:r>
        <w:rPr>
          <w:rFonts w:ascii="Book Antiqua" w:hAnsi="Book Antiqua"/>
          <w:color w:val="000000"/>
        </w:rPr>
        <w:t xml:space="preserve"> </w:t>
      </w:r>
      <w:proofErr w:type="spellStart"/>
      <w:r>
        <w:rPr>
          <w:rFonts w:ascii="Book Antiqua" w:hAnsi="Book Antiqua"/>
          <w:color w:val="000000"/>
        </w:rPr>
        <w:t>abierto</w:t>
      </w:r>
      <w:proofErr w:type="spellEnd"/>
      <w:r>
        <w:rPr>
          <w:rFonts w:ascii="Book Antiqua" w:hAnsi="Book Antiqua"/>
          <w:color w:val="000000"/>
        </w:rPr>
        <w:t xml:space="preserve"> </w:t>
      </w:r>
      <w:proofErr w:type="spellStart"/>
      <w:r w:rsidR="00D115E6">
        <w:rPr>
          <w:rFonts w:ascii="Book Antiqua" w:hAnsi="Book Antiqua"/>
          <w:color w:val="000000"/>
        </w:rPr>
        <w:t>más</w:t>
      </w:r>
      <w:proofErr w:type="spellEnd"/>
      <w:r w:rsidR="00D115E6">
        <w:rPr>
          <w:rFonts w:ascii="Book Antiqua" w:hAnsi="Book Antiqua"/>
          <w:color w:val="000000"/>
        </w:rPr>
        <w:t xml:space="preserve"> </w:t>
      </w:r>
      <w:proofErr w:type="spellStart"/>
      <w:r w:rsidR="00D115E6">
        <w:rPr>
          <w:rFonts w:ascii="Book Antiqua" w:hAnsi="Book Antiqua"/>
          <w:color w:val="000000"/>
        </w:rPr>
        <w:t>usada</w:t>
      </w:r>
      <w:proofErr w:type="spellEnd"/>
      <w:r>
        <w:rPr>
          <w:rFonts w:ascii="Book Antiqua" w:hAnsi="Book Antiqua"/>
          <w:color w:val="000000"/>
        </w:rPr>
        <w:t xml:space="preserve"> para la </w:t>
      </w:r>
      <w:proofErr w:type="spellStart"/>
      <w:r>
        <w:rPr>
          <w:rFonts w:ascii="Book Antiqua" w:hAnsi="Book Antiqua"/>
          <w:color w:val="000000"/>
        </w:rPr>
        <w:t>persistencia</w:t>
      </w:r>
      <w:proofErr w:type="spellEnd"/>
      <w:r>
        <w:rPr>
          <w:rFonts w:ascii="Book Antiqua" w:hAnsi="Book Antiqua"/>
          <w:color w:val="000000"/>
        </w:rPr>
        <w:t xml:space="preserve"> y consulta de cartografía vectorial oficial (Obe &amp; Hsu, 2021).</w:t>
      </w:r>
    </w:p>
    <w:p w14:paraId="15ED7B3D" w14:textId="3F7E9D76" w:rsidR="006C4700" w:rsidRDefault="00000000">
      <w:pPr>
        <w:spacing w:after="80" w:line="240" w:lineRule="auto"/>
        <w:ind w:firstLine="432"/>
      </w:pPr>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sidR="00D115E6">
        <w:rPr>
          <w:rFonts w:ascii="Book Antiqua" w:hAnsi="Book Antiqua"/>
          <w:color w:val="000000"/>
        </w:rPr>
      </w:r>
      <w:proofErr w:type="spellEnd"/>
      <w:r w:rsidR="00D115E6">
        <w:rPr>
          <w:rFonts w:ascii="Book Antiqua" w:hAnsi="Book Antiqua"/>
          <w:color w:val="000000"/>
        </w:rPr>
      </w:r>
      <w:proofErr w:type="spellStart"/>
      <w:r w:rsidR="00D115E6">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sidR="00D115E6">
        <w:rPr>
          <w:rFonts w:ascii="Book Antiqua" w:hAnsi="Book Antiqua"/>
          <w:color w:val="000000"/>
        </w:rPr>
      </w:r>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Pr>
          <w:rFonts w:ascii="Book Antiqua" w:hAnsi="Book Antiqua"/>
          <w:sz w:val="22"/>
        </w:rPr>
        <w:t>Sin embargo, la exposición de estos servicios mediante APIs REST introduce vectores de ataque cuando las consultas se construyen mediante concatenación de cadenas dentro de funciones espaciales. Si bien la inyección SQL clásica ha sido ampliamente documentada (Clarke, 2012; Halfond et al., 2006; OWASP Foundation, 2021), la manipulación de operadores geométricos de PostGIS —como ST_DWithin, ST_Intersects o ST_Buffer— presenta particularidades poco atendidas: una entrada no saneada no solo permite eludir filtros relacionales o exfiltrar datos, sino también desencadenar estados de denegación de servicio mediante cálculos topológicos con alta complejidad algorítmica.</w:t>
      </w:r>
    </w:p>
    <w:p w14:paraId="529D8450" w14:textId="0D9565A7" w:rsidR="006C4700" w:rsidRDefault="00000000">
      <w:pPr>
        <w:spacing w:after="80" w:line="240" w:lineRule="auto"/>
        <w:ind w:firstLine="432"/>
      </w:pPr>
      <w:r>
        <w:t>Este artículo presenta una evaluación experimental de vulnerabilidades de inyección SQL espacial en sistemas de información catastral basados en PostGIS. El estudio: (1) documenta y evalúa seis vectores de ataque orientados a la tríada CIA (Confidencialidad, Integridad y Disponibilidad); (2) implementa un banco de pruebas reproducible sobre un dataset de 487 lotes urbanos estructurados bajo el estándar ISO 19152 (LADM); y (3) cuantifica el impacto en latencia y throughput de una arquitectura de mitigación basada en compilación tipada en ORM (GeoAlchemy2) y validación previa con Shapely y Pydantic.</w:t>
      </w:r>
    </w:p>
    <w:p w14:paraId="7FE9D0E4" w14:textId="77777777" w:rsidR="006C4700" w:rsidRDefault="00000000">
      <w:pPr>
        <w:keepNext/>
        <w:spacing w:before="240" w:after="80"/>
      </w:pPr>
      <w:r>
        <w:rPr>
          <w:rFonts w:ascii="Book Antiqua" w:hAnsi="Book Antiqua"/>
          <w:b/>
          <w:color w:val="000000"/>
          <w:sz w:val="24"/>
        </w:rPr>
        <w:t>2. Trabajos Relacionados</w:t>
      </w:r>
    </w:p>
    <w:p w14:paraId="47FFC73E" w14:textId="77777777" w:rsidR="006C4700" w:rsidRDefault="00000000">
      <w:pPr>
        <w:keepNext/>
        <w:spacing w:before="160" w:after="60"/>
      </w:pPr>
      <w:r>
        <w:rPr>
          <w:rFonts w:ascii="Book Antiqua" w:hAnsi="Book Antiqua"/>
          <w:b/>
          <w:color w:val="000000"/>
        </w:rPr>
        <w:t>2.1. Inyección SQL en Motores Espaciales y Operadores Topológicos</w:t>
      </w:r>
    </w:p>
    <w:p w14:paraId="3A8B7EA6" w14:textId="2846557D" w:rsidR="006C4700" w:rsidRDefault="00000000">
      <w:pPr>
        <w:spacing w:after="80" w:line="240" w:lineRule="auto"/>
      </w:pPr>
      <w:r>
        <w:rPr>
          <w:rFonts w:ascii="Book Antiqua" w:hAnsi="Book Antiqua"/>
          <w:color w:val="000000"/>
        </w:rPr>
        <w:t xml:space="preserve">La literatura fundamental en seguridad informática ha establecido clasificaciones sólidas para ataques SQLi. Halfond et al. (2006) clasificaron estas agresiones en tautologías, consultas de unión, inyecciones ciegas (blind) y canalización de procedimientos almacenados. Clarke (2012) profundizó en el análisis de los árboles de sintaxis abstracta (AST) generados por los analizadores sintácticos de bases de datos al concatenar parámetros no saneados. Sin embargo, </w:t>
      </w:r>
      <w:proofErr w:type="spellStart"/>
      <w:r w:rsidR="00C2198E" w:rsidRPr="00C2198E">
        <w:rPr>
          <w:rFonts w:ascii="Book Antiqua" w:hAnsi="Book Antiqua"/>
          <w:color w:val="000000"/>
        </w:rPr>
        <w:t>estos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marcos</w:t>
      </w:r>
      <w:proofErr w:type="spellEnd"/>
      <w:r w:rsidR="00C2198E" w:rsidRPr="00C2198E">
        <w:rPr>
          <w:rFonts w:ascii="Book Antiqua" w:hAnsi="Book Antiqua"/>
          <w:color w:val="000000"/>
        </w:rPr>
        <w:t xml:space="preserve"> no </w:t>
      </w:r>
      <w:proofErr w:type="spellStart"/>
      <w:r w:rsidR="00C2198E" w:rsidRPr="00C2198E">
        <w:rPr>
          <w:rFonts w:ascii="Book Antiqua" w:hAnsi="Book Antiqua"/>
          <w:color w:val="000000"/>
        </w:rPr>
        <w:t>tienen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cuenta</w:t>
      </w:r>
      <w:proofErr w:type="spellEnd"/>
      <w:r w:rsidR="00C2198E" w:rsidRPr="00C2198E">
        <w:rPr>
          <w:rFonts w:ascii="Book Antiqua" w:hAnsi="Book Antiqua"/>
          <w:color w:val="000000"/>
        </w:rPr>
        <w:t xml:space="preserve"> la </w:t>
      </w:r>
      <w:proofErr w:type="spellStart"/>
      <w:r w:rsidR="00C2198E" w:rsidRPr="00C2198E">
        <w:rPr>
          <w:rFonts w:ascii="Book Antiqua" w:hAnsi="Book Antiqua"/>
          <w:color w:val="000000"/>
        </w:rPr>
        <w:t>manera</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que </w:t>
      </w:r>
      <w:proofErr w:type="spellStart"/>
      <w:r w:rsidR="00C2198E" w:rsidRPr="00C2198E">
        <w:rPr>
          <w:rFonts w:ascii="Book Antiqua" w:hAnsi="Book Antiqua"/>
          <w:color w:val="000000"/>
        </w:rPr>
        <w:t>los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operadores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algebraicos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espaciales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Egenhofer</w:t>
      </w:r>
      <w:proofErr w:type="spellEnd"/>
      <w:r w:rsidR="00C2198E" w:rsidRPr="00C2198E">
        <w:rPr>
          <w:rFonts w:ascii="Book Antiqua" w:hAnsi="Book Antiqua"/>
          <w:color w:val="000000"/>
        </w:rPr>
        <w:t xml:space="preserve">, 1994) </w:t>
      </w:r>
      <w:proofErr w:type="spellStart"/>
      <w:r w:rsidR="00C2198E" w:rsidRPr="00C2198E">
        <w:rPr>
          <w:rFonts w:ascii="Book Antiqua" w:hAnsi="Book Antiqua"/>
          <w:color w:val="000000"/>
        </w:rPr>
        <w:t>redefinen</w:t>
      </w:r>
      <w:proofErr w:type="spellEnd"/>
      <w:r w:rsidR="00C2198E" w:rsidRPr="00C2198E">
        <w:rPr>
          <w:rFonts w:ascii="Book Antiqua" w:hAnsi="Book Antiqua"/>
          <w:color w:val="000000"/>
        </w:rPr>
        <w:t xml:space="preserve"> las </w:t>
      </w:r>
      <w:proofErr w:type="spellStart"/>
      <w:r w:rsidR="00C2198E" w:rsidRPr="00C2198E">
        <w:rPr>
          <w:rFonts w:ascii="Book Antiqua" w:hAnsi="Book Antiqua"/>
          <w:color w:val="000000"/>
        </w:rPr>
        <w:t>condiciones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lógicas</w:t>
      </w:r>
      <w:proofErr w:type="spellEnd"/>
      <w:r w:rsidR="00C2198E" w:rsidRPr="00C2198E">
        <w:rPr>
          <w:rFonts w:ascii="Book Antiqua" w:hAnsi="Book Antiqua"/>
          <w:color w:val="000000"/>
        </w:rPr>
        <w:t xml:space="preserve"> de </w:t>
      </w:r>
      <w:proofErr w:type="spellStart"/>
      <w:r w:rsidR="00C2198E" w:rsidRPr="00C2198E">
        <w:rPr>
          <w:rFonts w:ascii="Book Antiqua" w:hAnsi="Book Antiqua"/>
          <w:color w:val="000000"/>
        </w:rPr>
        <w:t>evaluación</w:t>
      </w:r>
      <w:proofErr w:type="spellEnd"/>
      <w:r w:rsidR="00C2198E" w:rsidRPr="00C2198E">
        <w:rPr>
          <w:rFonts w:ascii="Book Antiqua" w:hAnsi="Book Antiqua"/>
          <w:color w:val="000000"/>
        </w:rPr>
        <w:t xml:space="preserve">. </w:t>
      </w:r>
      <w:r>
        <w:rPr>
          <w:rFonts w:ascii="Book Antiqua" w:hAnsi="Book Antiqua"/>
          <w:color w:val="000000"/>
        </w:rPr>
        <w:t xml:space="preserve"> A </w:t>
      </w:r>
      <w:proofErr w:type="spellStart"/>
      <w:r>
        <w:rPr>
          <w:rFonts w:ascii="Book Antiqua" w:hAnsi="Book Antiqua"/>
          <w:color w:val="000000"/>
        </w:rPr>
        <w:t>diferencia</w:t>
      </w:r>
      <w:proofErr w:type="spellEnd"/>
      <w:r>
        <w:rPr>
          <w:rFonts w:ascii="Book Antiqua" w:hAnsi="Book Antiqua"/>
          <w:color w:val="000000"/>
        </w:rPr>
        <w:t xml:space="preserve"> de un </w:t>
      </w:r>
      <w:proofErr w:type="spellStart"/>
      <w:r>
        <w:rPr>
          <w:rFonts w:ascii="Book Antiqua" w:hAnsi="Book Antiqua"/>
          <w:color w:val="000000"/>
        </w:rPr>
        <w:t>valor</w:t>
      </w:r>
      <w:proofErr w:type="spellEnd"/>
      <w:r>
        <w:rPr>
          <w:rFonts w:ascii="Book Antiqua" w:hAnsi="Book Antiqua"/>
          <w:color w:val="000000"/>
        </w:rPr>
        <w:t xml:space="preserve"> </w:t>
      </w:r>
      <w:proofErr w:type="spellStart"/>
      <w:r>
        <w:rPr>
          <w:rFonts w:ascii="Book Antiqua" w:hAnsi="Book Antiqua"/>
          <w:color w:val="000000"/>
        </w:rPr>
        <w:t>escalar</w:t>
      </w:r>
      <w:proofErr w:type="spellEnd"/>
      <w:r>
        <w:rPr>
          <w:rFonts w:ascii="Book Antiqua" w:hAnsi="Book Antiqua"/>
          <w:color w:val="000000"/>
        </w:rPr>
        <w:t xml:space="preserve"> simple,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expresión</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sidR="00C2198E">
        <w:rPr>
          <w:rFonts w:ascii="Book Antiqua" w:hAnsi="Book Antiqua"/>
          <w:color w:val="000000"/>
        </w:rPr>
        <w:t xml:space="preserve"> </w:t>
      </w:r>
      <w:proofErr w:type="spellStart"/>
      <w:r>
        <w:rPr>
          <w:rFonts w:ascii="Book Antiqua" w:hAnsi="Book Antiqua"/>
          <w:color w:val="000000"/>
        </w:rPr>
        <w:t>procesa</w:t>
      </w:r>
      <w:proofErr w:type="spellEnd"/>
      <w:r>
        <w:rPr>
          <w:rFonts w:ascii="Book Antiqua" w:hAnsi="Book Antiqua"/>
          <w:color w:val="000000"/>
        </w:rPr>
        <w:t xml:space="preserve"> </w:t>
      </w:r>
      <w:proofErr w:type="spellStart"/>
      <w:r>
        <w:rPr>
          <w:rFonts w:ascii="Book Antiqua" w:hAnsi="Book Antiqua"/>
          <w:color w:val="000000"/>
        </w:rPr>
        <w:t>múltiples</w:t>
      </w:r>
      <w:proofErr w:type="spellEnd"/>
      <w:r>
        <w:rPr>
          <w:rFonts w:ascii="Book Antiqua" w:hAnsi="Book Antiqua"/>
          <w:color w:val="000000"/>
        </w:rPr>
        <w:t xml:space="preserve"> </w:t>
      </w:r>
      <w:proofErr w:type="spellStart"/>
      <w:r>
        <w:rPr>
          <w:rFonts w:ascii="Book Antiqua" w:hAnsi="Book Antiqua"/>
          <w:color w:val="000000"/>
        </w:rPr>
        <w:t>dimensiones</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de </w:t>
      </w:r>
      <w:proofErr w:type="spellStart"/>
      <w:r>
        <w:rPr>
          <w:rFonts w:ascii="Book Antiqua" w:hAnsi="Book Antiqua"/>
          <w:color w:val="000000"/>
        </w:rPr>
        <w:t>referencia</w:t>
      </w:r>
      <w:proofErr w:type="spellEnd"/>
      <w:r>
        <w:rPr>
          <w:rFonts w:ascii="Book Antiqua" w:hAnsi="Book Antiqua"/>
          <w:color w:val="000000"/>
        </w:rPr>
        <w:t xml:space="preserve"> </w:t>
      </w:r>
      <w:proofErr w:type="spellStart"/>
      <w:r>
        <w:rPr>
          <w:rFonts w:ascii="Book Antiqua" w:hAnsi="Book Antiqua"/>
          <w:color w:val="000000"/>
        </w:rPr>
        <w:t>espacial</w:t>
      </w:r>
      <w:proofErr w:type="spellEnd"/>
      <w:r>
        <w:rPr>
          <w:rFonts w:ascii="Book Antiqua" w:hAnsi="Book Antiqua"/>
          <w:color w:val="000000"/>
        </w:rPr>
        <w:t xml:space="preserve"> (SRID) y envolventes mínimas (bounding boxes), lo que amplía el área de escape sintáctico. Este vacío teórico en los modelos tradicionales de inyección deja sin caracterizar la manipulación de predicados topológicos nativos en motores relacionales.</w:t>
      </w:r>
    </w:p>
    <w:p w14:paraId="14867A14" w14:textId="77777777" w:rsidR="006C4700" w:rsidRDefault="00000000">
      <w:pPr>
        <w:keepNext/>
        <w:spacing w:before="160" w:after="60"/>
      </w:pPr>
      <w:r>
        <w:rPr>
          <w:rFonts w:ascii="Book Antiqua" w:hAnsi="Book Antiqua"/>
          <w:b/>
          <w:color w:val="000000"/>
        </w:rPr>
        <w:t>2.2. Modelos de Control de Acceso y Brechas de Inferencia Geoespacial</w:t>
      </w:r>
    </w:p>
    <w:p w14:paraId="06060798" w14:textId="5C509B49" w:rsidR="006C4700" w:rsidRDefault="00000000">
      <w:pPr>
        <w:spacing w:after="80" w:line="240" w:lineRule="auto"/>
      </w:pPr>
      <w:r>
        <w:rPr>
          <w:rFonts w:ascii="Book Antiqua" w:hAnsi="Book Antiqua"/>
          <w:color w:val="000000"/>
        </w:rPr>
        <w:t xml:space="preserve">El control de acceso en bases de datos espaciales ha sido conceptualizado formalmente por Bertino et al. (2005) a través del modelo GEO-RBAC (Spatially Aware Role-Based Access Control), el cual demostró que los permisos de lectura y modificación deben subordinarse a fronteras geográficas dinámicas. Complementariamente, Chun y Atluri (2008) y Atluri y Chun (2004) analizaron los </w:t>
      </w:r>
      <w:r>
        <w:rPr>
          <w:rFonts w:ascii="Book Antiqua" w:hAnsi="Book Antiqua"/>
          <w:color w:val="000000"/>
        </w:rPr>
        <w:lastRenderedPageBreak/>
        <w:t xml:space="preserve">riesgos de inferencia espacial en SDBMS, donde un usuario no autorizado puede deducir la existencia o atributos de un objeto protegido correlacionando consultas espaciales sucesivas. No obstante, </w:t>
      </w:r>
      <w:proofErr w:type="spellStart"/>
      <w:r>
        <w:rPr>
          <w:rFonts w:ascii="Book Antiqua" w:hAnsi="Book Antiqua"/>
          <w:color w:val="000000"/>
        </w:rPr>
        <w:t>estas</w:t>
      </w:r>
      <w:proofErr w:type="spellEnd"/>
      <w:r>
        <w:rPr>
          <w:rFonts w:ascii="Book Antiqua" w:hAnsi="Book Antiqua"/>
          <w:color w:val="000000"/>
        </w:rPr>
        <w:t xml:space="preserve"> </w:t>
      </w:r>
      <w:proofErr w:type="spellStart"/>
      <w:r>
        <w:rPr>
          <w:rFonts w:ascii="Book Antiqua" w:hAnsi="Book Antiqua"/>
          <w:color w:val="000000"/>
        </w:rPr>
        <w:t>aproximaciones</w:t>
      </w:r>
      <w:proofErr w:type="spellEnd"/>
      <w:r>
        <w:rPr>
          <w:rFonts w:ascii="Book Antiqua" w:hAnsi="Book Antiqua"/>
          <w:color w:val="000000"/>
        </w:rPr>
        <w:t xml:space="preserve"> </w:t>
      </w:r>
      <w:proofErr w:type="spellStart"/>
      <w:r>
        <w:rPr>
          <w:rFonts w:ascii="Book Antiqua" w:hAnsi="Book Antiqua"/>
          <w:color w:val="000000"/>
        </w:rPr>
        <w:t>asumen</w:t>
      </w:r>
      <w:proofErr w:type="spellEnd"/>
      <w:r>
        <w:rPr>
          <w:rFonts w:ascii="Book Antiqua" w:hAnsi="Book Antiqua"/>
          <w:color w:val="000000"/>
        </w:rPr>
        <w:t xml:space="preserve"> que la </w:t>
      </w:r>
      <w:proofErr w:type="spellStart"/>
      <w:r>
        <w:rPr>
          <w:rFonts w:ascii="Book Antiqua" w:hAnsi="Book Antiqua"/>
          <w:color w:val="000000"/>
        </w:rPr>
        <w:t>capa</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sidR="00F31BDF">
        <w:rPr>
          <w:rFonts w:ascii="Book Antiqua" w:hAnsi="Book Antiqua"/>
          <w:color w:val="000000"/>
        </w:rPr>
        <w:t>transfiere</w:t>
      </w:r>
      <w:proofErr w:type="spellEnd"/>
      <w:r w:rsidR="00F31BDF">
        <w:rPr>
          <w:rFonts w:ascii="Book Antiqua" w:hAnsi="Book Antiqua"/>
          <w:color w:val="000000"/>
        </w:rPr>
        <w:t xml:space="preserve"> de </w:t>
      </w:r>
      <w:proofErr w:type="spellStart"/>
      <w:r w:rsidR="00F31BDF">
        <w:rPr>
          <w:rFonts w:ascii="Book Antiqua" w:hAnsi="Book Antiqua"/>
          <w:color w:val="000000"/>
        </w:rPr>
        <w:t>manera</w:t>
      </w:r>
      <w:proofErr w:type="spellEnd"/>
      <w:r w:rsidR="00F31BDF">
        <w:rPr>
          <w:rFonts w:ascii="Book Antiqua" w:hAnsi="Book Antiqua"/>
          <w:color w:val="000000"/>
        </w:rPr>
        <w:t xml:space="preserve"> </w:t>
      </w:r>
      <w:proofErr w:type="spellStart"/>
      <w:r w:rsidR="00F31BDF">
        <w:rPr>
          <w:rFonts w:ascii="Book Antiqua" w:hAnsi="Book Antiqua"/>
          <w:color w:val="000000"/>
        </w:rPr>
        <w:t>precisa</w:t>
      </w:r>
      <w:proofErr w:type="spellEnd"/>
      <w:r>
        <w:rPr>
          <w:rFonts w:ascii="Book Antiqua" w:hAnsi="Book Antiqua"/>
          <w:color w:val="000000"/>
        </w:rPr>
        <w:t xml:space="preserve"> las </w:t>
      </w:r>
      <w:proofErr w:type="spellStart"/>
      <w:r>
        <w:rPr>
          <w:rFonts w:ascii="Book Antiqua" w:hAnsi="Book Antiqua"/>
          <w:color w:val="000000"/>
        </w:rPr>
        <w:t>políticas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a la base de datos; en arquitecturas web modernas, la concatenación insegura anula directamente el control de acceso en la persistencia sin ser detectada por los mecanismos de autorización de la capa de aplicación.</w:t>
      </w:r>
    </w:p>
    <w:p w14:paraId="305DF9C8" w14:textId="77777777" w:rsidR="006C4700" w:rsidRDefault="00000000">
      <w:pPr>
        <w:keepNext/>
        <w:spacing w:before="160" w:after="60"/>
      </w:pPr>
      <w:r>
        <w:rPr>
          <w:rFonts w:ascii="Book Antiqua" w:hAnsi="Book Antiqua"/>
          <w:b/>
          <w:color w:val="000000"/>
        </w:rPr>
        <w:t>2.3. Integridad y Modelado de Datos Catastrales bajo el Estándar LADM</w:t>
      </w:r>
    </w:p>
    <w:p w14:paraId="204443E7" w14:textId="767C2567" w:rsidR="006C4700" w:rsidRDefault="00F31BDF">
      <w:pPr>
        <w:spacing w:after="80" w:line="240" w:lineRule="auto"/>
      </w:pPr>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Pr>
          <w:rFonts w:ascii="Book Antiqua" w:hAnsi="Book Antiqua"/>
          <w:sz w:val="22"/>
        </w:rPr>
        <w:t>El estándar ISO 19152:2012, también denominado Land Administration Domain Model (LADM), es el que regula a nivel global la modelación técnica de los sistemas de información catastral. Autores de referencia como Lemmen et al. (2015) y van Oosterom et al. (2006) formalizaron las clases fundamentales del catastro, destacando LA_SpatialUnit (parcelas y lotes) y LA_Party (titulares prediales), extendidas posteriormente hacia modelos de valoración masiva automatizada (Kara et al., 2021). Si bien el estándar prescribe la semántica e interoperabilidad de la información territorial y registral, no define salvaguardas arquitectónicas a nivel de consulta contra ataques de inyección SQL, dejando expuesta la integridad de los derechos reales de propiedad y la recaudación fiscal ante fallas en la implementación de software.</w:t>
      </w:r>
    </w:p>
    <w:p w14:paraId="75EDAB03" w14:textId="77777777" w:rsidR="006C4700" w:rsidRDefault="00000000">
      <w:pPr>
        <w:keepNext/>
        <w:spacing w:before="160" w:after="60"/>
      </w:pPr>
      <w:r>
        <w:rPr>
          <w:rFonts w:ascii="Book Antiqua" w:hAnsi="Book Antiqua"/>
          <w:b/>
          <w:color w:val="000000"/>
        </w:rPr>
        <w:t>2.4. Ataques de Complejidad Algorítmica y Vulnerabilidades en Servicios OGC</w:t>
      </w:r>
    </w:p>
    <w:p w14:paraId="39C697D6" w14:textId="1F432961" w:rsidR="006C4700" w:rsidRDefault="00000000">
      <w:pPr>
        <w:spacing w:after="80" w:line="240" w:lineRule="auto"/>
      </w:pPr>
      <w:r>
        <w:rPr>
          <w:rFonts w:ascii="Book Antiqua" w:hAnsi="Book Antiqua"/>
          <w:color w:val="000000"/>
        </w:rPr>
        <w:t xml:space="preserve">La </w:t>
      </w:r>
      <w:r w:rsidR="00F31BDF">
        <w:rPr>
          <w:rFonts w:ascii="Book Antiqua" w:hAnsi="Book Antiqua"/>
          <w:color w:val="000000"/>
        </w:rPr>
        <w:t xml:space="preserve">actual </w:t>
      </w:r>
      <w:proofErr w:type="spellStart"/>
      <w:r w:rsidR="00F31BDF">
        <w:rPr>
          <w:rFonts w:ascii="Book Antiqua" w:hAnsi="Book Antiqua"/>
          <w:color w:val="000000"/>
        </w:rPr>
        <w:t>relevancia</w:t>
      </w:r>
      <w:proofErr w:type="spellEnd"/>
      <w:r w:rsidR="00F31BDF">
        <w:rPr>
          <w:rFonts w:ascii="Book Antiqua" w:hAnsi="Book Antiqua"/>
          <w:color w:val="000000"/>
        </w:rPr>
        <w:t xml:space="preserve"> </w:t>
      </w:r>
      <w:r>
        <w:rPr>
          <w:rFonts w:ascii="Book Antiqua" w:hAnsi="Book Antiqua"/>
          <w:color w:val="000000"/>
        </w:rPr>
        <w:t xml:space="preserve">de </w:t>
      </w:r>
      <w:proofErr w:type="spellStart"/>
      <w:r>
        <w:rPr>
          <w:rFonts w:ascii="Book Antiqua" w:hAnsi="Book Antiqua"/>
          <w:color w:val="000000"/>
        </w:rPr>
        <w:t>esta</w:t>
      </w:r>
      <w:proofErr w:type="spellEnd"/>
      <w:r>
        <w:rPr>
          <w:rFonts w:ascii="Book Antiqua" w:hAnsi="Book Antiqua"/>
          <w:color w:val="000000"/>
        </w:rPr>
        <w:t xml:space="preserve"> </w:t>
      </w:r>
      <w:proofErr w:type="spellStart"/>
      <w:r>
        <w:rPr>
          <w:rFonts w:ascii="Book Antiqua" w:hAnsi="Book Antiqua"/>
          <w:color w:val="000000"/>
        </w:rPr>
        <w:t>amenaza</w:t>
      </w:r>
      <w:proofErr w:type="spellEnd"/>
      <w:r>
        <w:rPr>
          <w:rFonts w:ascii="Book Antiqua" w:hAnsi="Book Antiqua"/>
          <w:color w:val="000000"/>
        </w:rPr>
        <w:t xml:space="preserve"> </w:t>
      </w:r>
      <w:proofErr w:type="spellStart"/>
      <w:r>
        <w:rPr>
          <w:rFonts w:ascii="Book Antiqua" w:hAnsi="Book Antiqua"/>
          <w:color w:val="000000"/>
        </w:rPr>
        <w:t>quedó</w:t>
      </w:r>
      <w:proofErr w:type="spellEnd"/>
      <w:r>
        <w:rPr>
          <w:rFonts w:ascii="Book Antiqua" w:hAnsi="Book Antiqua"/>
          <w:color w:val="000000"/>
        </w:rPr>
        <w:t xml:space="preserve"> </w:t>
      </w:r>
      <w:proofErr w:type="spellStart"/>
      <w:r>
        <w:rPr>
          <w:rFonts w:ascii="Book Antiqua" w:hAnsi="Book Antiqua"/>
          <w:color w:val="000000"/>
        </w:rPr>
        <w:t>demostrada</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industria mediante la vulnerabilidad crítica CVE-2023-25157 (con puntaje CVSS de 9.8), donde el software de referencia GeoServer permitía la ejecución remota de SQL no autenticado mediante la evaluación insegura de filtros OGC y expresiones CQL sobre bases de datos PostGIS (National Vulnerability Database, 2023). Por otro lado, en el ámbito de la denegación de servicio, Crosby y Wallach (2003) establecieron el concepto de ataques de complejidad algorítmica (Algorithmic Complexity Attacks), demostrando cómo entradas </w:t>
      </w:r>
      <w:proofErr w:type="spellStart"/>
      <w:r>
        <w:rPr>
          <w:rFonts w:ascii="Book Antiqua" w:hAnsi="Book Antiqua"/>
          <w:color w:val="000000"/>
        </w:rPr>
        <w:t>diseñadas</w:t>
      </w:r>
      <w:proofErr w:type="spellEnd"/>
      <w:r>
        <w:rPr>
          <w:rFonts w:ascii="Book Antiqua" w:hAnsi="Book Antiqua"/>
          <w:color w:val="000000"/>
        </w:rPr>
        <w:t xml:space="preserve"> </w:t>
      </w:r>
      <w:proofErr w:type="spellStart"/>
      <w:r>
        <w:rPr>
          <w:rFonts w:ascii="Book Antiqua" w:hAnsi="Book Antiqua"/>
          <w:color w:val="000000"/>
        </w:rPr>
        <w:t>pueden</w:t>
      </w:r>
      <w:proofErr w:type="spellEnd"/>
      <w:r>
        <w:rPr>
          <w:rFonts w:ascii="Book Antiqua" w:hAnsi="Book Antiqua"/>
          <w:color w:val="000000"/>
        </w:rPr>
        <w:t xml:space="preserve"> </w:t>
      </w:r>
      <w:proofErr w:type="spellStart"/>
      <w:r>
        <w:rPr>
          <w:rFonts w:ascii="Book Antiqua" w:hAnsi="Book Antiqua"/>
          <w:color w:val="000000"/>
        </w:rPr>
        <w:t>forzar</w:t>
      </w:r>
      <w:proofErr w:type="spellEnd"/>
      <w:r>
        <w:rPr>
          <w:rFonts w:ascii="Book Antiqua" w:hAnsi="Book Antiqua"/>
          <w:color w:val="000000"/>
        </w:rPr>
        <w:t xml:space="preserve"> a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de </w:t>
      </w:r>
      <w:proofErr w:type="spellStart"/>
      <w:r>
        <w:rPr>
          <w:rFonts w:ascii="Book Antiqua" w:hAnsi="Book Antiqua"/>
          <w:color w:val="000000"/>
        </w:rPr>
        <w:t>peor</w:t>
      </w:r>
      <w:proofErr w:type="spellEnd"/>
      <w:r>
        <w:rPr>
          <w:rFonts w:ascii="Book Antiqua" w:hAnsi="Book Antiqua"/>
          <w:color w:val="000000"/>
        </w:rPr>
        <w:t xml:space="preserve"> </w:t>
      </w:r>
      <w:proofErr w:type="spellStart"/>
      <w:r>
        <w:rPr>
          <w:rFonts w:ascii="Book Antiqua" w:hAnsi="Book Antiqua"/>
          <w:color w:val="000000"/>
        </w:rPr>
        <w:t>caso</w:t>
      </w:r>
      <w:proofErr w:type="spellEnd"/>
      <w:r>
        <w:rPr>
          <w:rFonts w:ascii="Book Antiqua" w:hAnsi="Book Antiqua"/>
          <w:color w:val="000000"/>
        </w:rPr>
        <w:t xml:space="preserve"> (O(N^2)) </w:t>
      </w:r>
      <w:proofErr w:type="gramStart"/>
      <w:r>
        <w:rPr>
          <w:rFonts w:ascii="Book Antiqua" w:hAnsi="Book Antiqua"/>
          <w:color w:val="000000"/>
        </w:rPr>
        <w:t>a</w:t>
      </w:r>
      <w:proofErr w:type="gramEnd"/>
      <w:r>
        <w:rPr>
          <w:rFonts w:ascii="Book Antiqua" w:hAnsi="Book Antiqua"/>
          <w:color w:val="000000"/>
        </w:rPr>
        <w:t xml:space="preserve"> </w:t>
      </w:r>
      <w:proofErr w:type="spellStart"/>
      <w:r w:rsidR="00F31BDF">
        <w:rPr>
          <w:rFonts w:ascii="Book Antiqua" w:hAnsi="Book Antiqua"/>
          <w:color w:val="000000"/>
        </w:rPr>
        <w:t>acaparar</w:t>
      </w:r>
      <w:proofErr w:type="spellEnd"/>
      <w:r>
        <w:rPr>
          <w:rFonts w:ascii="Book Antiqua" w:hAnsi="Book Antiqua"/>
          <w:color w:val="000000"/>
        </w:rPr>
        <w:t xml:space="preserve"> la CPU. En </w:t>
      </w:r>
      <w:proofErr w:type="spellStart"/>
      <w:r>
        <w:rPr>
          <w:rFonts w:ascii="Book Antiqua" w:hAnsi="Book Antiqua"/>
          <w:color w:val="000000"/>
        </w:rPr>
        <w:t>motores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w:t>
      </w:r>
      <w:proofErr w:type="spellStart"/>
      <w:r w:rsidR="00F31BDF">
        <w:rPr>
          <w:rFonts w:ascii="Book Antiqua" w:hAnsi="Book Antiqua"/>
          <w:color w:val="000000"/>
        </w:rPr>
        <w:t>según</w:t>
      </w:r>
      <w:proofErr w:type="spellEnd"/>
      <w:r>
        <w:rPr>
          <w:rFonts w:ascii="Book Antiqua" w:hAnsi="Book Antiqua"/>
          <w:color w:val="000000"/>
        </w:rPr>
        <w:t xml:space="preserve"> Agarwal y Rajan (2016),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w:t>
      </w:r>
      <w:proofErr w:type="spellStart"/>
      <w:r>
        <w:rPr>
          <w:rFonts w:ascii="Book Antiqua" w:hAnsi="Book Antiqua"/>
          <w:color w:val="000000"/>
        </w:rPr>
        <w:t>computacionales</w:t>
      </w:r>
      <w:proofErr w:type="spellEnd"/>
      <w:r>
        <w:rPr>
          <w:rFonts w:ascii="Book Antiqua" w:hAnsi="Book Antiqua"/>
          <w:color w:val="000000"/>
        </w:rPr>
        <w:t xml:space="preserve"> de la </w:t>
      </w:r>
      <w:proofErr w:type="spellStart"/>
      <w:r>
        <w:rPr>
          <w:rFonts w:ascii="Book Antiqua" w:hAnsi="Book Antiqua"/>
          <w:color w:val="000000"/>
        </w:rPr>
        <w:t>librería</w:t>
      </w:r>
      <w:proofErr w:type="spellEnd"/>
      <w:r>
        <w:rPr>
          <w:rFonts w:ascii="Book Antiqua" w:hAnsi="Book Antiqua"/>
          <w:color w:val="000000"/>
        </w:rPr>
        <w:t xml:space="preserve"> GEOS</w:t>
      </w:r>
      <w:r w:rsidR="00F31BDF">
        <w:rPr>
          <w:rFonts w:ascii="Book Antiqua" w:hAnsi="Book Antiqua"/>
          <w:color w:val="000000"/>
        </w:rPr>
        <w:t xml:space="preserve">, </w:t>
      </w:r>
      <w:proofErr w:type="spellStart"/>
      <w:r w:rsidR="00F31BDF">
        <w:rPr>
          <w:rFonts w:ascii="Book Antiqua" w:hAnsi="Book Antiqua"/>
          <w:color w:val="000000"/>
        </w:rPr>
        <w:t>integrada</w:t>
      </w:r>
      <w:proofErr w:type="spellEnd"/>
      <w:r w:rsidR="00F31BDF">
        <w:rPr>
          <w:rFonts w:ascii="Book Antiqua" w:hAnsi="Book Antiqua"/>
          <w:color w:val="000000"/>
        </w:rPr>
        <w:t xml:space="preserve"> </w:t>
      </w:r>
      <w:proofErr w:type="spellStart"/>
      <w:r w:rsidR="00F31BDF">
        <w:rPr>
          <w:rFonts w:ascii="Book Antiqua" w:hAnsi="Book Antiqua"/>
          <w:color w:val="000000"/>
        </w:rPr>
        <w:t>en</w:t>
      </w:r>
      <w:proofErr w:type="spellEnd"/>
      <w:r w:rsidR="00F31BDF">
        <w:rPr>
          <w:rFonts w:ascii="Book Antiqua" w:hAnsi="Book Antiqua"/>
          <w:color w:val="000000"/>
        </w:rPr>
        <w:t xml:space="preserve"> </w:t>
      </w:r>
      <w:proofErr w:type="spellStart"/>
      <w:r>
        <w:rPr>
          <w:rFonts w:ascii="Book Antiqua" w:hAnsi="Book Antiqua"/>
          <w:color w:val="000000"/>
        </w:rPr>
        <w:t>PostGIS</w:t>
      </w:r>
      <w:proofErr w:type="spellEnd"/>
      <w:r w:rsid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demandan</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w:t>
      </w:r>
      <w:proofErr w:type="spellStart"/>
      <w:r>
        <w:rPr>
          <w:rFonts w:ascii="Book Antiqua" w:hAnsi="Book Antiqua"/>
          <w:color w:val="000000"/>
        </w:rPr>
        <w:t>c</w:t>
      </w:r>
      <w:r w:rsidR="00F31BDF">
        <w:rPr>
          <w:rFonts w:ascii="Book Antiqua" w:hAnsi="Book Antiqua"/>
          <w:color w:val="000000"/>
        </w:rPr>
        <w:t>omputacional</w:t>
      </w:r>
      <w:proofErr w:type="spellEnd"/>
      <w:r>
        <w:rPr>
          <w:rFonts w:ascii="Book Antiqua" w:hAnsi="Book Antiqua"/>
          <w:color w:val="000000"/>
        </w:rPr>
        <w:t xml:space="preserve"> </w:t>
      </w:r>
      <w:proofErr w:type="spellStart"/>
      <w:r>
        <w:rPr>
          <w:rFonts w:ascii="Book Antiqua" w:hAnsi="Book Antiqua"/>
          <w:color w:val="000000"/>
        </w:rPr>
        <w:t>cuadrática</w:t>
      </w:r>
      <w:proofErr w:type="spellEnd"/>
      <w:r>
        <w:rPr>
          <w:rFonts w:ascii="Book Antiqua" w:hAnsi="Book Antiqua"/>
          <w:color w:val="000000"/>
        </w:rPr>
        <w:t xml:space="preserve"> </w:t>
      </w:r>
      <w:proofErr w:type="spellStart"/>
      <w:r>
        <w:rPr>
          <w:rFonts w:ascii="Book Antiqua" w:hAnsi="Book Antiqua"/>
          <w:color w:val="000000"/>
        </w:rPr>
        <w:t>cuando</w:t>
      </w:r>
      <w:proofErr w:type="spellEnd"/>
      <w:r>
        <w:rPr>
          <w:rFonts w:ascii="Book Antiqua" w:hAnsi="Book Antiqua"/>
          <w:color w:val="000000"/>
        </w:rPr>
        <w:t xml:space="preserve"> se </w:t>
      </w:r>
      <w:proofErr w:type="spellStart"/>
      <w:r>
        <w:rPr>
          <w:rFonts w:ascii="Book Antiqua" w:hAnsi="Book Antiqua"/>
          <w:color w:val="000000"/>
        </w:rPr>
        <w:t>ejecutan</w:t>
      </w:r>
      <w:proofErr w:type="spellEnd"/>
      <w:r>
        <w:rPr>
          <w:rFonts w:ascii="Book Antiqua" w:hAnsi="Book Antiqua"/>
          <w:color w:val="000000"/>
        </w:rPr>
        <w:t xml:space="preserve"> </w:t>
      </w:r>
      <w:proofErr w:type="spellStart"/>
      <w:r>
        <w:rPr>
          <w:rFonts w:ascii="Book Antiqua" w:hAnsi="Book Antiqua"/>
          <w:color w:val="000000"/>
        </w:rPr>
        <w:t>sobre</w:t>
      </w:r>
      <w:proofErr w:type="spellEnd"/>
      <w:r>
        <w:rPr>
          <w:rFonts w:ascii="Book Antiqua" w:hAnsi="Book Antiqua"/>
          <w:color w:val="000000"/>
        </w:rPr>
        <w:t xml:space="preserve"> </w:t>
      </w:r>
      <w:proofErr w:type="spellStart"/>
      <w:r>
        <w:rPr>
          <w:rFonts w:ascii="Book Antiqua" w:hAnsi="Book Antiqua"/>
          <w:color w:val="000000"/>
        </w:rPr>
        <w:t>polígonos</w:t>
      </w:r>
      <w:proofErr w:type="spellEnd"/>
      <w:r>
        <w:rPr>
          <w:rFonts w:ascii="Book Antiqua" w:hAnsi="Book Antiqua"/>
          <w:color w:val="000000"/>
        </w:rPr>
        <w:t xml:space="preserve"> </w:t>
      </w:r>
      <w:proofErr w:type="spellStart"/>
      <w:r>
        <w:rPr>
          <w:rFonts w:ascii="Book Antiqua" w:hAnsi="Book Antiqua"/>
          <w:color w:val="000000"/>
        </w:rPr>
        <w:t>complejos</w:t>
      </w:r>
      <w:proofErr w:type="spellEnd"/>
      <w:r>
        <w:rPr>
          <w:rFonts w:ascii="Book Antiqua" w:hAnsi="Book Antiqua"/>
          <w:color w:val="000000"/>
        </w:rPr>
        <w:t xml:space="preserve"> </w:t>
      </w:r>
      <w:r w:rsidR="00F174E0">
        <w:rPr>
          <w:rFonts w:ascii="Book Antiqua" w:hAnsi="Book Antiqua"/>
          <w:color w:val="000000"/>
        </w:rPr>
        <w:t>sin</w:t>
      </w:r>
      <w:r>
        <w:rPr>
          <w:rFonts w:ascii="Book Antiqua" w:hAnsi="Book Antiqua"/>
          <w:color w:val="000000"/>
        </w:rPr>
        <w:t xml:space="preserve"> </w:t>
      </w:r>
      <w:proofErr w:type="spellStart"/>
      <w:r>
        <w:rPr>
          <w:rFonts w:ascii="Book Antiqua" w:hAnsi="Book Antiqua"/>
          <w:color w:val="000000"/>
        </w:rPr>
        <w:t>filtrado</w:t>
      </w:r>
      <w:proofErr w:type="spellEnd"/>
      <w:r>
        <w:rPr>
          <w:rFonts w:ascii="Book Antiqua" w:hAnsi="Book Antiqua"/>
          <w:color w:val="000000"/>
        </w:rPr>
        <w:t xml:space="preserve"> </w:t>
      </w:r>
      <w:proofErr w:type="spellStart"/>
      <w:r>
        <w:rPr>
          <w:rFonts w:ascii="Book Antiqua" w:hAnsi="Book Antiqua"/>
          <w:color w:val="000000"/>
        </w:rPr>
        <w:t>preliminar</w:t>
      </w:r>
      <w:proofErr w:type="spellEnd"/>
      <w:r>
        <w:rPr>
          <w:rFonts w:ascii="Book Antiqua" w:hAnsi="Book Antiqua"/>
          <w:color w:val="000000"/>
        </w:rPr>
        <w:t xml:space="preserve"> </w:t>
      </w:r>
      <w:proofErr w:type="spellStart"/>
      <w:r>
        <w:rPr>
          <w:rFonts w:ascii="Book Antiqua" w:hAnsi="Book Antiqua"/>
          <w:color w:val="000000"/>
        </w:rPr>
        <w:t>por</w:t>
      </w:r>
      <w:proofErr w:type="spellEnd"/>
      <w:r>
        <w:rPr>
          <w:rFonts w:ascii="Book Antiqua" w:hAnsi="Book Antiqua"/>
          <w:color w:val="000000"/>
        </w:rPr>
        <w:t xml:space="preserve"> </w:t>
      </w:r>
      <w:proofErr w:type="spellStart"/>
      <w:r>
        <w:rPr>
          <w:rFonts w:ascii="Book Antiqua" w:hAnsi="Book Antiqua"/>
          <w:color w:val="000000"/>
        </w:rPr>
        <w:t>índice</w:t>
      </w:r>
      <w:proofErr w:type="spellEnd"/>
      <w:r>
        <w:rPr>
          <w:rFonts w:ascii="Book Antiqua" w:hAnsi="Book Antiqua"/>
          <w:color w:val="000000"/>
        </w:rPr>
        <w:t xml:space="preserve"> espacial GiST. </w:t>
      </w:r>
      <w:proofErr w:type="spellStart"/>
      <w:r>
        <w:rPr>
          <w:rFonts w:ascii="Book Antiqua" w:hAnsi="Book Antiqua"/>
          <w:color w:val="000000"/>
        </w:rPr>
        <w:t>Pese</w:t>
      </w:r>
      <w:proofErr w:type="spellEnd"/>
      <w:r>
        <w:rPr>
          <w:rFonts w:ascii="Book Antiqua" w:hAnsi="Book Antiqua"/>
          <w:color w:val="000000"/>
        </w:rPr>
        <w:t xml:space="preserve"> a </w:t>
      </w:r>
      <w:proofErr w:type="spellStart"/>
      <w:r>
        <w:rPr>
          <w:rFonts w:ascii="Book Antiqua" w:hAnsi="Book Antiqua"/>
          <w:color w:val="000000"/>
        </w:rPr>
        <w:t>estos</w:t>
      </w:r>
      <w:proofErr w:type="spellEnd"/>
      <w:r>
        <w:rPr>
          <w:rFonts w:ascii="Book Antiqua" w:hAnsi="Book Antiqua"/>
          <w:color w:val="000000"/>
        </w:rPr>
        <w:t xml:space="preserve"> </w:t>
      </w:r>
      <w:proofErr w:type="spellStart"/>
      <w:r>
        <w:rPr>
          <w:rFonts w:ascii="Book Antiqua" w:hAnsi="Book Antiqua"/>
          <w:color w:val="000000"/>
        </w:rPr>
        <w:t>antecedentes</w:t>
      </w:r>
      <w:proofErr w:type="spellEnd"/>
      <w:r>
        <w:rPr>
          <w:rFonts w:ascii="Book Antiqua" w:hAnsi="Book Antiqua"/>
          <w:color w:val="000000"/>
        </w:rPr>
        <w:t xml:space="preserve">, la </w:t>
      </w:r>
      <w:proofErr w:type="spellStart"/>
      <w:r>
        <w:rPr>
          <w:rFonts w:ascii="Book Antiqua" w:hAnsi="Book Antiqua"/>
          <w:color w:val="000000"/>
        </w:rPr>
        <w:t>literatura</w:t>
      </w:r>
      <w:proofErr w:type="spellEnd"/>
      <w:r>
        <w:rPr>
          <w:rFonts w:ascii="Book Antiqua" w:hAnsi="Book Antiqua"/>
          <w:color w:val="000000"/>
        </w:rPr>
        <w:t xml:space="preserve"> no ha </w:t>
      </w:r>
      <w:proofErr w:type="spellStart"/>
      <w:r w:rsidR="00F174E0">
        <w:rPr>
          <w:rFonts w:ascii="Book Antiqua" w:hAnsi="Book Antiqua"/>
          <w:color w:val="000000"/>
        </w:rPr>
        <w:t>medido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impacto</w:t>
      </w:r>
      <w:proofErr w:type="spellEnd"/>
      <w:r>
        <w:rPr>
          <w:rFonts w:ascii="Book Antiqua" w:hAnsi="Book Antiqua"/>
          <w:color w:val="000000"/>
        </w:rPr>
        <w:t xml:space="preserve"> de </w:t>
      </w:r>
      <w:proofErr w:type="spellStart"/>
      <w:r>
        <w:rPr>
          <w:rFonts w:ascii="Book Antiqua" w:hAnsi="Book Antiqua"/>
          <w:color w:val="000000"/>
        </w:rPr>
        <w:t>latencia</w:t>
      </w:r>
      <w:proofErr w:type="spellEnd"/>
      <w:r>
        <w:rPr>
          <w:rFonts w:ascii="Book Antiqua" w:hAnsi="Book Antiqua"/>
          <w:color w:val="000000"/>
        </w:rPr>
        <w:t xml:space="preserve"> </w:t>
      </w:r>
      <w:proofErr w:type="spellStart"/>
      <w:r>
        <w:rPr>
          <w:rFonts w:ascii="Book Antiqua" w:hAnsi="Book Antiqua"/>
          <w:color w:val="000000"/>
        </w:rPr>
        <w:t>ni</w:t>
      </w:r>
      <w:proofErr w:type="spellEnd"/>
      <w:r>
        <w:rPr>
          <w:rFonts w:ascii="Book Antiqua" w:hAnsi="Book Antiqua"/>
          <w:color w:val="000000"/>
        </w:rPr>
        <w:t xml:space="preserve"> ha </w:t>
      </w:r>
      <w:proofErr w:type="spellStart"/>
      <w:r>
        <w:rPr>
          <w:rFonts w:ascii="Book Antiqua" w:hAnsi="Book Antiqua"/>
          <w:color w:val="000000"/>
        </w:rPr>
        <w:t>formalizado</w:t>
      </w:r>
      <w:proofErr w:type="spellEnd"/>
      <w:r>
        <w:rPr>
          <w:rFonts w:ascii="Book Antiqua" w:hAnsi="Book Antiqua"/>
          <w:color w:val="000000"/>
        </w:rPr>
        <w:t xml:space="preserve"> esquemas defensivos integrados entre el analizador web y el motor geométrico.</w:t>
      </w:r>
    </w:p>
    <w:p w14:paraId="12BBCF6D" w14:textId="77777777" w:rsidR="006C4700" w:rsidRDefault="00000000">
      <w:pPr>
        <w:keepNext/>
        <w:spacing w:before="240" w:after="80"/>
      </w:pPr>
      <w:r>
        <w:rPr>
          <w:rFonts w:ascii="Book Antiqua" w:hAnsi="Book Antiqua"/>
          <w:b/>
          <w:color w:val="000000"/>
          <w:sz w:val="24"/>
        </w:rPr>
        <w:t>3. Metodología</w:t>
      </w:r>
    </w:p>
    <w:p w14:paraId="4A11448A" w14:textId="77777777" w:rsidR="006C4700" w:rsidRDefault="00000000">
      <w:pPr>
        <w:keepNext/>
        <w:spacing w:before="160" w:after="60"/>
      </w:pPr>
      <w:r>
        <w:rPr>
          <w:rFonts w:ascii="Book Antiqua" w:hAnsi="Book Antiqua"/>
          <w:b/>
          <w:color w:val="000000"/>
        </w:rPr>
        <w:t>3.1. Enfoque y Diseño Experimental</w:t>
      </w:r>
    </w:p>
    <w:p w14:paraId="137F47F7" w14:textId="2C4FCDBC" w:rsidR="006C4700" w:rsidRDefault="00000000">
      <w:pPr>
        <w:spacing w:after="80" w:line="240" w:lineRule="auto"/>
      </w:pPr>
      <w:r>
        <w:rPr>
          <w:rFonts w:ascii="Book Antiqua" w:hAnsi="Book Antiqua"/>
          <w:color w:val="000000"/>
        </w:rPr>
        <w:t>Se adoptó un diseño experimental y cuantitativo orientado a evaluar la susceptibilidad de endpoints geoespaciales ante inyecciones SQL y medir el impacto en rendimiento derivado de un esquema de mitigación multicapa. La evaluación contrasta tres escenarios defensivos: (1) servicio vulnerable sin protección, (2) servicio protegido perimetralmente mediante un cortafuegos de aplicaciones web (WAF) basado en firmas (OWASP CRS v3.3), y (3) servicio mitigado mediante el pipeline de aplicación propuesto (ORM con validación tipada y topológica previa).</w:t>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sidR="00F174E0">
        <w:rPr>
          <w:rFonts w:ascii="Book Antiqua" w:hAnsi="Book Antiqua"/>
          <w:color w:val="000000"/>
        </w:rPr>
      </w:r>
      <w:proofErr w:type="spellStart"/>
      <w:r w:rsidR="00F174E0">
        <w:rPr>
          <w:rFonts w:ascii="Book Antiqua" w:hAnsi="Book Antiqua"/>
          <w:color w:val="000000"/>
        </w:rPr>
      </w:r>
      <w:proofErr w:type="spellEnd"/>
      <w:r w:rsidR="00F174E0">
        <w:rPr>
          <w:rFonts w:ascii="Book Antiqua" w:hAnsi="Book Antiqua"/>
          <w:color w:val="000000"/>
        </w:rPr>
      </w:r>
      <w:proofErr w:type="spellStart"/>
      <w:r w:rsidR="00F174E0">
        <w:rPr>
          <w:rFonts w:ascii="Book Antiqua" w:hAnsi="Book Antiqua"/>
          <w:color w:val="000000"/>
        </w:rPr>
      </w:r>
      <w:proofErr w:type="spellEnd"/>
      <w:r w:rsidR="00F174E0">
        <w:rPr>
          <w:rFonts w:ascii="Book Antiqua" w:hAnsi="Book Antiqua"/>
          <w:color w:val="000000"/>
        </w:rPr>
      </w:r>
      <w:proofErr w:type="spellStart"/>
      <w:r w:rsidR="00F174E0">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sidR="00F174E0">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
    <w:p w14:paraId="14F87C71" w14:textId="77777777" w:rsidR="006C4700" w:rsidRDefault="00000000">
      <w:pPr>
        <w:keepNext/>
        <w:spacing w:before="160" w:after="60"/>
      </w:pPr>
      <w:r>
        <w:rPr>
          <w:rFonts w:ascii="Book Antiqua" w:hAnsi="Book Antiqua"/>
          <w:b/>
          <w:color w:val="000000"/>
        </w:rPr>
        <w:lastRenderedPageBreak/>
        <w:t>3.2. Conjunto de Datos Catastrales (Dataset)</w:t>
      </w:r>
    </w:p>
    <w:p w14:paraId="1BCAA6E3" w14:textId="6884AE79" w:rsidR="006C4700" w:rsidRDefault="00000000">
      <w:pPr>
        <w:spacing w:after="80" w:line="240" w:lineRule="auto"/>
      </w:pPr>
      <w:r>
        <w:t>El dataset experimental comprende 487 lotes catastrales urbanos continuos estructurados bajo el estándar ISO 19152 (LADM, clase LA_SpatialUnit) y georreferenciados en EPSG:32719. El esquema relacional de pruebas se estructuró en tres entidades: tg_lote (persistencia de los 487 lotes prediales bajo la clase LA_SpatialUnit), catastro_titulares (información alfanumérica fiscal y de autovalúo bajo la clase LA_Party) y catastro_usuarios (gestión de accesos y credenciales operativas). Las geometrías presentan una complejidad de entre 4 y 222 vértices (promedio: 9.0 vértices por polígono). Para garantizar reproducibilidad y resguardo ético, la cartografía base se obtuvo de fuentes abiertas y los atributos fiscales fueron generados proceduralmente sin incorporar información personal identificable (PII).</w:t>
      </w:r>
    </w:p>
    <w:p w14:paraId="48710FE8" w14:textId="77777777" w:rsidR="006C4700" w:rsidRDefault="00000000">
      <w:pPr>
        <w:keepNext/>
        <w:spacing w:before="160" w:after="60"/>
      </w:pPr>
      <w:r>
        <w:rPr>
          <w:rFonts w:ascii="Book Antiqua" w:hAnsi="Book Antiqua"/>
          <w:b/>
          <w:color w:val="000000"/>
        </w:rPr>
        <w:t>3.3. Entorno Experimental y Arquitectura</w:t>
      </w:r>
    </w:p>
    <w:p w14:paraId="347C0F06" w14:textId="4A041D8E" w:rsidR="006C4700" w:rsidRDefault="00000000">
      <w:pPr>
        <w:spacing w:after="80" w:line="240" w:lineRule="auto"/>
      </w:pPr>
      <w:r>
        <w:t>El banco de pruebas se implementó en contenedores Docker mediante microservicios aislados: (1) un servicio de base de datos con PostgreSQL 15 y PostGIS 3.3, (2) una API en Python 3.11 con FastAPI y Uvicorn, y (3) un proxy reverso Nginx configurado con el módulo ModSecurity v3 y el conjunto de reglas perimetrales OWASP Core Rule Set (CRS v3.3). Las pruebas de estrés se ejecutaron en un entorno controlado con un procesador Intel Core Ultra 5 245KF de 14 núcleos a 5.2 GHz con 32 GB de RAM DDR5 y almacenamiento NVMe PCIe 4.0 sobre Linux kernel 6.6 (WSL2). El código fuente, dataset y playground interactivo se encuentran disponibles públicamente en: https://github.com/RAlexander777/Playground-SQLi-PostGIS.</w:t>
      </w:r>
    </w:p>
    <w:p w14:paraId="1659278F" w14:textId="77777777" w:rsidR="006C4700" w:rsidRDefault="00000000">
      <w:pPr>
        <w:keepNext/>
        <w:spacing w:before="160" w:after="60"/>
      </w:pPr>
      <w:r>
        <w:rPr>
          <w:rFonts w:ascii="Book Antiqua" w:hAnsi="Book Antiqua"/>
          <w:b/>
          <w:color w:val="000000"/>
        </w:rPr>
        <w:t>3.4. Vectores de Prueba y Métricas de Rendimiento</w:t>
      </w:r>
    </w:p>
    <w:p w14:paraId="754F4C46" w14:textId="0199EC04" w:rsidR="006C4700" w:rsidRDefault="00000000">
      <w:pPr>
        <w:spacing w:after="80" w:line="240" w:lineRule="auto"/>
      </w:pPr>
      <w:r>
        <w:rPr>
          <w:rFonts w:ascii="Book Antiqua" w:hAnsi="Book Antiqua"/>
          <w:color w:val="000000"/>
        </w:rPr>
        <w:t>Se estructuraron seis vectores de explotación basados en las directrices de prueba de inyección de la Web Security Testing Guide (OWASP Foundation, 2023), orientados a las tres dimensiones de la tríada CIA (Confidencialidad, Integridad y Disponibilidad). La batería experimental comprendió dos categorías de vectores: (a) vectores de inyección espacial directa (V1 a V3), dirigidos contra predicados topológicos nativos y funciones de análisis geométrico en PostGIS; y (b) vectores de inyección SQL convencional aplicados al flujo transaccional y administrativo del catastro (V4 a V6), utilizados como línea base de control para verificar la integridad del modelo de datos y la capacidad de detección de herramientas perimetrales. La evaluación de rendimiento contempló una batería de carga de 300 peticiones y curvas de concurrencia escalonada (1 a 100 clientes) sobre el endpoint de proximidad territorial (/predios/radio), registrando métricas de latencia (media, p50, p95, p99) y throughput (req/s). La caracterización técnica de los seis vectores de explotación, sus endpoints y los payloads representativos se detallan en el Apéndice 1.</w:t>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Pr>
          <w:rFonts w:ascii="Book Antiqua" w:hAnsi="Book Antiqua"/>
          <w:sz w:val="22"/>
        </w:rPr>
      </w:r>
    </w:p>
    <w:p w14:paraId="7E2E0386" w14:textId="77777777" w:rsidR="006C4700" w:rsidRDefault="00000000">
      <w:pPr>
        <w:keepNext/>
        <w:spacing w:before="240" w:after="80"/>
      </w:pPr>
      <w:r>
        <w:rPr>
          <w:rFonts w:ascii="Book Antiqua" w:hAnsi="Book Antiqua"/>
          <w:b/>
          <w:color w:val="000000"/>
          <w:sz w:val="24"/>
        </w:rPr>
        <w:t>4. Simulaciones de Ataque y Resultados de Explotación</w:t>
      </w:r>
    </w:p>
    <w:p w14:paraId="464A33AD" w14:textId="77777777" w:rsidR="006C4700" w:rsidRDefault="00000000">
      <w:pPr>
        <w:keepNext/>
        <w:spacing w:before="160" w:after="60"/>
      </w:pPr>
      <w:r>
        <w:rPr>
          <w:rFonts w:ascii="Book Antiqua" w:hAnsi="Book Antiqua"/>
          <w:b/>
          <w:color w:val="000000"/>
        </w:rPr>
        <w:t>4.1. Simulación 1: Evasión de Límite Espacial (Spatial Logic Bypass)</w:t>
      </w:r>
    </w:p>
    <w:p w14:paraId="27AD4166" w14:textId="50FE7636" w:rsidR="006C4700" w:rsidRDefault="00000000">
      <w:pPr>
        <w:spacing w:after="80" w:line="240" w:lineRule="auto"/>
      </w:pPr>
      <w:r>
        <w:rPr>
          <w:rFonts w:ascii="Book Antiqua" w:hAnsi="Book Antiqua"/>
          <w:color w:val="000000"/>
        </w:rPr>
        <w:t xml:space="preserve">El endpoint GET /api/v1/vulnerable/predios/radio está diseñado para retornar lotes dentro de un radio de 50 metros en el sector 0101. Al inyectar en el parámetro distancia el payload '50) OR (1=1', el analizador léxico de PostgreSQL cierra prematuramente el operador ST_DWithin e introduce una tautología que anula tanto el límite espacial como el filtro de sector territorial. Como resultado, la consulta </w:t>
      </w:r>
      <w:proofErr w:type="spellStart"/>
      <w:r>
        <w:rPr>
          <w:rFonts w:ascii="Book Antiqua" w:hAnsi="Book Antiqua"/>
          <w:color w:val="000000"/>
        </w:rPr>
        <w:t>pasó</w:t>
      </w:r>
      <w:proofErr w:type="spellEnd"/>
      <w:r>
        <w:rPr>
          <w:rFonts w:ascii="Book Antiqua" w:hAnsi="Book Antiqua"/>
          <w:color w:val="000000"/>
        </w:rPr>
        <w:t xml:space="preserve"> de </w:t>
      </w:r>
      <w:proofErr w:type="spellStart"/>
      <w:r>
        <w:rPr>
          <w:rFonts w:ascii="Book Antiqua" w:hAnsi="Book Antiqua"/>
          <w:color w:val="000000"/>
        </w:rPr>
        <w:t>retornar</w:t>
      </w:r>
      <w:proofErr w:type="spellEnd"/>
      <w:r>
        <w:rPr>
          <w:rFonts w:ascii="Book Antiqua" w:hAnsi="Book Antiqua"/>
          <w:color w:val="000000"/>
        </w:rPr>
        <w:t xml:space="preserve"> 1 </w:t>
      </w:r>
      <w:proofErr w:type="spellStart"/>
      <w:r>
        <w:rPr>
          <w:rFonts w:ascii="Book Antiqua" w:hAnsi="Book Antiqua"/>
          <w:color w:val="000000"/>
        </w:rPr>
        <w:t>predio</w:t>
      </w:r>
      <w:proofErr w:type="spellEnd"/>
      <w:r>
        <w:rPr>
          <w:rFonts w:ascii="Book Antiqua" w:hAnsi="Book Antiqua"/>
          <w:color w:val="000000"/>
        </w:rPr>
        <w:t xml:space="preserve"> </w:t>
      </w:r>
      <w:proofErr w:type="spellStart"/>
      <w:r>
        <w:rPr>
          <w:rFonts w:ascii="Book Antiqua" w:hAnsi="Book Antiqua"/>
          <w:color w:val="000000"/>
        </w:rPr>
        <w:t>autorizado</w:t>
      </w:r>
      <w:proofErr w:type="spellEnd"/>
      <w:r>
        <w:rPr>
          <w:rFonts w:ascii="Book Antiqua" w:hAnsi="Book Antiqua"/>
          <w:color w:val="000000"/>
        </w:rPr>
        <w:t xml:space="preserve"> a </w:t>
      </w:r>
      <w:proofErr w:type="spellStart"/>
      <w:r w:rsidR="001C1B5A">
        <w:rPr>
          <w:rFonts w:ascii="Book Antiqua" w:hAnsi="Book Antiqua"/>
          <w:color w:val="000000"/>
        </w:rPr>
        <w:t>retornar</w:t>
      </w:r>
      <w:proofErr w:type="spellEnd"/>
      <w:r>
        <w:rPr>
          <w:rFonts w:ascii="Book Antiqua" w:hAnsi="Book Antiqua"/>
          <w:color w:val="000000"/>
        </w:rPr>
        <w:t xml:space="preserve"> </w:t>
      </w:r>
      <w:proofErr w:type="spellStart"/>
      <w:r>
        <w:rPr>
          <w:rFonts w:ascii="Book Antiqua" w:hAnsi="Book Antiqua"/>
          <w:color w:val="000000"/>
        </w:rPr>
        <w:t>masivamente</w:t>
      </w:r>
      <w:proofErr w:type="spellEnd"/>
      <w:r>
        <w:rPr>
          <w:rFonts w:ascii="Book Antiqua" w:hAnsi="Book Antiqua"/>
          <w:color w:val="000000"/>
        </w:rPr>
        <w:t xml:space="preserve"> 50 </w:t>
      </w:r>
      <w:proofErr w:type="spellStart"/>
      <w:r w:rsidR="001C1B5A">
        <w:rPr>
          <w:rFonts w:ascii="Book Antiqua" w:hAnsi="Book Antiqua"/>
          <w:color w:val="000000"/>
        </w:rPr>
        <w:t>lotes</w:t>
      </w:r>
      <w:proofErr w:type="spellEnd"/>
      <w:r w:rsidR="001C1B5A">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no </w:t>
      </w:r>
      <w:proofErr w:type="spellStart"/>
      <w:r>
        <w:rPr>
          <w:rFonts w:ascii="Book Antiqua" w:hAnsi="Book Antiqua"/>
          <w:color w:val="000000"/>
        </w:rPr>
        <w:t>autorizad</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7.03 </w:t>
      </w:r>
      <w:proofErr w:type="spellStart"/>
      <w:r>
        <w:rPr>
          <w:rFonts w:ascii="Book Antiqua" w:hAnsi="Book Antiqua"/>
          <w:color w:val="000000"/>
        </w:rPr>
        <w:t>ms</w:t>
      </w:r>
      <w:proofErr w:type="spellEnd"/>
      <w:r>
        <w:rPr>
          <w:rFonts w:ascii="Book Antiqua" w:hAnsi="Book Antiqua"/>
          <w:color w:val="000000"/>
        </w:rPr>
        <w:t>. En el endpoint mitigado, Pydantic y GeoAlchemy2 verificaron el tipo numérico estricto, neutralizando el ataque con código HTTP 422.</w:t>
      </w:r>
    </w:p>
    <w:p w14:paraId="3CB2BFD2" w14:textId="77777777" w:rsidR="006C4700" w:rsidRDefault="00000000">
      <w:pPr>
        <w:keepNext/>
        <w:spacing w:before="160" w:after="60"/>
      </w:pPr>
      <w:r>
        <w:rPr>
          <w:rFonts w:ascii="Book Antiqua" w:hAnsi="Book Antiqua"/>
          <w:b/>
          <w:color w:val="000000"/>
        </w:rPr>
        <w:t>4.2. Simulación 2: Inferencia de Datos por Errores Geométricos (Error-Based Spatial SQLi)</w:t>
      </w:r>
    </w:p>
    <w:p w14:paraId="3075A5FE" w14:textId="15F62B96" w:rsidR="006C4700" w:rsidRDefault="00000000">
      <w:pPr>
        <w:spacing w:after="80" w:line="240" w:lineRule="auto"/>
      </w:pPr>
      <w:r>
        <w:rPr>
          <w:rFonts w:ascii="Book Antiqua" w:hAnsi="Book Antiqua"/>
          <w:color w:val="000000"/>
        </w:rPr>
        <w:t xml:space="preserve">En el endpoint GET /api/v1/vulnerable/predios/poligono, la aplicación dibuja polígonos cartográficos sin exponer datos textuales. El atacante estructuró un canal lateral inferencial acoplado al operador ST_Intersects, inyectando una división por cero condicional a la conjetura de caracteres sobre la tabla administrativa: si el carácter adivinado coincide, se produce una excepción en PostGIS disparando un error HTTP 500; si es falso, el motor responde con HTTP 200. Mediante </w:t>
      </w:r>
      <w:proofErr w:type="spellStart"/>
      <w:r>
        <w:rPr>
          <w:rFonts w:ascii="Book Antiqua" w:hAnsi="Book Antiqua"/>
          <w:color w:val="000000"/>
        </w:rPr>
        <w:t>este</w:t>
      </w:r>
      <w:proofErr w:type="spellEnd"/>
      <w:r>
        <w:rPr>
          <w:rFonts w:ascii="Book Antiqua" w:hAnsi="Book Antiqua"/>
          <w:color w:val="000000"/>
        </w:rPr>
        <w:t xml:space="preserve"> </w:t>
      </w:r>
      <w:proofErr w:type="spellStart"/>
      <w:r>
        <w:rPr>
          <w:rFonts w:ascii="Book Antiqua" w:hAnsi="Book Antiqua"/>
          <w:color w:val="000000"/>
        </w:rPr>
        <w:t>mecanismo</w:t>
      </w:r>
      <w:proofErr w:type="spellEnd"/>
      <w:r>
        <w:rPr>
          <w:rFonts w:ascii="Book Antiqua" w:hAnsi="Book Antiqua"/>
          <w:color w:val="000000"/>
        </w:rPr>
        <w:t xml:space="preserve"> se </w:t>
      </w:r>
      <w:proofErr w:type="spellStart"/>
      <w:r w:rsidR="001C1B5A">
        <w:rPr>
          <w:rFonts w:ascii="Book Antiqua" w:hAnsi="Book Antiqua"/>
          <w:color w:val="000000"/>
        </w:rPr>
        <w:t>obtuvo</w:t>
      </w:r>
      <w:proofErr w:type="spellEnd"/>
      <w:r>
        <w:rPr>
          <w:rFonts w:ascii="Book Antiqua" w:hAnsi="Book Antiqua"/>
          <w:color w:val="000000"/>
        </w:rPr>
        <w:t xml:space="preserve"> la </w:t>
      </w:r>
      <w:proofErr w:type="spellStart"/>
      <w:r>
        <w:rPr>
          <w:rFonts w:ascii="Book Antiqua" w:hAnsi="Book Antiqua"/>
          <w:color w:val="000000"/>
        </w:rPr>
        <w:t>credencial</w:t>
      </w:r>
      <w:proofErr w:type="spellEnd"/>
      <w:r>
        <w:rPr>
          <w:rFonts w:ascii="Book Antiqua" w:hAnsi="Book Antiqua"/>
          <w:color w:val="000000"/>
        </w:rPr>
        <w:t xml:space="preserve"> </w:t>
      </w:r>
      <w:proofErr w:type="spellStart"/>
      <w:r>
        <w:rPr>
          <w:rFonts w:ascii="Book Antiqua" w:hAnsi="Book Antiqua"/>
          <w:color w:val="000000"/>
        </w:rPr>
        <w:t>completa</w:t>
      </w:r>
      <w:proofErr w:type="spellEnd"/>
      <w:r>
        <w:rPr>
          <w:rFonts w:ascii="Book Antiqua" w:hAnsi="Book Antiqua"/>
          <w:color w:val="000000"/>
        </w:rPr>
        <w:t xml:space="preserve"> 'admin' </w:t>
      </w:r>
      <w:proofErr w:type="spellStart"/>
      <w:r>
        <w:rPr>
          <w:rFonts w:ascii="Book Antiqua" w:hAnsi="Book Antiqua"/>
          <w:color w:val="000000"/>
        </w:rPr>
        <w:t>en</w:t>
      </w:r>
      <w:proofErr w:type="spellEnd"/>
      <w:r>
        <w:rPr>
          <w:rFonts w:ascii="Book Antiqua" w:hAnsi="Book Antiqua"/>
          <w:color w:val="000000"/>
        </w:rPr>
        <w:t xml:space="preserve"> 42 segundos. En la versión </w:t>
      </w:r>
      <w:r>
        <w:rPr>
          <w:rFonts w:ascii="Book Antiqua" w:hAnsi="Book Antiqua"/>
          <w:color w:val="000000"/>
        </w:rPr>
        <w:lastRenderedPageBreak/>
        <w:t>mitigada, Shapely evaluó la validez topológica en memoria, rechazando la sintaxis con HTTP 422.</w:t>
      </w:r>
    </w:p>
    <w:p w14:paraId="2C6DDEC9" w14:textId="77777777" w:rsidR="006C4700" w:rsidRDefault="00000000">
      <w:pPr>
        <w:keepNext/>
        <w:spacing w:before="160" w:after="60"/>
      </w:pPr>
      <w:r>
        <w:rPr>
          <w:rFonts w:ascii="Book Antiqua" w:hAnsi="Book Antiqua"/>
          <w:b/>
          <w:color w:val="000000"/>
        </w:rPr>
        <w:t>4.3. Simulación 3: Denegación de Servicio Espacial (Spatial DoS)</w:t>
      </w:r>
    </w:p>
    <w:p w14:paraId="0E0892E0" w14:textId="714D9A3F" w:rsidR="006C4700" w:rsidRDefault="00000000">
      <w:pPr>
        <w:spacing w:after="80" w:line="240" w:lineRule="auto"/>
      </w:pPr>
      <w:proofErr w:type="spellStart"/>
      <w:r>
        <w:rPr>
          <w:rFonts w:ascii="Book Antiqua" w:hAnsi="Book Antiqua"/>
          <w:color w:val="000000"/>
        </w:rPr>
        <w:t>Aprovechando la complejidad geométrica base de las parcelas (promedio de 9.0 vértices y hasta 222 vértices por polígono), el atacante inyectó en el endpoint GET /api/v1/vulnerable/predios/analisis-expansion una subconsulta con un producto cruzado espacial O(N^2) que computa buffers con alta densidad de segmentos por cuadrante. Para aislar el coste computacional del producto cartesiano sin inducir un bloqueo permanente del servidor de pruebas, la inyección evaluó un subconjunto sistemático de 20 parcelas cruzadas entre sí (400 pares de polígonos), variando la resolución de vértices en el buffer. Como se evidencia en la Figura 1, esta inyección del producto cartesiano desencadena una explosión de complejidad algorítmica O(N^2) que eleva la latencia desde 10.8 ms hasta 1,692.1 ms a medida que los vértices evaluados en el buffer crecen de 14,400 a más de 345,600 puntos, saturando los workers de PostgreSQL en el procesador Intel Core Ultra 5 245KF. En contraste, la arquitectura mitigada preserva una latencia acotada de ~15 ms al restringir los parámetros a escalares validados mediante Pydantic y GeoAlchemy2.</w:t>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r w:rsidR="001C1B5A">
        <w:rPr>
          <w:rFonts w:ascii="Book Antiqua" w:hAnsi="Book Antiqua"/>
          <w:color w:val="000000"/>
        </w:rPr>
      </w:r>
      <w:r>
        <w:rPr>
          <w:rFonts w:ascii="Book Antiqua" w:hAnsi="Book Antiqua"/>
          <w:color w:val="000000"/>
        </w:rPr>
      </w:r>
      <w:proofErr w:type="spellEnd"/>
      <w:r>
        <w:rPr>
          <w:rFonts w:ascii="Book Antiqua" w:hAnsi="Book Antiqua"/>
          <w:color w:val="000000"/>
        </w:rPr>
      </w:r>
      <w:proofErr w:type="spellStart"/>
      <w:r w:rsidR="001C1B5A">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sidR="001C1B5A">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r w:rsidR="001C1B5A">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sidR="001C1B5A">
        <w:rPr>
          <w:rFonts w:ascii="Book Antiqua" w:hAnsi="Book Antiqua"/>
          <w:color w:val="000000"/>
        </w:rPr>
      </w:r>
      <w:proofErr w:type="spellStart"/>
      <w:r w:rsidR="001C1B5A">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gramStart"/>
      <w:r>
        <w:rPr>
          <w:rFonts w:ascii="Book Antiqua" w:hAnsi="Book Antiqua"/>
          <w:color w:val="000000"/>
        </w:rPr>
      </w:r>
      <w:proofErr w:type="gramEnd"/>
      <w:r>
        <w:rPr>
          <w:rFonts w:ascii="Book Antiqua" w:hAnsi="Book Antiqua"/>
          <w:color w:val="000000"/>
        </w:rPr>
      </w:r>
    </w:p>
    <w:p w14:paraId="79F74448" w14:textId="77777777" w:rsidR="006C4700" w:rsidRDefault="00000000">
      <w:pPr>
        <w:keepNext/>
        <w:spacing w:before="160" w:after="40"/>
        <w:jc w:val="center"/>
      </w:pPr>
      <w:r>
        <w:rPr>
          <w:noProof/>
        </w:rPr>
        <w:drawing>
          <wp:inline distT="0" distB="0" distL="0" distR="0" wp14:anchorId="2AF70EA5" wp14:editId="62F9A3A2">
            <wp:extent cx="4937760" cy="285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patial_dos_complexity.png"/>
                    <pic:cNvPicPr/>
                  </pic:nvPicPr>
                  <pic:blipFill>
                    <a:blip r:embed="rId8"/>
                    <a:stretch>
                      <a:fillRect/>
                    </a:stretch>
                  </pic:blipFill>
                  <pic:spPr>
                    <a:xfrm>
                      <a:off x="0" y="0"/>
                      <a:ext cx="4937760" cy="2852928"/>
                    </a:xfrm>
                    <a:prstGeom prst="rect">
                      <a:avLst/>
                    </a:prstGeom>
                  </pic:spPr>
                </pic:pic>
              </a:graphicData>
            </a:graphic>
          </wp:inline>
        </w:drawing>
      </w:r>
    </w:p>
    <w:p w14:paraId="1E03851B" w14:textId="77777777" w:rsidR="006C4700" w:rsidRDefault="00000000">
      <w:pPr>
        <w:spacing w:before="120" w:after="160"/>
        <w:jc w:val="center"/>
      </w:pPr>
      <w:r>
        <w:rPr>
          <w:rFonts w:ascii="Book Antiqua" w:hAnsi="Book Antiqua"/>
          <w:b/>
          <w:color w:val="000000"/>
          <w:sz w:val="20"/>
        </w:rPr>
        <w:t>Figura 1. Curva de degeneración algorítmica cuadrática O(N²) en PostGIS/GEOS ante inyección de sobrecarga geométrica vs. mitigación acotada</w:t>
      </w:r>
    </w:p>
    <w:p w14:paraId="08161588" w14:textId="77777777" w:rsidR="006C4700" w:rsidRDefault="00000000">
      <w:pPr>
        <w:keepNext/>
        <w:spacing w:before="160" w:after="60"/>
      </w:pPr>
      <w:r>
        <w:rPr>
          <w:rFonts w:ascii="Book Antiqua" w:hAnsi="Book Antiqua"/>
          <w:b/>
          <w:color w:val="000000"/>
        </w:rPr>
        <w:t>4.4. Simulación 4: Fraude en Ficha Catastral (Tampering de Autovalúo)</w:t>
      </w:r>
    </w:p>
    <w:p w14:paraId="5244C923" w14:textId="58768FE3" w:rsidR="006C4700" w:rsidRDefault="00000000">
      <w:pPr>
        <w:spacing w:after="80" w:line="240" w:lineRule="auto"/>
      </w:pPr>
      <w:r>
        <w:rPr>
          <w:rFonts w:ascii="Book Antiqua" w:hAnsi="Book Antiqua"/>
          <w:color w:val="000000"/>
        </w:rPr>
        <w:t xml:space="preserve">En </w:t>
      </w:r>
      <w:proofErr w:type="spellStart"/>
      <w:r>
        <w:rPr>
          <w:rFonts w:ascii="Book Antiqua" w:hAnsi="Book Antiqua"/>
          <w:color w:val="000000"/>
        </w:rPr>
        <w:t>el</w:t>
      </w:r>
      <w:proofErr w:type="spellEnd"/>
      <w:r>
        <w:rPr>
          <w:rFonts w:ascii="Book Antiqua" w:hAnsi="Book Antiqua"/>
          <w:color w:val="000000"/>
        </w:rPr>
        <w:t xml:space="preserve"> endpoint POST /</w:t>
      </w:r>
      <w:proofErr w:type="spellStart"/>
      <w:r>
        <w:rPr>
          <w:rFonts w:ascii="Book Antiqua" w:hAnsi="Book Antiqua"/>
          <w:color w:val="000000"/>
        </w:rPr>
        <w:t>api</w:t>
      </w:r>
      <w:proofErr w:type="spellEnd"/>
      <w:r>
        <w:rPr>
          <w:rFonts w:ascii="Book Antiqua" w:hAnsi="Book Antiqua"/>
          <w:color w:val="000000"/>
        </w:rPr>
        <w:t>/v1/vulnerable/</w:t>
      </w:r>
      <w:proofErr w:type="spellStart"/>
      <w:r>
        <w:rPr>
          <w:rFonts w:ascii="Book Antiqua" w:hAnsi="Book Antiqua"/>
          <w:color w:val="000000"/>
        </w:rPr>
        <w:t>ficha</w:t>
      </w:r>
      <w:proofErr w:type="spellEnd"/>
      <w:r>
        <w:rPr>
          <w:rFonts w:ascii="Book Antiqua" w:hAnsi="Book Antiqua"/>
          <w:color w:val="000000"/>
        </w:rPr>
        <w:t>/</w:t>
      </w:r>
      <w:proofErr w:type="spellStart"/>
      <w:r>
        <w:rPr>
          <w:rFonts w:ascii="Book Antiqua" w:hAnsi="Book Antiqua"/>
          <w:color w:val="000000"/>
        </w:rPr>
        <w:t>modificar</w:t>
      </w:r>
      <w:proofErr w:type="spellEnd"/>
      <w:r>
        <w:rPr>
          <w:rFonts w:ascii="Book Antiqua" w:hAnsi="Book Antiqua"/>
          <w:color w:val="000000"/>
        </w:rPr>
        <w:t xml:space="preserve">, se </w:t>
      </w:r>
      <w:proofErr w:type="spellStart"/>
      <w:r>
        <w:rPr>
          <w:rFonts w:ascii="Book Antiqua" w:hAnsi="Book Antiqua"/>
          <w:color w:val="000000"/>
        </w:rPr>
        <w:t>simuló</w:t>
      </w:r>
      <w:proofErr w:type="spellEnd"/>
      <w:r>
        <w:rPr>
          <w:rFonts w:ascii="Book Antiqua" w:hAnsi="Book Antiqua"/>
          <w:color w:val="000000"/>
        </w:rPr>
        <w:t xml:space="preserve"> un </w:t>
      </w:r>
      <w:proofErr w:type="spellStart"/>
      <w:r>
        <w:rPr>
          <w:rFonts w:ascii="Book Antiqua" w:hAnsi="Book Antiqua"/>
          <w:color w:val="000000"/>
        </w:rPr>
        <w:t>ataque</w:t>
      </w:r>
      <w:proofErr w:type="spellEnd"/>
      <w:r>
        <w:rPr>
          <w:rFonts w:ascii="Book Antiqua" w:hAnsi="Book Antiqua"/>
          <w:color w:val="000000"/>
        </w:rPr>
        <w:t xml:space="preserve"> contra la </w:t>
      </w:r>
      <w:proofErr w:type="spellStart"/>
      <w:r w:rsidR="003D136C">
        <w:rPr>
          <w:rFonts w:ascii="Book Antiqua" w:hAnsi="Book Antiqua"/>
          <w:color w:val="000000"/>
        </w:rPr>
        <w:t>integridad</w:t>
      </w:r>
      <w:proofErr w:type="spellEnd"/>
      <w:r w:rsidR="003D136C">
        <w:rPr>
          <w:rFonts w:ascii="Book Antiqua" w:hAnsi="Book Antiqua"/>
          <w:color w:val="000000"/>
        </w:rPr>
        <w:t xml:space="preserve"> de </w:t>
      </w:r>
      <w:proofErr w:type="spellStart"/>
      <w:r w:rsidR="003D136C">
        <w:rPr>
          <w:rFonts w:ascii="Book Antiqua" w:hAnsi="Book Antiqua"/>
          <w:color w:val="000000"/>
        </w:rPr>
        <w:t>datos</w:t>
      </w:r>
      <w:proofErr w:type="spellEnd"/>
      <w:r>
        <w:rPr>
          <w:rFonts w:ascii="Book Antiqua" w:hAnsi="Book Antiqua"/>
          <w:color w:val="000000"/>
        </w:rPr>
        <w:t>. Mediante concatenación en la cláusula SET, el atacante manipuló el autovalúo fijándolo en S/ 0.00 y sustituyó el titular predial legítimo por un tercero no autorizado, demostrando la vulnerabilidad de las bases fiscales ante inyecciones de actualización directa. El endpoint mitigado bloqueó el fraude mediante expresiones regulares alfabéticas y validación de rangos positivos en SQLAlchemy (HTTP 422).</w:t>
      </w:r>
    </w:p>
    <w:p w14:paraId="33E52F8A" w14:textId="77777777" w:rsidR="006C4700" w:rsidRDefault="00000000">
      <w:pPr>
        <w:keepNext/>
        <w:spacing w:before="160" w:after="60"/>
      </w:pPr>
      <w:r>
        <w:rPr>
          <w:rFonts w:ascii="Book Antiqua" w:hAnsi="Book Antiqua"/>
          <w:b/>
          <w:color w:val="000000"/>
        </w:rPr>
        <w:lastRenderedPageBreak/>
        <w:t>4.5. Simulación 5: Borrado Destructivo de Cartografía Predial (Data Destruction)</w:t>
      </w:r>
    </w:p>
    <w:p w14:paraId="7A5D8337" w14:textId="37CBC071" w:rsidR="006C4700" w:rsidRDefault="00000000">
      <w:pPr>
        <w:spacing w:after="80" w:line="240" w:lineRule="auto"/>
      </w:pPr>
      <w:r>
        <w:t>En el endpoint DELETE /api/v1/vulnerable/predios/borrar, la inyección del payload literal '0101' OR '1'='1' en el parámetro de filtrado sectorial transformó la sentencia en una eliminación incondicional de registros (DELETE FROM tg_lote WHERE cod_sector = '0101' OR '1'='1'), eliminando los 487 lotes y dejando el visor webmapping sin cartografía. En contraste, el endpoint mitigado validó el sector mediante el patrón estricto ^\d{4}$, rechazando la inyección con código HTTP 422 y preservando la base catastral.</w:t>
      </w:r>
    </w:p>
    <w:p w14:paraId="707FDD1F" w14:textId="77777777" w:rsidR="006C4700" w:rsidRDefault="00000000">
      <w:pPr>
        <w:keepNext/>
        <w:spacing w:before="160" w:after="60"/>
      </w:pPr>
      <w:r>
        <w:rPr>
          <w:rFonts w:ascii="Book Antiqua" w:hAnsi="Book Antiqua"/>
          <w:b/>
          <w:color w:val="000000"/>
        </w:rPr>
        <w:t>4.6. Simulación 6: Evasión de Autenticación en el Visor Catastral</w:t>
      </w:r>
    </w:p>
    <w:p w14:paraId="7452F01C" w14:textId="77777777" w:rsidR="006C4700" w:rsidRDefault="00000000">
      <w:pPr>
        <w:spacing w:after="80" w:line="240" w:lineRule="auto"/>
      </w:pPr>
      <w:r>
        <w:rPr>
          <w:rFonts w:ascii="Book Antiqua" w:hAnsi="Book Antiqua"/>
          <w:color w:val="000000"/>
        </w:rPr>
        <w:t>En el endpoint POST /api/v1/vulnerable/auth/login, el atacante ingresó "admin' --" en el campo de usuario, comentando la validación del hash de contraseña. La API otorgó acceso y emitió un token con rol superadmin_catastro. La versión mitigada con prepared statements y hashing criptográfico SHA-256 neutralizó el bypass al buscar literalmente la cadena con comillas sin interpretarla como sintaxis SQL.</w:t>
      </w:r>
    </w:p>
    <w:p w14:paraId="2CD25A22" w14:textId="77777777" w:rsidR="006C4700" w:rsidRDefault="00000000">
      <w:pPr>
        <w:keepNext/>
        <w:spacing w:before="240" w:after="80"/>
      </w:pPr>
      <w:r>
        <w:rPr>
          <w:rFonts w:ascii="Book Antiqua" w:hAnsi="Book Antiqua"/>
          <w:b/>
          <w:color w:val="000000"/>
          <w:sz w:val="24"/>
        </w:rPr>
        <w:t>5. Estrategias de Mitigación y Evaluación de Rendimiento</w:t>
      </w:r>
    </w:p>
    <w:p w14:paraId="1CD89CDA" w14:textId="77777777" w:rsidR="006C4700" w:rsidRDefault="00000000">
      <w:pPr>
        <w:spacing w:after="80" w:line="240" w:lineRule="auto"/>
      </w:pPr>
      <w:r>
        <w:rPr>
          <w:rFonts w:ascii="Book Antiqua" w:hAnsi="Book Antiqua"/>
          <w:color w:val="000000"/>
        </w:rPr>
        <w:t>Como se ilustra en la Figura 2, la mitigación arquitectónica integró un pipeline de defensa en profundidad con tres barreras secuenciales, donde la Barrera 2 (Shapely) opera como filtro de integridad topológica en memoria activado específicamente ante cargas útiles geométricas complejas (WKT o GeoJSON, descartando anomalías o geometrías auto-intersecadas con HTTP 422 antes de interactuar con la base de datos), mientras que los parámetros puramente numéricos o alfanuméricos transitan directamente desde la validación estricta de Pydantic (Barrera 1) hacia la compilación de variables tipadas (EWKB) y sentencias preparadas en GeoAlchemy2 y SQLAlchemy (Barrera 3).</w:t>
      </w:r>
    </w:p>
    <w:p w14:paraId="3D060A26" w14:textId="77777777" w:rsidR="006C4700" w:rsidRDefault="00000000">
      <w:pPr>
        <w:keepNext/>
        <w:spacing w:before="160" w:after="40"/>
        <w:jc w:val="center"/>
      </w:pPr>
      <w:r>
        <w:rPr>
          <w:noProof/>
        </w:rPr>
        <w:drawing>
          <wp:inline distT="0" distB="0" distL="0" distR="0" wp14:anchorId="1E0779EF" wp14:editId="1FDD97DF">
            <wp:extent cx="5303520" cy="18562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fense_pipeline.png"/>
                    <pic:cNvPicPr/>
                  </pic:nvPicPr>
                  <pic:blipFill>
                    <a:blip r:embed="rId9"/>
                    <a:stretch>
                      <a:fillRect/>
                    </a:stretch>
                  </pic:blipFill>
                  <pic:spPr>
                    <a:xfrm>
                      <a:off x="0" y="0"/>
                      <a:ext cx="5303520" cy="1856232"/>
                    </a:xfrm>
                    <a:prstGeom prst="rect">
                      <a:avLst/>
                    </a:prstGeom>
                  </pic:spPr>
                </pic:pic>
              </a:graphicData>
            </a:graphic>
          </wp:inline>
        </w:drawing>
      </w:r>
    </w:p>
    <w:p w14:paraId="2BC01B10" w14:textId="77777777" w:rsidR="006C4700" w:rsidRDefault="00000000">
      <w:pPr>
        <w:spacing w:before="120" w:after="160"/>
        <w:jc w:val="center"/>
      </w:pPr>
      <w:r>
        <w:rPr>
          <w:rFonts w:ascii="Book Antiqua" w:hAnsi="Book Antiqua"/>
          <w:b/>
          <w:color w:val="000000"/>
          <w:sz w:val="20"/>
        </w:rPr>
        <w:t>Figura 2. Arquitectura del pipeline de defensa en profundidad de tres barreras para servicios catastrales en PostGIS</w:t>
      </w:r>
    </w:p>
    <w:p w14:paraId="03DB04B1" w14:textId="77777777" w:rsidR="006C4700" w:rsidRDefault="00000000">
      <w:pPr>
        <w:spacing w:after="80" w:line="240" w:lineRule="auto"/>
        <w:ind w:firstLine="432"/>
      </w:pPr>
      <w:r>
        <w:rPr>
          <w:rFonts w:ascii="Book Antiqua" w:hAnsi="Book Antiqua"/>
          <w:color w:val="000000"/>
        </w:rPr>
        <w:t>Para la evaluación empírica de rendimiento y latencia (Tabla 1 y Figura 3), se seleccionó como escenario representativo de alta frecuencia transaccional el endpoint de consulta espacial por radio (GET /api/v1/vulnerable/predios/radio frente a GET /api/v1/mitigated/predios/radio), evaluando peticiones válidas bajo una carga estandarizada de 300 peticiones con 10 clientes concurrentes. Los resultados se resumen en la Tabla 1.</w:t>
      </w:r>
    </w:p>
    <w:p w14:paraId="044F9F8B" w14:textId="77777777" w:rsidR="006C4700" w:rsidRDefault="00000000">
      <w:pPr>
        <w:spacing w:before="160" w:after="80"/>
        <w:jc w:val="center"/>
      </w:pPr>
      <w:r>
        <w:rPr>
          <w:rFonts w:ascii="Book Antiqua" w:hAnsi="Book Antiqua"/>
          <w:b/>
          <w:color w:val="000000"/>
          <w:sz w:val="20"/>
        </w:rPr>
        <w:t>Tabla 1: Comparativa de Rendimiento y Latencia entre API Vulnerable y API Mitigada</w:t>
      </w:r>
    </w:p>
    <w:tbl>
      <w:tblPr>
        <w:tblStyle w:val="Tablanormal4"/>
        <w:tblW w:w="0" w:type="auto"/>
        <w:tblLook w:val="04A0" w:firstRow="1" w:lastRow="0" w:firstColumn="1" w:lastColumn="0" w:noHBand="0" w:noVBand="1"/>
      </w:tblPr>
      <w:tblGrid>
        <w:gridCol w:w="2052"/>
        <w:gridCol w:w="2052"/>
        <w:gridCol w:w="2052"/>
        <w:gridCol w:w="2052"/>
      </w:tblGrid>
      <w:tr w:rsidR="006C4700" w14:paraId="3560BBE7" w14:textId="77777777" w:rsidTr="003D1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A85589" w14:textId="77777777" w:rsidR="006C4700" w:rsidRDefault="00000000">
            <w:pPr>
              <w:spacing w:before="40" w:after="40"/>
            </w:pPr>
            <w:r>
              <w:rPr>
                <w:rFonts w:ascii="Book Antiqua" w:hAnsi="Book Antiqua"/>
                <w:color w:val="000000"/>
                <w:sz w:val="20"/>
              </w:rPr>
              <w:lastRenderedPageBreak/>
              <w:t>Métrica de Rendimiento</w:t>
            </w:r>
          </w:p>
        </w:tc>
        <w:tc>
          <w:tcPr>
            <w:tcW w:w="2052" w:type="dxa"/>
          </w:tcPr>
          <w:p w14:paraId="3DE651E5"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Vulnerable (SQL Dinámico)</w:t>
            </w:r>
          </w:p>
        </w:tc>
        <w:tc>
          <w:tcPr>
            <w:tcW w:w="2052" w:type="dxa"/>
          </w:tcPr>
          <w:p w14:paraId="47E09209"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Mitigada (GeoAlchemy2)</w:t>
            </w:r>
          </w:p>
        </w:tc>
        <w:tc>
          <w:tcPr>
            <w:tcW w:w="2052" w:type="dxa"/>
          </w:tcPr>
          <w:p w14:paraId="0D4F46ED"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Variación (Overhead)</w:t>
            </w:r>
          </w:p>
        </w:tc>
      </w:tr>
      <w:tr w:rsidR="006C4700" w14:paraId="65611436"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B156389" w14:textId="77777777" w:rsidR="006C4700" w:rsidRDefault="00000000">
            <w:pPr>
              <w:spacing w:before="40" w:after="40"/>
            </w:pPr>
            <w:r>
              <w:rPr>
                <w:rFonts w:ascii="Book Antiqua" w:hAnsi="Book Antiqua"/>
                <w:b w:val="0"/>
                <w:color w:val="000000"/>
                <w:sz w:val="20"/>
              </w:rPr>
              <w:t>Throughput (Rendimiento)</w:t>
            </w:r>
          </w:p>
        </w:tc>
        <w:tc>
          <w:tcPr>
            <w:tcW w:w="2052" w:type="dxa"/>
          </w:tcPr>
          <w:p w14:paraId="5E9857B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556.21 req/s</w:t>
            </w:r>
          </w:p>
        </w:tc>
        <w:tc>
          <w:tcPr>
            <w:tcW w:w="2052" w:type="dxa"/>
          </w:tcPr>
          <w:p w14:paraId="1569ABE6"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484.36 req/s</w:t>
            </w:r>
          </w:p>
        </w:tc>
        <w:tc>
          <w:tcPr>
            <w:tcW w:w="2052" w:type="dxa"/>
          </w:tcPr>
          <w:p w14:paraId="11F454AC"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-71.85 req/s (-12.92%)</w:t>
            </w:r>
          </w:p>
        </w:tc>
      </w:tr>
      <w:tr w:rsidR="006C4700" w14:paraId="047F58F7"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585151A1" w14:textId="77777777" w:rsidR="006C4700" w:rsidRDefault="00000000">
            <w:pPr>
              <w:spacing w:before="40" w:after="40"/>
            </w:pPr>
            <w:r>
              <w:rPr>
                <w:rFonts w:ascii="Book Antiqua" w:hAnsi="Book Antiqua"/>
                <w:b w:val="0"/>
                <w:color w:val="000000"/>
                <w:sz w:val="20"/>
              </w:rPr>
              <w:t>Latencia Media (Mean)</w:t>
            </w:r>
          </w:p>
        </w:tc>
        <w:tc>
          <w:tcPr>
            <w:tcW w:w="2052" w:type="dxa"/>
          </w:tcPr>
          <w:p w14:paraId="42B56A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17.26 ms</w:t>
            </w:r>
          </w:p>
        </w:tc>
        <w:tc>
          <w:tcPr>
            <w:tcW w:w="2052" w:type="dxa"/>
          </w:tcPr>
          <w:p w14:paraId="44C56DA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19.89 ms</w:t>
            </w:r>
          </w:p>
        </w:tc>
        <w:tc>
          <w:tcPr>
            <w:tcW w:w="2052" w:type="dxa"/>
          </w:tcPr>
          <w:p w14:paraId="650B7B2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+2.63 ms (+15.24%)</w:t>
            </w:r>
          </w:p>
        </w:tc>
      </w:tr>
      <w:tr w:rsidR="006C4700" w14:paraId="211E3990"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484A325" w14:textId="77777777" w:rsidR="006C4700" w:rsidRDefault="00000000">
            <w:pPr>
              <w:spacing w:before="40" w:after="40"/>
            </w:pPr>
            <w:r>
              <w:rPr>
                <w:rFonts w:ascii="Book Antiqua" w:hAnsi="Book Antiqua"/>
                <w:b w:val="0"/>
                <w:color w:val="000000"/>
                <w:sz w:val="20"/>
              </w:rPr>
              <w:t>Percentil 50 (Mediana / p50)</w:t>
            </w:r>
          </w:p>
        </w:tc>
        <w:tc>
          <w:tcPr>
            <w:tcW w:w="2052" w:type="dxa"/>
          </w:tcPr>
          <w:p w14:paraId="0F738AC0"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15.37 ms</w:t>
            </w:r>
          </w:p>
        </w:tc>
        <w:tc>
          <w:tcPr>
            <w:tcW w:w="2052" w:type="dxa"/>
          </w:tcPr>
          <w:p w14:paraId="5E9EA617"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18.42 ms</w:t>
            </w:r>
          </w:p>
        </w:tc>
        <w:tc>
          <w:tcPr>
            <w:tcW w:w="2052" w:type="dxa"/>
          </w:tcPr>
          <w:p w14:paraId="07569EF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+3.05 ms</w:t>
            </w:r>
          </w:p>
        </w:tc>
      </w:tr>
      <w:tr w:rsidR="006C4700" w14:paraId="79BAC103"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1F930123" w14:textId="77777777" w:rsidR="006C4700" w:rsidRDefault="00000000">
            <w:pPr>
              <w:spacing w:before="40" w:after="40"/>
            </w:pPr>
            <w:r>
              <w:rPr>
                <w:rFonts w:ascii="Book Antiqua" w:hAnsi="Book Antiqua"/>
                <w:b w:val="0"/>
                <w:color w:val="000000"/>
                <w:sz w:val="20"/>
              </w:rPr>
              <w:t>Percentil 95 (p95)</w:t>
            </w:r>
          </w:p>
        </w:tc>
        <w:tc>
          <w:tcPr>
            <w:tcW w:w="2052" w:type="dxa"/>
          </w:tcPr>
          <w:p w14:paraId="659F5B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31.49 ms</w:t>
            </w:r>
          </w:p>
        </w:tc>
        <w:tc>
          <w:tcPr>
            <w:tcW w:w="2052" w:type="dxa"/>
          </w:tcPr>
          <w:p w14:paraId="2D882723"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32.63 ms</w:t>
            </w:r>
          </w:p>
        </w:tc>
        <w:tc>
          <w:tcPr>
            <w:tcW w:w="2052" w:type="dxa"/>
          </w:tcPr>
          <w:p w14:paraId="5B52274E"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+1.14 ms</w:t>
            </w:r>
          </w:p>
        </w:tc>
      </w:tr>
      <w:tr w:rsidR="006C4700" w14:paraId="6CF606E1"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C8B7C97" w14:textId="77777777" w:rsidR="006C4700" w:rsidRDefault="00000000">
            <w:pPr>
              <w:spacing w:before="40" w:after="40"/>
            </w:pPr>
            <w:r>
              <w:rPr>
                <w:rFonts w:ascii="Book Antiqua" w:hAnsi="Book Antiqua"/>
                <w:b w:val="0"/>
                <w:color w:val="000000"/>
                <w:sz w:val="20"/>
              </w:rPr>
              <w:t>Percentil 99 (p99)</w:t>
            </w:r>
          </w:p>
        </w:tc>
        <w:tc>
          <w:tcPr>
            <w:tcW w:w="2052" w:type="dxa"/>
          </w:tcPr>
          <w:p w14:paraId="5E3760E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43.75 ms</w:t>
            </w:r>
          </w:p>
        </w:tc>
        <w:tc>
          <w:tcPr>
            <w:tcW w:w="2052" w:type="dxa"/>
          </w:tcPr>
          <w:p w14:paraId="0D8E6D8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38.24 ms</w:t>
            </w:r>
          </w:p>
        </w:tc>
        <w:tc>
          <w:tcPr>
            <w:tcW w:w="2052" w:type="dxa"/>
          </w:tcPr>
          <w:p w14:paraId="2C0C3FBD"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-5.51 ms (-12.59%)</w:t>
            </w:r>
          </w:p>
        </w:tc>
      </w:tr>
      <w:tr w:rsidR="006C4700" w14:paraId="76E6908A"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r>
              <w:rPr>
                <w:rFonts w:ascii="Book Antiqua" w:hAnsi="Book Antiqua"/>
                <w:sz w:val="20"/>
              </w:rPr>
              <w:t>Tasa de Error HTTP (Error Rate)</w:t>
            </w:r>
          </w:p>
        </w:tc>
        <w:tc>
          <w:tcPr>
            <w:tcW w:w="2052" w:type="dxa"/>
          </w:tcPr>
          <w:p w14:paraId="1356A707"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7E5261A6"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397920A8"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r>
    </w:tbl>
    <w:p w14:paraId="0643F13A" w14:textId="22090DC6" w:rsidR="006C4700" w:rsidRDefault="00000000">
      <w:pPr>
        <w:spacing w:before="80" w:after="160"/>
      </w:pPr>
      <w:proofErr w:type="spellStart"/>
      <w:r>
        <w:rPr>
          <w:rFonts w:ascii="Book Antiqua" w:hAnsi="Book Antiqua"/>
          <w:i/>
          <w:color w:val="000000"/>
          <w:sz w:val="18"/>
        </w:rPr>
        <w:t>Nota</w:t>
      </w:r>
      <w:proofErr w:type="spellEnd"/>
      <w:r>
        <w:rPr>
          <w:rFonts w:ascii="Book Antiqua" w:hAnsi="Book Antiqua"/>
          <w:i/>
          <w:color w:val="000000"/>
          <w:sz w:val="18"/>
        </w:rPr>
        <w:t xml:space="preserve">: </w:t>
      </w:r>
      <w:proofErr w:type="spellStart"/>
      <w:r>
        <w:rPr>
          <w:rFonts w:ascii="Book Antiqua" w:hAnsi="Book Antiqua"/>
          <w:i/>
          <w:color w:val="000000"/>
          <w:sz w:val="18"/>
        </w:rPr>
        <w:t>Mediciones</w:t>
      </w:r>
      <w:proofErr w:type="spellEnd"/>
      <w:r>
        <w:rPr>
          <w:rFonts w:ascii="Book Antiqua" w:hAnsi="Book Antiqua"/>
          <w:i/>
          <w:color w:val="000000"/>
          <w:sz w:val="18"/>
        </w:rPr>
        <w:t xml:space="preserve"> </w:t>
      </w:r>
      <w:proofErr w:type="spellStart"/>
      <w:r>
        <w:rPr>
          <w:rFonts w:ascii="Book Antiqua" w:hAnsi="Book Antiqua"/>
          <w:i/>
          <w:color w:val="000000"/>
          <w:sz w:val="18"/>
        </w:rPr>
        <w:t>recopiladas</w:t>
      </w:r>
      <w:proofErr w:type="spellEnd"/>
      <w:r>
        <w:rPr>
          <w:rFonts w:ascii="Book Antiqua" w:hAnsi="Book Antiqua"/>
          <w:i/>
          <w:color w:val="000000"/>
          <w:sz w:val="18"/>
        </w:rPr>
        <w:t xml:space="preserve"> bajo 300 </w:t>
      </w:r>
      <w:proofErr w:type="spellStart"/>
      <w:r>
        <w:rPr>
          <w:rFonts w:ascii="Book Antiqua" w:hAnsi="Book Antiqua"/>
          <w:i/>
          <w:color w:val="000000"/>
          <w:sz w:val="18"/>
        </w:rPr>
        <w:t>peticiones</w:t>
      </w:r>
      <w:proofErr w:type="spellEnd"/>
      <w:r>
        <w:rPr>
          <w:rFonts w:ascii="Book Antiqua" w:hAnsi="Book Antiqua"/>
          <w:i/>
          <w:color w:val="000000"/>
          <w:sz w:val="18"/>
        </w:rPr>
        <w:t xml:space="preserve"> </w:t>
      </w:r>
      <w:proofErr w:type="spellStart"/>
      <w:r>
        <w:rPr>
          <w:rFonts w:ascii="Book Antiqua" w:hAnsi="Book Antiqua"/>
          <w:i/>
          <w:color w:val="000000"/>
          <w:sz w:val="18"/>
        </w:rPr>
        <w:t>concurrentes</w:t>
      </w:r>
      <w:proofErr w:type="spellEnd"/>
      <w:r>
        <w:rPr>
          <w:rFonts w:ascii="Book Antiqua" w:hAnsi="Book Antiqua"/>
          <w:i/>
          <w:color w:val="000000"/>
          <w:sz w:val="18"/>
        </w:rPr>
        <w:t xml:space="preserve"> (</w:t>
      </w:r>
      <w:proofErr w:type="spellStart"/>
      <w:r>
        <w:rPr>
          <w:rFonts w:ascii="Book Antiqua" w:hAnsi="Book Antiqua"/>
          <w:i/>
          <w:color w:val="000000"/>
          <w:sz w:val="18"/>
        </w:rPr>
        <w:t>concurrencia</w:t>
      </w:r>
      <w:proofErr w:type="spellEnd"/>
      <w:r>
        <w:rPr>
          <w:rFonts w:ascii="Book Antiqua" w:hAnsi="Book Antiqua"/>
          <w:i/>
          <w:color w:val="000000"/>
          <w:sz w:val="18"/>
        </w:rPr>
        <w:t xml:space="preserve">=10) </w:t>
      </w:r>
      <w:proofErr w:type="spellStart"/>
      <w:r>
        <w:rPr>
          <w:rFonts w:ascii="Book Antiqua" w:hAnsi="Book Antiqua"/>
          <w:i/>
          <w:color w:val="000000"/>
          <w:sz w:val="18"/>
        </w:rPr>
        <w:t>sobre</w:t>
      </w:r>
      <w:proofErr w:type="spellEnd"/>
      <w:r>
        <w:rPr>
          <w:rFonts w:ascii="Book Antiqua" w:hAnsi="Book Antiqua"/>
          <w:i/>
          <w:color w:val="000000"/>
          <w:sz w:val="18"/>
        </w:rPr>
        <w:t xml:space="preserve"> una estación de trabajo con procesador Intel Core Ultra 5 245KF, 32 GB RAM DDR5 y almacenamiento NVMe PCIe 4.0 en Docker Desktop (PostgreSQL 15 / PostGIS 3.3).</w:t>
      </w:r>
    </w:p>
    <w:p w14:paraId="7789F18B" w14:textId="5C4DCE75" w:rsidR="006C4700" w:rsidRDefault="00000000">
      <w:pPr>
        <w:spacing w:after="80" w:line="240" w:lineRule="auto"/>
        <w:ind w:firstLine="432"/>
      </w:pPr>
      <w:r>
        <w:rPr>
          <w:rFonts w:ascii="Book Antiqua" w:hAnsi="Book Antiqua"/>
          <w:color w:val="000000"/>
        </w:rPr>
        <w:t>Para medir la resiliencia bajo estrés progresivo, se evaluó una serie de concurrencia escalonada de 1 a 100 clientes concurrentes. Como se evidencia en la Figura 3(a), el throughput de la arquitectura mitigada escala eficientemente alcanzando una meseta estable superior a 450 req/s sin degradación por bloqueos. Asimismo, la Figura 3(b) revela que la arquitectura mitigada neutraliza los picos severos de latencia de cola observados en la API vulnerable bajo baja concurrencia (140.8 ms frente a 33.1 ms a 5 clientes). A niveles de estrés elevados (50 a 100 clientes), el percentil 99 de la versión mitigada experimenta un incremento moderado (~101 ms vs. ~62 ms), atribuible a la serialización y sobrecosto de CPU en la capa de aplicación (Pydantic/ORM), lo que representa un compromiso aceptable frente a las garantías de seguridad obtenidas.</w:t>
      </w:r>
      <w:proofErr w:type="spellStart"/>
      <w:r w:rsidR="003D136C">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sidR="003D136C">
        <w:rPr>
          <w:rFonts w:ascii="Book Antiqua" w:hAnsi="Book Antiqua"/>
          <w:color w:val="000000"/>
        </w:rPr>
      </w:r>
      <w:proofErr w:type="spellEnd"/>
      <w:r w:rsidR="003D136C">
        <w:rPr>
          <w:rFonts w:ascii="Book Antiqua" w:hAnsi="Book Antiqua"/>
          <w:color w:val="000000"/>
        </w:rPr>
      </w:r>
      <w:proofErr w:type="spellStart"/>
      <w:r w:rsidR="003D136C">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
    <w:p w14:paraId="02045989" w14:textId="77777777" w:rsidR="006C4700" w:rsidRDefault="00000000">
      <w:pPr>
        <w:keepNext/>
        <w:spacing w:before="160" w:after="40"/>
        <w:jc w:val="center"/>
      </w:pPr>
      <w:r>
        <w:rPr>
          <w:noProof/>
        </w:rPr>
        <w:drawing>
          <wp:inline distT="0" distB="0" distL="0" distR="0" wp14:anchorId="13181BE2" wp14:editId="1EF266B9">
            <wp:extent cx="5303520" cy="203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currency_latency.png"/>
                    <pic:cNvPicPr/>
                  </pic:nvPicPr>
                  <pic:blipFill>
                    <a:blip r:embed="rId10"/>
                    <a:stretch>
                      <a:fillRect/>
                    </a:stretch>
                  </pic:blipFill>
                  <pic:spPr>
                    <a:xfrm>
                      <a:off x="0" y="0"/>
                      <a:ext cx="5303520" cy="2039815"/>
                    </a:xfrm>
                    <a:prstGeom prst="rect">
                      <a:avLst/>
                    </a:prstGeom>
                  </pic:spPr>
                </pic:pic>
              </a:graphicData>
            </a:graphic>
          </wp:inline>
        </w:drawing>
      </w:r>
    </w:p>
    <w:p w14:paraId="7BEB8FF1" w14:textId="77777777" w:rsidR="006C4700" w:rsidRDefault="00000000">
      <w:pPr>
        <w:spacing w:before="120" w:after="160"/>
        <w:jc w:val="center"/>
      </w:pPr>
      <w:r>
        <w:rPr>
          <w:rFonts w:ascii="Book Antiqua" w:hAnsi="Book Antiqua"/>
          <w:b/>
          <w:color w:val="000000"/>
          <w:sz w:val="20"/>
        </w:rPr>
        <w:t>Figura 3. Comparativa empírica de rendimiento (Throughput) y percentiles de latencia (p50 y p99) ante concurrencia escalonada (1 a 100 clientes)</w:t>
      </w:r>
    </w:p>
    <w:p w14:paraId="16FE1315" w14:textId="77777777" w:rsidR="006C4700" w:rsidRDefault="00000000">
      <w:pPr>
        <w:keepNext/>
        <w:spacing w:before="240" w:after="80"/>
      </w:pPr>
      <w:r>
        <w:rPr>
          <w:rFonts w:ascii="Book Antiqua" w:hAnsi="Book Antiqua"/>
          <w:b/>
          <w:color w:val="000000"/>
          <w:sz w:val="24"/>
        </w:rPr>
        <w:t>6. Discusión</w:t>
      </w:r>
    </w:p>
    <w:p w14:paraId="2C2EC0DB" w14:textId="3CF7ED19" w:rsidR="006C4700" w:rsidRDefault="00000000">
      <w:pPr>
        <w:spacing w:after="80" w:line="240" w:lineRule="auto"/>
      </w:pPr>
      <w:r>
        <w:rPr>
          <w:rFonts w:ascii="Book Antiqua" w:hAnsi="Book Antiqua"/>
        </w:rPr>
        <w:t>Los resultados empíricos demuestran que la mitigación basada en GeoAlchemy2 y validación previa con Shapely introduce un sobrecosto medio de latencia de apenas 2.63 ms por petición (+15.24%), conservando una tasa de procesamiento de 484.36 req/s. Un aspecto relevante para el diseño de software es el comportamiento en el percentil 99 (p99): en la prueba de carga estandarizada (10 clientes), la latencia de cola disminuyó de 43.75 ms a 38.24 ms (-12.59%) gracias a la reutilización de planes de ejecución preparados (prepared statements) en PostgreSQL al evitar el re-parseo continuo de consultas dinámicas, mientras que bajo estrés masivo concurrente el sobrecosto de serialización en la capa de aplicación modula la respuesta sin comprometer la estabilidad ni registrar fallos (0.0%). Este incremento marginal en el promedio es insignificante frente a la ganancia de seguridad, neutralizando la exfiltración masiva de datos catastrales, el canal lateral de error y la denegación de servicio espacial.</w:t>
      </w:r>
      <w:proofErr w:type="spellStart"/>
      <w:r>
        <w:rPr>
          <w:rFonts w:ascii="Book Antiqua" w:hAnsi="Book Antiqua"/>
        </w:rPr>
      </w:r>
      <w:proofErr w:type="spellEnd"/>
      <w:r w:rsidR="00870A71">
        <w:rPr>
          <w:rFonts w:ascii="Book Antiqua" w:hAnsi="Book Antiqua"/>
        </w:rPr>
      </w:r>
      <w:proofErr w:type="spellStart"/>
      <w:r w:rsidR="00870A71">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sidR="00870A71">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r>
        <w:rPr>
          <w:rFonts w:ascii="Book Antiqua" w:hAnsi="Book Antiqua"/>
        </w:rPr>
      </w:r>
    </w:p>
    <w:p w14:paraId="18A95C31" w14:textId="3BD7C854" w:rsidR="006C4700" w:rsidRDefault="00000000">
      <w:pPr>
        <w:spacing w:after="80" w:line="240" w:lineRule="auto"/>
        <w:ind w:firstLine="432"/>
      </w:pPr>
      <w:r>
        <w:rPr>
          <w:rFonts w:ascii="Book Antiqua" w:hAnsi="Book Antiqua"/>
        </w:rPr>
        <w:t>Este sobrecosto medio resulta asumible frente a las garantías de protección obtenidas: neutraliza la filtración masiva de predios, los canales laterales de error y la denegación de servicio. Como se ilustra en la Figura 4, los cortafuegos de aplicaciones web tradicionales (WAF basados en firmas como OWASP CRS) carecen de gramática geoespacial y bloquean únicamente entre el 0% y el 20% de las inyecciones topológicas (ST_DWithin y ST_Intersects). El bloqueo residual del 15% al 20% registrado por el WAF en V1 y V2 se debió exclusivamente a la detección de tokens SQL convencionales (como operadores booleanos OR o comillas desparejadas) en ciertas variantes del payload, y no a una inspección semántica de las funciones topológicas subyacentes, como lo demuestra su inoperancia absoluta (0%) frente al vector DoS en V3. En contraste, el pipeline de tres barreras implementado en la capa de aplicación alcanzó una tasa de mitigación del 100% en todos los vectores evaluados de la tríada CIA.</w:t>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sidR="00870A71">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roofErr w:type="spellStart"/>
      <w:r>
        <w:rPr>
          <w:rFonts w:ascii="Book Antiqua" w:hAnsi="Book Antiqua"/>
        </w:rPr>
      </w:r>
      <w:proofErr w:type="spellEnd"/>
      <w:r>
        <w:rPr>
          <w:rFonts w:ascii="Book Antiqua" w:hAnsi="Book Antiqua"/>
        </w:rPr>
      </w:r>
    </w:p>
    <w:p w14:paraId="344273FB" w14:textId="77777777" w:rsidR="006C4700" w:rsidRDefault="00000000">
      <w:pPr>
        <w:keepNext/>
        <w:spacing w:before="160" w:after="40"/>
        <w:jc w:val="center"/>
      </w:pPr>
      <w:r>
        <w:rPr>
          <w:noProof/>
        </w:rPr>
        <w:drawing>
          <wp:inline distT="0" distB="0" distL="0" distR="0" wp14:anchorId="545B94D5" wp14:editId="5869901C">
            <wp:extent cx="5303520" cy="220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ttack_mitigation_matrix.png"/>
                    <pic:cNvPicPr/>
                  </pic:nvPicPr>
                  <pic:blipFill>
                    <a:blip r:embed="rId11"/>
                    <a:stretch>
                      <a:fillRect/>
                    </a:stretch>
                  </pic:blipFill>
                  <pic:spPr>
                    <a:xfrm>
                      <a:off x="0" y="0"/>
                      <a:ext cx="5303520" cy="2209800"/>
                    </a:xfrm>
                    <a:prstGeom prst="rect">
                      <a:avLst/>
                    </a:prstGeom>
                  </pic:spPr>
                </pic:pic>
              </a:graphicData>
            </a:graphic>
          </wp:inline>
        </w:drawing>
      </w:r>
    </w:p>
    <w:p w14:paraId="74683627" w14:textId="77777777" w:rsidR="006C4700" w:rsidRDefault="00000000">
      <w:pPr>
        <w:spacing w:before="120" w:after="160"/>
        <w:jc w:val="center"/>
      </w:pPr>
      <w:r>
        <w:rPr>
          <w:rFonts w:ascii="Book Antiqua" w:hAnsi="Book Antiqua"/>
          <w:b/>
          <w:color w:val="000000"/>
          <w:sz w:val="20"/>
        </w:rPr>
        <w:t>Figura 4. Tasa de mitigación y bloqueo de ataques (%) entre arquitectura desprotegida, WAF tradicional (OWASP CRS) y pipeline propuesto</w:t>
      </w:r>
    </w:p>
    <w:p w14:paraId="5CF26B6E" w14:textId="77777777" w:rsidR="006C4700" w:rsidRDefault="00000000">
      <w:pPr>
        <w:spacing w:after="80" w:line="240" w:lineRule="auto"/>
        <w:ind w:firstLine="432"/>
      </w:pPr>
      <w:r>
        <w:rPr>
          <w:rFonts w:ascii="Book Antiqua" w:hAnsi="Book Antiqua"/>
          <w:b/>
        </w:rPr>
        <w:t xml:space="preserve">Independencia de plataforma y validez del benchmarking. </w:t>
      </w:r>
      <w:r>
        <w:rPr>
          <w:rFonts w:ascii="Book Antiqua" w:hAnsi="Book Antiqua"/>
        </w:rPr>
        <w:t>Aunque los valores absolutos de latencia dependen del hardware base de pruebas, la validez metodológica y la generalización de los resultados residen en las proporciones relativas (+15.24% de sobrecosto medio y -12.59% de mejora en p99) y en las complejidades asintóticas. En servidores municipales o instancias de nube con recursos acotados, el consumo computacional de la validación previa en Python (GeoAlchemy2 y Shapely) es marginal frente a la latencia de acceso a disco y la concurrencia relacional. Por el contrario, omitir la mitigación ante ataques de complejidad cuadrática (O(N^2)), como el DoS espacial (Simulación 3), expone a los procesadores con menor paralelismo a una saturación inmediata, donde un número reducido de peticiones maliciosas bloquea por completo el geoportal catastral.</w:t>
      </w:r>
    </w:p>
    <w:p w14:paraId="5B103F24" w14:textId="6E4259B9" w:rsidR="006C4700" w:rsidRDefault="00000000">
      <w:pPr>
        <w:spacing w:after="80" w:line="240" w:lineRule="auto"/>
        <w:ind w:firstLine="432"/>
      </w:pPr>
      <w:r>
        <w:rPr>
          <w:rFonts w:ascii="Book Antiqua" w:hAnsi="Book Antiqua"/>
          <w:b/>
        </w:rPr>
        <w:t xml:space="preserve">Impacto sistémico en la integridad de trámites y datos catastrales. </w:t>
      </w:r>
      <w:r>
        <w:rPr>
          <w:rFonts w:ascii="Book Antiqua" w:hAnsi="Book Antiqua"/>
        </w:rPr>
        <w:t xml:space="preserve">La </w:t>
      </w:r>
      <w:proofErr w:type="spellStart"/>
      <w:r>
        <w:rPr>
          <w:rFonts w:ascii="Book Antiqua" w:hAnsi="Book Antiqua"/>
        </w:rPr>
        <w:t>viabilidad</w:t>
      </w:r>
      <w:proofErr w:type="spellEnd"/>
      <w:r>
        <w:rPr>
          <w:rFonts w:ascii="Book Antiqua" w:hAnsi="Book Antiqua"/>
        </w:rPr>
        <w:t xml:space="preserve"> del </w:t>
      </w:r>
      <w:proofErr w:type="spellStart"/>
      <w:r>
        <w:rPr>
          <w:rFonts w:ascii="Book Antiqua" w:hAnsi="Book Antiqua"/>
        </w:rPr>
        <w:t>fraude</w:t>
      </w:r>
      <w:proofErr w:type="spellEnd"/>
      <w:r>
        <w:rPr>
          <w:rFonts w:ascii="Book Antiqua" w:hAnsi="Book Antiqua"/>
        </w:rPr>
        <w:t xml:space="preserve">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autovalúos</w:t>
      </w:r>
      <w:proofErr w:type="spellEnd"/>
      <w:r>
        <w:rPr>
          <w:rFonts w:ascii="Book Antiqua" w:hAnsi="Book Antiqua"/>
        </w:rPr>
        <w:t xml:space="preserve"> y </w:t>
      </w:r>
      <w:proofErr w:type="spellStart"/>
      <w:r>
        <w:rPr>
          <w:rFonts w:ascii="Book Antiqua" w:hAnsi="Book Antiqua"/>
        </w:rPr>
        <w:t>titularidad</w:t>
      </w:r>
      <w:proofErr w:type="spellEnd"/>
      <w:r>
        <w:rPr>
          <w:rFonts w:ascii="Book Antiqua" w:hAnsi="Book Antiqua"/>
        </w:rPr>
        <w:t xml:space="preserve"> (</w:t>
      </w:r>
      <w:proofErr w:type="spellStart"/>
      <w:r>
        <w:rPr>
          <w:rFonts w:ascii="Book Antiqua" w:hAnsi="Book Antiqua"/>
        </w:rPr>
        <w:t>Simulación</w:t>
      </w:r>
      <w:proofErr w:type="spellEnd"/>
      <w:r>
        <w:rPr>
          <w:rFonts w:ascii="Book Antiqua" w:hAnsi="Book Antiqua"/>
        </w:rPr>
        <w:t xml:space="preserve"> 4) demuestra que una inyección en la capa de persistencia trasciende la modificación de </w:t>
      </w:r>
      <w:proofErr w:type="spellStart"/>
      <w:r>
        <w:rPr>
          <w:rFonts w:ascii="Book Antiqua" w:hAnsi="Book Antiqua"/>
        </w:rPr>
        <w:t>una</w:t>
      </w:r>
      <w:proofErr w:type="spellEnd"/>
      <w:r>
        <w:rPr>
          <w:rFonts w:ascii="Book Antiqua" w:hAnsi="Book Antiqua"/>
        </w:rPr>
        <w:t xml:space="preserve"> </w:t>
      </w:r>
      <w:proofErr w:type="spellStart"/>
      <w:r>
        <w:rPr>
          <w:rFonts w:ascii="Book Antiqua" w:hAnsi="Book Antiqua"/>
        </w:rPr>
        <w:t>tabla</w:t>
      </w:r>
      <w:proofErr w:type="spellEnd"/>
      <w:r>
        <w:rPr>
          <w:rFonts w:ascii="Book Antiqua" w:hAnsi="Book Antiqua"/>
        </w:rPr>
        <w:t xml:space="preserve"> </w:t>
      </w:r>
      <w:proofErr w:type="spellStart"/>
      <w:r>
        <w:rPr>
          <w:rFonts w:ascii="Book Antiqua" w:hAnsi="Book Antiqua"/>
        </w:rPr>
        <w:t>aislada</w:t>
      </w:r>
      <w:proofErr w:type="spellEnd"/>
      <w:r>
        <w:rPr>
          <w:rFonts w:ascii="Book Antiqua" w:hAnsi="Book Antiqua"/>
        </w:rPr>
        <w:t xml:space="preserve"> </w:t>
      </w:r>
      <w:r>
        <w:rPr>
          <w:rFonts w:ascii="Book Antiqua" w:hAnsi="Book Antiqua"/>
        </w:rPr>
        <w:lastRenderedPageBreak/>
        <w:t xml:space="preserve">y </w:t>
      </w:r>
      <w:proofErr w:type="spellStart"/>
      <w:r>
        <w:rPr>
          <w:rFonts w:ascii="Book Antiqua" w:hAnsi="Book Antiqua"/>
        </w:rPr>
        <w:t>compromete</w:t>
      </w:r>
      <w:proofErr w:type="spellEnd"/>
      <w:r>
        <w:rPr>
          <w:rFonts w:ascii="Book Antiqua" w:hAnsi="Book Antiqua"/>
        </w:rPr>
        <w:t xml:space="preserve"> </w:t>
      </w:r>
      <w:r w:rsidR="00B721BA">
        <w:rPr>
          <w:rFonts w:ascii="Book Antiqua" w:hAnsi="Book Antiqua"/>
        </w:rPr>
        <w:t xml:space="preserve">la </w:t>
      </w:r>
      <w:proofErr w:type="spellStart"/>
      <w:r w:rsidR="00B721BA">
        <w:rPr>
          <w:rFonts w:ascii="Book Antiqua" w:hAnsi="Book Antiqua"/>
        </w:rPr>
        <w:t>información</w:t>
      </w:r>
      <w:proofErr w:type="spellEnd"/>
      <w:r w:rsidR="00B721BA">
        <w:rPr>
          <w:rFonts w:ascii="Book Antiqua" w:hAnsi="Book Antiqua"/>
        </w:rPr>
        <w:t xml:space="preserve"> predial</w:t>
      </w:r>
      <w:r>
        <w:rPr>
          <w:rFonts w:ascii="Book Antiqua" w:hAnsi="Book Antiqua"/>
        </w:rPr>
        <w:t xml:space="preserve">. En la actualidad, los geoportales interoperan de forma autónoma para emitir certificados catastrales con código QR, constancias de no adeudo tributario y transferencias inmobiliarias bajo el estándar ISO 19152 (LADM). La inyección de datos arbitrarios en catastro_titulares y tg_lote propaga inconsistencias jurídicas y fiscales hacia estos documentos oficiales sin generar alertas en la interfaz de usuario. Este </w:t>
      </w:r>
      <w:proofErr w:type="spellStart"/>
      <w:r>
        <w:rPr>
          <w:rFonts w:ascii="Book Antiqua" w:hAnsi="Book Antiqua"/>
        </w:rPr>
        <w:t>escenario</w:t>
      </w:r>
      <w:proofErr w:type="spellEnd"/>
      <w:r>
        <w:rPr>
          <w:rFonts w:ascii="Book Antiqua" w:hAnsi="Book Antiqua"/>
        </w:rPr>
        <w:t xml:space="preserve"> </w:t>
      </w:r>
      <w:proofErr w:type="spellStart"/>
      <w:r w:rsidR="00B721BA">
        <w:rPr>
          <w:rFonts w:ascii="Book Antiqua" w:hAnsi="Book Antiqua"/>
        </w:rPr>
        <w:t>confirma</w:t>
      </w:r>
      <w:proofErr w:type="spellEnd"/>
      <w:r>
        <w:rPr>
          <w:rFonts w:ascii="Book Antiqua" w:hAnsi="Book Antiqua"/>
        </w:rPr>
        <w:t xml:space="preserve"> que </w:t>
      </w:r>
      <w:proofErr w:type="spellStart"/>
      <w:r>
        <w:rPr>
          <w:rFonts w:ascii="Book Antiqua" w:hAnsi="Book Antiqua"/>
        </w:rPr>
        <w:t>el</w:t>
      </w:r>
      <w:proofErr w:type="spellEnd"/>
      <w:r>
        <w:rPr>
          <w:rFonts w:ascii="Book Antiqua" w:hAnsi="Book Antiqua"/>
        </w:rPr>
        <w:t xml:space="preserve"> </w:t>
      </w:r>
      <w:proofErr w:type="spellStart"/>
      <w:r>
        <w:rPr>
          <w:rFonts w:ascii="Book Antiqua" w:hAnsi="Book Antiqua"/>
        </w:rPr>
        <w:t>tipado</w:t>
      </w:r>
      <w:proofErr w:type="spellEnd"/>
      <w:r>
        <w:rPr>
          <w:rFonts w:ascii="Book Antiqua" w:hAnsi="Book Antiqua"/>
        </w:rPr>
        <w:t xml:space="preserve"> </w:t>
      </w:r>
      <w:proofErr w:type="spellStart"/>
      <w:r>
        <w:rPr>
          <w:rFonts w:ascii="Book Antiqua" w:hAnsi="Book Antiqua"/>
        </w:rPr>
        <w:t>estricto</w:t>
      </w:r>
      <w:proofErr w:type="spellEnd"/>
      <w:r>
        <w:rPr>
          <w:rFonts w:ascii="Book Antiqua" w:hAnsi="Book Antiqua"/>
        </w:rPr>
        <w:t xml:space="preserve">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el</w:t>
      </w:r>
      <w:proofErr w:type="spellEnd"/>
      <w:r>
        <w:rPr>
          <w:rFonts w:ascii="Book Antiqua" w:hAnsi="Book Antiqua"/>
        </w:rPr>
        <w:t xml:space="preserve"> ORM </w:t>
      </w:r>
      <w:r w:rsidR="00B721BA">
        <w:rPr>
          <w:rFonts w:ascii="Book Antiqua" w:hAnsi="Book Antiqua"/>
        </w:rPr>
        <w:t xml:space="preserve">es </w:t>
      </w:r>
      <w:proofErr w:type="spellStart"/>
      <w:r w:rsidR="00B721BA">
        <w:rPr>
          <w:rFonts w:ascii="Book Antiqua" w:hAnsi="Book Antiqua"/>
        </w:rPr>
        <w:t>una</w:t>
      </w:r>
      <w:proofErr w:type="spellEnd"/>
      <w:r w:rsidR="00B721BA">
        <w:rPr>
          <w:rFonts w:ascii="Book Antiqua" w:hAnsi="Book Antiqua"/>
        </w:rPr>
        <w:t xml:space="preserve"> </w:t>
      </w:r>
      <w:proofErr w:type="spellStart"/>
      <w:r w:rsidR="00B721BA">
        <w:rPr>
          <w:rFonts w:ascii="Book Antiqua" w:hAnsi="Book Antiqua"/>
        </w:rPr>
        <w:t>protección</w:t>
      </w:r>
      <w:proofErr w:type="spellEnd"/>
      <w:r w:rsidR="00B721BA">
        <w:rPr>
          <w:rFonts w:ascii="Book Antiqua" w:hAnsi="Book Antiqua"/>
        </w:rPr>
        <w:t xml:space="preserve"> </w:t>
      </w:r>
      <w:r>
        <w:rPr>
          <w:rFonts w:ascii="Book Antiqua" w:hAnsi="Book Antiqua"/>
        </w:rPr>
        <w:t xml:space="preserve">indispensable para </w:t>
      </w:r>
      <w:proofErr w:type="spellStart"/>
      <w:r>
        <w:rPr>
          <w:rFonts w:ascii="Book Antiqua" w:hAnsi="Book Antiqua"/>
        </w:rPr>
        <w:t>preservar</w:t>
      </w:r>
      <w:proofErr w:type="spellEnd"/>
      <w:r>
        <w:rPr>
          <w:rFonts w:ascii="Book Antiqua" w:hAnsi="Book Antiqua"/>
        </w:rPr>
        <w:t xml:space="preserve"> la </w:t>
      </w:r>
      <w:proofErr w:type="spellStart"/>
      <w:r>
        <w:rPr>
          <w:rFonts w:ascii="Book Antiqua" w:hAnsi="Book Antiqua"/>
        </w:rPr>
        <w:t>legitimidad</w:t>
      </w:r>
      <w:proofErr w:type="spellEnd"/>
      <w:r>
        <w:rPr>
          <w:rFonts w:ascii="Book Antiqua" w:hAnsi="Book Antiqua"/>
        </w:rPr>
        <w:t xml:space="preserve"> y trazabilidad de los servicios públicos digitales.</w:t>
      </w:r>
    </w:p>
    <w:p w14:paraId="19531C4D" w14:textId="77777777" w:rsidR="006C4700" w:rsidRDefault="00000000">
      <w:pPr>
        <w:keepNext/>
        <w:spacing w:before="240" w:after="80"/>
      </w:pPr>
      <w:r>
        <w:rPr>
          <w:rFonts w:ascii="Book Antiqua" w:hAnsi="Book Antiqua"/>
          <w:b/>
          <w:color w:val="000000"/>
          <w:sz w:val="24"/>
        </w:rPr>
        <w:t>7. Conclusiones y Recomendaciones</w:t>
      </w:r>
    </w:p>
    <w:p w14:paraId="24716FBF" w14:textId="0003569C" w:rsidR="006C4700" w:rsidRDefault="00B721BA">
      <w:pPr>
        <w:spacing w:after="80" w:line="240" w:lineRule="auto"/>
        <w:ind w:firstLine="432"/>
      </w:pPr>
      <w:r>
        <w:t>Este artículo formalizó y demostró empíricamente la viabilidad de seis vectores de inyección SQL espacial orientados a la tríada CIA (Confidencialidad, Integridad y Disponibilidad) en sistemas de información catastral basados en PostGIS, evidenciando que las funciones topológicas nativas no garantizan el aislamiento de datos cuando se construyen mediante concatenación de cadenas. La evaluación experimental sobre un dataset de 487 lotes catastrales estructurados bajo el estándar ISO 19152 (LADM) comprobó que un atacante puede evadir límites zonales, reconstruir credenciales mediante canales laterales de error geométrico, inducir denegación de servicio por sobrecarga algorítmica cuadrática, alterar fichas prediales tributarias y ejecutar borrados cartográficos masivos. Frente a ello, la arquitectura de defensa en profundidad basada en compilación tipada mediante ORM (GeoAlchemy2), tipado rígido con Pydantic y validación topológica previa en memoria con Shapely mitigó con éxito el 100% de los escenarios de explotación evaluados. El benchmarking transaccional demostró que este esquema introduce un sobrecosto medio de latencia de 2.63 ms (+15.24%), mejorando simultáneamente la estabilidad en el percentil 99 en un 12.59% gracias a la reutilización de planes de ejecución preparados en PostgreSQL. En conclusión, la seguridad en infraestructuras catastrales exige abandonar el paradigma de sanitización escalar tradicional, adoptando parametrización en el ORM y controles sintácticos con conciencia espacial integrados desde el diseño arquitectónico de software.</w:t>
      </w:r>
    </w:p>
    <w:p w14:paraId="2ED8A796" w14:textId="77777777" w:rsidR="006C4700" w:rsidRDefault="00000000">
      <w:pPr>
        <w:keepNext/>
        <w:spacing w:before="240" w:after="80"/>
      </w:pPr>
      <w:r>
        <w:rPr>
          <w:rFonts w:ascii="Book Antiqua" w:hAnsi="Book Antiqua"/>
          <w:b/>
          <w:color w:val="000000"/>
          <w:sz w:val="24"/>
        </w:rPr>
        <w:t>8. References</w:t>
      </w:r>
    </w:p>
    <w:p w14:paraId="48A1FDFB"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Agarwal, S., &amp; Rajan, K. S. (2016). Performance analysis of MongoDB versus PostGIS/PostgreSQL databases for line intersection and point containment spatial queries. Spatial Information Research, 24(6), 669–677. https://doi.org/10.1007/s41324-016-0059-1</w:t>
      </w:r>
    </w:p>
    <w:p w14:paraId="099973E2"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Atluri, V., &amp; Chun, S. A. (2004). An authorization model for geospatial data. IEEE Transactions on Dependable and Secure Computing, 1(4), 238–254. https://doi.org/10.1109/TDSC.2004.34</w:t>
      </w:r>
    </w:p>
    <w:p w14:paraId="5EFF5594"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Bertino, E., Catania, B., &amp; Damiani, M. L. (2005). GEO-RBAC: A spatially aware RBAC. In Proceedings of the 10th ACM Symposium on Access Control Models and Technologies (SACMAT '05) (pp. 29–37). Association for Computing Machinery. https://doi.org/10.1145/1063979.1063985</w:t>
      </w:r>
    </w:p>
    <w:p w14:paraId="0482FC9D" w14:textId="77777777" w:rsidR="006C4700" w:rsidRDefault="00000000">
      <w:pPr>
        <w:spacing w:after="80" w:line="240" w:lineRule="auto"/>
        <w:ind w:left="720" w:hanging="720"/>
      </w:pPr>
      <w:r>
        <w:rPr>
          <w:rFonts w:ascii="Book Antiqua" w:hAnsi="Book Antiqua"/>
          <w:color w:val="000000"/>
        </w:rPr>
      </w:r>
      <w:r>
        <w:rPr>
          <w:rFonts w:ascii="Book Antiqua" w:hAnsi="Book Antiqua"/>
          <w:color w:val="000000"/>
        </w:rPr>
      </w:r>
      <w:r>
        <w:rPr>
          <w:rFonts w:ascii="Book Antiqua" w:hAnsi="Book Antiqua"/>
          <w:sz w:val="22"/>
        </w:rPr>
        <w:t>Chun, S. A., &amp; Atluri, V. (2008). Geospatial database security. In H. Chen, T. S. Raghu, R. Ramesh, R. Sharman, &amp; S. Chakravarty (Eds.), Handbook of Database Security: Applications and Trends (pp. 251–277). Springer. https://doi.org/10.1007/978-0-387-48533-1_11</w:t>
      </w:r>
    </w:p>
    <w:p w14:paraId="3021D174"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Clarke, J. (2012). SQL Injection Attacks and Defense (2nd ed.). Syngress / Elsevier.</w:t>
      </w:r>
    </w:p>
    <w:p w14:paraId="1C6D0E62"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Crosby, S. A., &amp; Wallach, D. S. (2003). Denial of service via algorithmic complexity attacks. In Proceedings of the 12th USENIX Security Symposium (pp. 29–44). USENIX Association.</w:t>
      </w:r>
    </w:p>
    <w:p w14:paraId="1ECD84C5"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Egenhofer, M. J. (1994). Spatial SQL: A query and presentation language. IEEE Transactions on Knowledge and Data Engineering, 6(1), 86–95. https://doi.org/10.1109/69.273029</w:t>
      </w:r>
    </w:p>
    <w:p w14:paraId="4D6B31C3"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Halfond, W. G., Viegas, J., &amp; Orso, A. (2006). A classification of SQL-injection attacks and countermeasures. In Proceedings of the IEEE International Symposium on Secure Software Engineering (ISSSE '06). IEEE.</w:t>
      </w:r>
    </w:p>
    <w:p w14:paraId="2460E886"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Kara, A., Çağdaş, V., Isikdag, U., van Oosterom, P., Lemmen, C., &amp; Stubkjær, E. (2021). Towards the LADM Valuation Information Model: A case study in Turkey. Land Use Policy, 109, 105658. https://doi.org/10.1016/j.landusepol.2021.105658</w:t>
      </w:r>
    </w:p>
    <w:p w14:paraId="34C518A0"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Lemmen, C., van Oosterom, P., &amp; Bennett, R. (2015). The Land Administration Domain Model. Land Use Policy, 49, 535–545. https://doi.org/10.1016/j.landusepol.2015.01.014</w:t>
      </w:r>
    </w:p>
    <w:p w14:paraId="084E7198"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National Vulnerability Database. (2023). CVE-2023-25157 Detail: GeoServer SQL Injection Vulnerability. National Institute of Standards and Technology. https://nvd.nist.gov/vuln/detail/CVE-2023-25157</w:t>
      </w:r>
    </w:p>
    <w:p w14:paraId="446881ED"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Obe, R. O., &amp; Hsu, L. S. (2021). PostGIS in Action (3rd ed.). Manning Publications.</w:t>
      </w:r>
    </w:p>
    <w:p>
      <w:pPr>
        <w:spacing w:after="80" w:line="240" w:lineRule="auto"/>
        <w:ind w:left="720" w:hanging="720"/>
      </w:pPr>
      <w:r>
        <w:rPr>
          <w:rFonts w:ascii="Book Antiqua" w:hAnsi="Book Antiqua"/>
          <w:sz w:val="22"/>
        </w:rPr>
        <w:t>OWASP Foundation. (2021). OWASP Top 10:2021 - The Ten Most Critical Web Application Security Risks. Open Web Application Security Project. https://owasp.org/Top10/</w:t>
      </w:r>
    </w:p>
    <w:p>
      <w:pPr>
        <w:spacing w:after="80" w:line="240" w:lineRule="auto"/>
        <w:ind w:left="720" w:hanging="720"/>
      </w:pPr>
      <w:r>
        <w:rPr>
          <w:rFonts w:ascii="Book Antiqua" w:hAnsi="Book Antiqua"/>
          <w:sz w:val="22"/>
        </w:rPr>
        <w:t>OWASP Foundation. (2023). Web Security Testing Guide (WSTG v4.2). Open Web Application Security Project. https://owasp.org/www-project-web-security-testing-guide/</w:t>
      </w:r>
    </w:p>
    <w:p>
      <w:pPr>
        <w:spacing w:after="80" w:line="240" w:lineRule="auto"/>
        <w:ind w:left="720" w:hanging="720"/>
      </w:pPr>
      <w:r>
        <w:rPr>
          <w:rFonts w:ascii="Book Antiqua" w:hAnsi="Book Antiqua"/>
          <w:sz w:val="22"/>
        </w:rPr>
        <w:t>van Oosterom, P., Lemmen, C., &amp; Ingvarsson, T. (2006). The core cadastral domain model. Computers, Environment and Urban Systems, 30(5), 627–660. https://doi.org/10.1016/j.compenvurbsys.2005.12.002</w:t>
      </w:r>
    </w:p>
    <w:p w14:paraId="784D334A" w14:textId="77777777" w:rsidR="006C4700" w:rsidRDefault="00000000">
      <w:pPr>
        <w:spacing w:before="240" w:after="80"/>
      </w:pPr>
      <w:r>
        <w:rPr>
          <w:rFonts w:ascii="Book Antiqua" w:hAnsi="Book Antiqua"/>
          <w:b/>
          <w:color w:val="000000"/>
        </w:rPr>
        <w:t>This paper may be cited as:</w:t>
      </w:r>
    </w:p>
    <w:p w14:paraId="44B5A80D" w14:textId="77777777" w:rsidR="006C4700" w:rsidRDefault="00000000">
      <w:pPr>
        <w:spacing w:after="240"/>
        <w:ind w:left="720" w:hanging="720"/>
      </w:pPr>
      <w:r>
        <w:rPr>
          <w:rFonts w:ascii="Book Antiqua" w:hAnsi="Book Antiqua"/>
          <w:color w:val="000000"/>
        </w:rPr>
        <w:t>Rodrigo, A. (2026). Evaluación de Vulnerabilidades de Inyección SQL Espacial en Sistemas de Información Catastral basados en PostGIS. International Multidisciplinary Journal of Emerging Technologies and Applications, 1(1), 1-8. https://imjeta.org/index.php/IMJETA/libraryFiles/downloadPublic/1</w:t>
      </w:r>
    </w:p>
    <w:p w14:paraId="07FCD278" w14:textId="77777777" w:rsidR="006C4700" w:rsidRDefault="00000000">
      <w:r>
        <w:br w:type="page"/>
      </w:r>
    </w:p>
    <w:p w14:paraId="0922ED9C" w14:textId="77777777" w:rsidR="006C4700" w:rsidRDefault="00000000">
      <w:pPr>
        <w:keepNext/>
        <w:spacing w:before="240" w:after="80"/>
      </w:pPr>
      <w:r>
        <w:rPr>
          <w:rFonts w:ascii="Book Antiqua" w:hAnsi="Book Antiqua"/>
          <w:b/>
          <w:color w:val="000000"/>
          <w:sz w:val="24"/>
        </w:rPr>
        <w:lastRenderedPageBreak/>
        <w:t>Appendix 1</w:t>
      </w:r>
    </w:p>
    <w:p w14:paraId="1C022D00" w14:textId="77777777" w:rsidR="006C4700" w:rsidRDefault="00000000">
      <w:pPr>
        <w:spacing w:after="80" w:line="240" w:lineRule="auto"/>
      </w:pPr>
      <w:r>
        <w:rPr>
          <w:rFonts w:ascii="Book Antiqua" w:hAnsi="Book Antiqua"/>
          <w:color w:val="000000"/>
        </w:rPr>
        <w:t>Instrumento de Investigación: Batería de Vectores de Explotación: Operadores Espaciales (V1–V3) y Flujo Catastral / Control (V4–V6). A continuación se detallan los seis vectores de explotación diseñados y ejecutados para evaluar la seguridad de la API catastral:</w:t>
      </w:r>
    </w:p>
    <w:tbl>
      <w:tblPr>
        <w:tblW w:w="0" w:type="auto"/>
        <w:jc w:val="center"/>
        <w:tblLook w:val="04A0" w:firstRow="1" w:lastRow="0" w:firstColumn="1" w:lastColumn="0" w:noHBand="0" w:noVBand="1"/>
      </w:tblPr>
      <w:tblGrid>
        <w:gridCol w:w="1050"/>
        <w:gridCol w:w="2951"/>
        <w:gridCol w:w="2496"/>
        <w:gridCol w:w="1711"/>
      </w:tblGrid>
      <w:tr w:rsidR="006C4700" w14:paraId="2994E31D" w14:textId="77777777">
        <w:trPr>
          <w:jc w:val="center"/>
        </w:trPr>
        <w:tc>
          <w:tcPr>
            <w:tcW w:w="2052" w:type="dxa"/>
          </w:tcPr>
          <w:p w14:paraId="1A851CBD" w14:textId="77777777" w:rsidR="006C4700" w:rsidRDefault="00000000">
            <w:pPr>
              <w:spacing w:before="40" w:after="40"/>
            </w:pPr>
            <w:r>
              <w:rPr>
                <w:rFonts w:ascii="Book Antiqua" w:hAnsi="Book Antiqua"/>
                <w:b/>
                <w:color w:val="000000"/>
                <w:sz w:val="18"/>
              </w:rPr>
              <w:t>Vector de Prueba</w:t>
            </w:r>
          </w:p>
        </w:tc>
        <w:tc>
          <w:tcPr>
            <w:tcW w:w="2052" w:type="dxa"/>
          </w:tcPr>
          <w:p w14:paraId="7FAC39ED" w14:textId="77777777" w:rsidR="006C4700" w:rsidRDefault="00000000">
            <w:pPr>
              <w:spacing w:before="40" w:after="40"/>
            </w:pPr>
            <w:r>
              <w:rPr>
                <w:rFonts w:ascii="Book Antiqua" w:hAnsi="Book Antiqua"/>
                <w:b/>
                <w:color w:val="000000"/>
                <w:sz w:val="18"/>
              </w:rPr>
              <w:t>Endpoint Evaluado</w:t>
            </w:r>
          </w:p>
        </w:tc>
        <w:tc>
          <w:tcPr>
            <w:tcW w:w="2052" w:type="dxa"/>
          </w:tcPr>
          <w:p w14:paraId="0D372CF1" w14:textId="77777777" w:rsidR="006C4700" w:rsidRDefault="00000000">
            <w:pPr>
              <w:spacing w:before="40" w:after="40"/>
            </w:pPr>
            <w:r>
              <w:rPr>
                <w:rFonts w:ascii="Book Antiqua" w:hAnsi="Book Antiqua"/>
                <w:b/>
                <w:color w:val="000000"/>
                <w:sz w:val="18"/>
              </w:rPr>
              <w:t>Payload Representativo</w:t>
            </w:r>
          </w:p>
        </w:tc>
        <w:tc>
          <w:tcPr>
            <w:tcW w:w="2052" w:type="dxa"/>
          </w:tcPr>
          <w:p w14:paraId="18C3C623" w14:textId="77777777" w:rsidR="006C4700" w:rsidRDefault="00000000">
            <w:pPr>
              <w:spacing w:before="40" w:after="40"/>
            </w:pPr>
            <w:r>
              <w:rPr>
                <w:rFonts w:ascii="Book Antiqua" w:hAnsi="Book Antiqua"/>
                <w:b/>
                <w:color w:val="000000"/>
                <w:sz w:val="18"/>
              </w:rPr>
              <w:t>Dimensión CIA y Efecto</w:t>
            </w:r>
          </w:p>
        </w:tc>
      </w:tr>
      <w:tr w:rsidR="006C4700" w14:paraId="0AB88F98" w14:textId="77777777">
        <w:trPr>
          <w:jc w:val="center"/>
        </w:trPr>
        <w:tc>
          <w:tcPr>
            <w:tcW w:w="2052" w:type="dxa"/>
          </w:tcPr>
          <w:p w14:paraId="4FD9A46E" w14:textId="77777777" w:rsidR="006C4700" w:rsidRDefault="00000000">
            <w:pPr>
              <w:spacing w:before="40" w:after="40"/>
            </w:pPr>
            <w:r>
              <w:rPr>
                <w:rFonts w:ascii="Book Antiqua" w:hAnsi="Book Antiqua"/>
                <w:color w:val="000000"/>
                <w:sz w:val="18"/>
              </w:rPr>
              <w:t>1. Evasión Lógica</w:t>
            </w:r>
          </w:p>
        </w:tc>
        <w:tc>
          <w:tcPr>
            <w:tcW w:w="2052" w:type="dxa"/>
          </w:tcPr>
          <w:p w14:paraId="6B85E214" w14:textId="77777777" w:rsidR="006C4700" w:rsidRDefault="00000000">
            <w:pPr>
              <w:spacing w:before="40" w:after="40"/>
            </w:pPr>
            <w:r>
              <w:rPr>
                <w:rFonts w:ascii="Book Antiqua" w:hAnsi="Book Antiqua"/>
                <w:color w:val="000000"/>
                <w:sz w:val="18"/>
              </w:rPr>
              <w:t>GET /api/v1/vulnerable/predios/radio</w:t>
            </w:r>
          </w:p>
        </w:tc>
        <w:tc>
          <w:tcPr>
            <w:tcW w:w="2052" w:type="dxa"/>
          </w:tcPr>
          <w:p w14:paraId="0A3F1C78" w14:textId="77777777" w:rsidR="006C4700" w:rsidRDefault="00000000">
            <w:pPr>
              <w:spacing w:before="40" w:after="40"/>
            </w:pPr>
            <w:r>
              <w:rPr>
                <w:rFonts w:ascii="Book Antiqua" w:hAnsi="Book Antiqua"/>
                <w:color w:val="000000"/>
                <w:sz w:val="18"/>
              </w:rPr>
              <w:t>50) OR 1=1 --</w:t>
            </w:r>
          </w:p>
        </w:tc>
        <w:tc>
          <w:tcPr>
            <w:tcW w:w="2052" w:type="dxa"/>
          </w:tcPr>
          <w:p w14:paraId="3233DD2B" w14:textId="77777777" w:rsidR="006C4700" w:rsidRDefault="00000000">
            <w:pPr>
              <w:spacing w:before="40" w:after="40"/>
            </w:pPr>
            <w:r>
              <w:rPr>
                <w:rFonts w:ascii="Book Antiqua" w:hAnsi="Book Antiqua"/>
                <w:color w:val="000000"/>
                <w:sz w:val="18"/>
              </w:rPr>
              <w:t>Confidencialidad: Exfiltración de predios de sectores restringidos.</w:t>
            </w:r>
          </w:p>
        </w:tc>
      </w:tr>
      <w:tr w:rsidR="006C4700" w14:paraId="53811154" w14:textId="77777777">
        <w:trPr>
          <w:jc w:val="center"/>
        </w:trPr>
        <w:tc>
          <w:tcPr>
            <w:tcW w:w="2052" w:type="dxa"/>
          </w:tcPr>
          <w:p w14:paraId="65696CF1" w14:textId="77777777" w:rsidR="006C4700" w:rsidRDefault="00000000">
            <w:pPr>
              <w:spacing w:before="40" w:after="40"/>
            </w:pPr>
            <w:r>
              <w:rPr>
                <w:rFonts w:ascii="Book Antiqua" w:hAnsi="Book Antiqua"/>
                <w:color w:val="000000"/>
                <w:sz w:val="18"/>
              </w:rPr>
              <w:t>2. Canal Lateral Ciego</w:t>
            </w:r>
          </w:p>
        </w:tc>
        <w:tc>
          <w:tcPr>
            <w:tcW w:w="2052" w:type="dxa"/>
          </w:tcPr>
          <w:p w14:paraId="188558A2" w14:textId="77777777" w:rsidR="006C4700" w:rsidRDefault="00000000">
            <w:pPr>
              <w:spacing w:before="40" w:after="40"/>
            </w:pPr>
            <w:r>
              <w:rPr>
                <w:rFonts w:ascii="Book Antiqua" w:hAnsi="Book Antiqua"/>
                <w:color w:val="000000"/>
                <w:sz w:val="18"/>
              </w:rPr>
              <w:t>GET /api/v1/vulnerable/predios/poligono</w:t>
            </w:r>
          </w:p>
        </w:tc>
        <w:tc>
          <w:tcPr>
            <w:tcW w:w="2052" w:type="dxa"/>
          </w:tcPr>
          <w:p w14:paraId="4EA5F4B9" w14:textId="77777777" w:rsidR="006C4700" w:rsidRDefault="00000000">
            <w:pPr>
              <w:spacing w:before="40" w:after="40"/>
            </w:pPr>
            <w:r>
              <w:rPr>
                <w:rFonts w:ascii="Book Antiqua" w:hAnsi="Book Antiqua"/>
                <w:color w:val="000000"/>
                <w:sz w:val="18"/>
              </w:rPr>
              <w:t>POLYGON(...) AND 1=(CASE WHEN ... THEN CAST(ST_GeomFromText('ERR') AS INT) ELSE 1 END)</w:t>
            </w:r>
          </w:p>
        </w:tc>
        <w:tc>
          <w:tcPr>
            <w:tcW w:w="2052" w:type="dxa"/>
          </w:tcPr>
          <w:p w14:paraId="4FAA4E0C" w14:textId="77777777" w:rsidR="006C4700" w:rsidRDefault="00000000">
            <w:pPr>
              <w:spacing w:before="40" w:after="40"/>
            </w:pPr>
            <w:r>
              <w:rPr>
                <w:rFonts w:ascii="Book Antiqua" w:hAnsi="Book Antiqua"/>
                <w:color w:val="000000"/>
                <w:sz w:val="18"/>
              </w:rPr>
              <w:t>Confidencialidad: Exfiltración carácter por carácter de hashes.</w:t>
            </w:r>
          </w:p>
        </w:tc>
      </w:tr>
      <w:tr w:rsidR="006C4700" w14:paraId="034A97D7" w14:textId="77777777">
        <w:trPr>
          <w:jc w:val="center"/>
        </w:trPr>
        <w:tc>
          <w:tcPr>
            <w:tcW w:w="2052" w:type="dxa"/>
          </w:tcPr>
          <w:p w14:paraId="19829DBB" w14:textId="77777777" w:rsidR="006C4700" w:rsidRDefault="00000000">
            <w:pPr>
              <w:spacing w:before="40" w:after="40"/>
            </w:pPr>
            <w:r>
              <w:rPr>
                <w:rFonts w:ascii="Book Antiqua" w:hAnsi="Book Antiqua"/>
                <w:color w:val="000000"/>
                <w:sz w:val="18"/>
              </w:rPr>
              <w:t>3. DoS Algorítmico</w:t>
            </w:r>
          </w:p>
        </w:tc>
        <w:tc>
          <w:tcPr>
            <w:tcW w:w="2052" w:type="dxa"/>
          </w:tcPr>
          <w:p w14:paraId="42E9DD15" w14:textId="77777777" w:rsidR="006C4700" w:rsidRDefault="00000000">
            <w:pPr>
              <w:spacing w:before="40" w:after="40"/>
            </w:pPr>
            <w:r>
              <w:rPr>
                <w:rFonts w:ascii="Book Antiqua" w:hAnsi="Book Antiqua"/>
                <w:color w:val="000000"/>
                <w:sz w:val="18"/>
              </w:rPr>
              <w:t>GET /api/v1/vulnerable/predios/analisis-expansion</w:t>
            </w:r>
          </w:p>
        </w:tc>
        <w:tc>
          <w:tcPr>
            <w:tcW w:w="2052" w:type="dxa"/>
          </w:tcPr>
          <w:p w14:paraId="20D359C7" w14:textId="77777777" w:rsidR="006C4700" w:rsidRDefault="00000000">
            <w:pPr>
              <w:spacing w:before="40" w:after="40"/>
            </w:pPr>
            <w:r>
              <w:rPr>
                <w:rFonts w:ascii="Book Antiqua" w:hAnsi="Book Antiqua"/>
                <w:color w:val="000000"/>
                <w:sz w:val="18"/>
              </w:rPr>
              <w:t>10 + (SELECT COUNT(*) FROM tg_lote a CROSS JOIN ... ST_Buffer(..., 100))</w:t>
            </w:r>
          </w:p>
        </w:tc>
        <w:tc>
          <w:tcPr>
            <w:tcW w:w="2052" w:type="dxa"/>
          </w:tcPr>
          <w:p w14:paraId="6727F764" w14:textId="77777777" w:rsidR="006C4700" w:rsidRDefault="00000000">
            <w:pPr>
              <w:spacing w:before="40" w:after="40"/>
            </w:pPr>
            <w:r>
              <w:rPr>
                <w:rFonts w:ascii="Book Antiqua" w:hAnsi="Book Antiqua"/>
                <w:color w:val="000000"/>
                <w:sz w:val="18"/>
              </w:rPr>
              <w:t>Disponibilidad: Explosión combinatoria O(N^2), saturación de CPU.</w:t>
            </w:r>
          </w:p>
        </w:tc>
      </w:tr>
      <w:tr w:rsidR="006C4700" w14:paraId="2C382CFF" w14:textId="77777777">
        <w:trPr>
          <w:jc w:val="center"/>
        </w:trPr>
        <w:tc>
          <w:tcPr>
            <w:tcW w:w="2052" w:type="dxa"/>
          </w:tcPr>
          <w:p w14:paraId="5FAFC4C8" w14:textId="77777777" w:rsidR="006C4700" w:rsidRDefault="00000000">
            <w:pPr>
              <w:spacing w:before="40" w:after="40"/>
            </w:pPr>
            <w:r>
              <w:rPr>
                <w:rFonts w:ascii="Book Antiqua" w:hAnsi="Book Antiqua"/>
                <w:color w:val="000000"/>
                <w:sz w:val="18"/>
              </w:rPr>
              <w:t>4. Tampering Predial</w:t>
            </w:r>
          </w:p>
        </w:tc>
        <w:tc>
          <w:tcPr>
            <w:tcW w:w="2052" w:type="dxa"/>
          </w:tcPr>
          <w:p w14:paraId="751D16E7" w14:textId="77777777" w:rsidR="006C4700" w:rsidRDefault="00000000">
            <w:pPr>
              <w:spacing w:before="40" w:after="40"/>
            </w:pPr>
            <w:r>
              <w:rPr>
                <w:rFonts w:ascii="Book Antiqua" w:hAnsi="Book Antiqua"/>
                <w:color w:val="000000"/>
                <w:sz w:val="18"/>
              </w:rPr>
              <w:t>POST /api/v1/vulnerable/ficha/modificar</w:t>
            </w:r>
          </w:p>
        </w:tc>
        <w:tc>
          <w:tcPr>
            <w:tcW w:w="2052" w:type="dxa"/>
          </w:tcPr>
          <w:p w14:paraId="7804A27C" w14:textId="77777777" w:rsidR="006C4700" w:rsidRDefault="00000000">
            <w:pPr>
              <w:spacing w:before="40" w:after="40"/>
            </w:pPr>
            <w:r>
              <w:rPr>
                <w:rFonts w:ascii="Book Antiqua" w:hAnsi="Book Antiqua"/>
                <w:color w:val="000000"/>
                <w:sz w:val="18"/>
              </w:rPr>
              <w:t>id_lote = '21010101000000', nuevo_autovaluo = 0, nuevo_titular = 'HACKER'</w:t>
            </w:r>
          </w:p>
        </w:tc>
        <w:tc>
          <w:tcPr>
            <w:tcW w:w="2052" w:type="dxa"/>
          </w:tcPr>
          <w:p w14:paraId="64DA77F0" w14:textId="77777777" w:rsidR="006C4700" w:rsidRDefault="00000000">
            <w:pPr>
              <w:spacing w:before="40" w:after="40"/>
            </w:pPr>
            <w:r>
              <w:rPr>
                <w:rFonts w:ascii="Book Antiqua" w:hAnsi="Book Antiqua"/>
                <w:color w:val="000000"/>
                <w:sz w:val="18"/>
              </w:rPr>
              <w:t>Integridad: Alteración tributaria y suplantación de titularidad.</w:t>
            </w:r>
          </w:p>
        </w:tc>
      </w:tr>
      <w:tr w:rsidR="006C4700" w14:paraId="5D0BB29D" w14:textId="77777777">
        <w:trPr>
          <w:jc w:val="center"/>
        </w:trPr>
        <w:tc>
          <w:tcPr>
            <w:tcW w:w="2052" w:type="dxa"/>
          </w:tcPr>
          <w:p w14:paraId="02230151" w14:textId="77777777" w:rsidR="006C4700" w:rsidRDefault="00000000">
            <w:pPr>
              <w:spacing w:before="40" w:after="40"/>
            </w:pPr>
            <w:r>
              <w:rPr>
                <w:rFonts w:ascii="Book Antiqua" w:hAnsi="Book Antiqua"/>
                <w:color w:val="000000"/>
                <w:sz w:val="18"/>
              </w:rPr>
              <w:t>5. Borrado Masivo</w:t>
            </w:r>
          </w:p>
        </w:tc>
        <w:tc>
          <w:tcPr>
            <w:tcW w:w="2052" w:type="dxa"/>
          </w:tcPr>
          <w:p w14:paraId="13F62944" w14:textId="77777777" w:rsidR="006C4700" w:rsidRDefault="00000000">
            <w:pPr>
              <w:spacing w:before="40" w:after="40"/>
            </w:pPr>
            <w:r>
              <w:rPr>
                <w:rFonts w:ascii="Book Antiqua" w:hAnsi="Book Antiqua"/>
                <w:color w:val="000000"/>
                <w:sz w:val="18"/>
              </w:rPr>
              <w:t>DELETE /api/v1/vulnerable/predios/borrar</w:t>
            </w:r>
          </w:p>
        </w:tc>
        <w:tc>
          <w:tcPr>
            <w:tcW w:w="2052" w:type="dxa"/>
          </w:tcPr>
          <w:p w14:paraId="6599C8F4" w14:textId="77777777" w:rsidR="006C4700" w:rsidRDefault="00000000">
            <w:pPr>
              <w:spacing w:before="40" w:after="40"/>
            </w:pPr>
            <w:r>
              <w:rPr>
                <w:rFonts w:ascii="Book Antiqua" w:hAnsi="Book Antiqua"/>
                <w:color w:val="000000"/>
                <w:sz w:val="18"/>
              </w:rPr>
              <w:t>filtro_sector = '0101' OR '1'='1'</w:t>
            </w:r>
          </w:p>
        </w:tc>
        <w:tc>
          <w:tcPr>
            <w:tcW w:w="2052" w:type="dxa"/>
          </w:tcPr>
          <w:p>
            <w:r>
              <w:t>Integridad y Disponibilidad: Eliminación incondicional de 487 lotes.</w:t>
            </w:r>
          </w:p>
        </w:tc>
      </w:tr>
      <w:tr w:rsidR="006C4700" w14:paraId="525648D4" w14:textId="77777777">
        <w:trPr>
          <w:jc w:val="center"/>
        </w:trPr>
        <w:tc>
          <w:tcPr>
            <w:tcW w:w="2052" w:type="dxa"/>
          </w:tcPr>
          <w:p w14:paraId="24D02553" w14:textId="77777777" w:rsidR="006C4700" w:rsidRDefault="00000000">
            <w:pPr>
              <w:spacing w:before="40" w:after="40"/>
            </w:pPr>
            <w:r>
              <w:rPr>
                <w:rFonts w:ascii="Book Antiqua" w:hAnsi="Book Antiqua"/>
                <w:color w:val="000000"/>
                <w:sz w:val="18"/>
              </w:rPr>
              <w:t>6. Evasión de Auth</w:t>
            </w:r>
          </w:p>
        </w:tc>
        <w:tc>
          <w:tcPr>
            <w:tcW w:w="2052" w:type="dxa"/>
          </w:tcPr>
          <w:p w14:paraId="6034B765" w14:textId="77777777" w:rsidR="006C4700" w:rsidRDefault="00000000">
            <w:pPr>
              <w:spacing w:before="40" w:after="40"/>
            </w:pPr>
            <w:r>
              <w:rPr>
                <w:rFonts w:ascii="Book Antiqua" w:hAnsi="Book Antiqua"/>
                <w:color w:val="000000"/>
                <w:sz w:val="18"/>
              </w:rPr>
              <w:t>POST /api/v1/vulnerable/auth/login</w:t>
            </w:r>
          </w:p>
        </w:tc>
        <w:tc>
          <w:tcPr>
            <w:tcW w:w="2052" w:type="dxa"/>
          </w:tcPr>
          <w:p w14:paraId="616C7A27" w14:textId="77777777" w:rsidR="006C4700" w:rsidRDefault="00000000">
            <w:pPr>
              <w:spacing w:before="40" w:after="40"/>
            </w:pPr>
            <w:r>
              <w:rPr>
                <w:rFonts w:ascii="Book Antiqua" w:hAnsi="Book Antiqua"/>
                <w:color w:val="000000"/>
                <w:sz w:val="18"/>
              </w:rPr>
              <w:t>username = admin' --</w:t>
            </w:r>
          </w:p>
        </w:tc>
        <w:tc>
          <w:tcPr>
            <w:tcW w:w="2052" w:type="dxa"/>
          </w:tcPr>
          <w:p w14:paraId="1997098E" w14:textId="77777777" w:rsidR="006C4700" w:rsidRDefault="00000000">
            <w:pPr>
              <w:spacing w:before="40" w:after="40"/>
            </w:pPr>
            <w:r>
              <w:rPr>
                <w:rFonts w:ascii="Book Antiqua" w:hAnsi="Book Antiqua"/>
                <w:color w:val="000000"/>
                <w:sz w:val="18"/>
              </w:rPr>
              <w:t>Confidencialidad e Integridad: Escalación a superadmin_catastro.</w:t>
            </w:r>
          </w:p>
        </w:tc>
      </w:tr>
    </w:tbl>
    <w:p w14:paraId="5334C85A" w14:textId="77777777" w:rsidR="00BE2976" w:rsidRDefault="00BE2976"/>
    <w:sectPr w:rsidR="00BE2976" w:rsidSect="006C7473">
      <w:headerReference w:type="default" r:id="rId12"/>
      <w:footerReference w:type="default" r:id="rId13"/>
      <w:headerReference w:type="first" r:id="rId14"/>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51B92B" w14:textId="77777777" w:rsidR="00D07BAB" w:rsidRDefault="00D07BAB">
      <w:pPr>
        <w:spacing w:after="0" w:line="240" w:lineRule="auto"/>
      </w:pPr>
      <w:r>
        <w:separator/>
      </w:r>
    </w:p>
  </w:endnote>
  <w:endnote w:type="continuationSeparator" w:id="0">
    <w:p w14:paraId="0892BF23" w14:textId="77777777" w:rsidR="00D07BAB" w:rsidRDefault="00D07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36999"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2096E9F3"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5899E12C"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81E90E" w14:textId="77777777" w:rsidR="00D07BAB" w:rsidRDefault="00D07BAB">
      <w:pPr>
        <w:spacing w:after="0" w:line="240" w:lineRule="auto"/>
      </w:pPr>
      <w:r>
        <w:separator/>
      </w:r>
    </w:p>
  </w:footnote>
  <w:footnote w:type="continuationSeparator" w:id="0">
    <w:p w14:paraId="21AC4680" w14:textId="77777777" w:rsidR="00D07BAB" w:rsidRDefault="00D07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6FA47"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16FC49C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E304"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7D6F03B0"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28FC"/>
    <w:rsid w:val="000D68C3"/>
    <w:rsid w:val="000D6F90"/>
    <w:rsid w:val="001C1B5A"/>
    <w:rsid w:val="001C5249"/>
    <w:rsid w:val="00236634"/>
    <w:rsid w:val="002C2CEF"/>
    <w:rsid w:val="00322AEA"/>
    <w:rsid w:val="003D136C"/>
    <w:rsid w:val="00453DA9"/>
    <w:rsid w:val="005243B1"/>
    <w:rsid w:val="00611062"/>
    <w:rsid w:val="006251BB"/>
    <w:rsid w:val="00642D9A"/>
    <w:rsid w:val="006A0CA1"/>
    <w:rsid w:val="006B747B"/>
    <w:rsid w:val="006C4700"/>
    <w:rsid w:val="006C7473"/>
    <w:rsid w:val="00723064"/>
    <w:rsid w:val="00730D59"/>
    <w:rsid w:val="0083439D"/>
    <w:rsid w:val="00870A71"/>
    <w:rsid w:val="00976CD5"/>
    <w:rsid w:val="009E1DC5"/>
    <w:rsid w:val="00A0319A"/>
    <w:rsid w:val="00A06242"/>
    <w:rsid w:val="00A60BDB"/>
    <w:rsid w:val="00B721BA"/>
    <w:rsid w:val="00B9745F"/>
    <w:rsid w:val="00BE2976"/>
    <w:rsid w:val="00C2198E"/>
    <w:rsid w:val="00C9401F"/>
    <w:rsid w:val="00D07BAB"/>
    <w:rsid w:val="00D115E6"/>
    <w:rsid w:val="00D8246D"/>
    <w:rsid w:val="00DD4B6E"/>
    <w:rsid w:val="00ED6806"/>
    <w:rsid w:val="00F174E0"/>
    <w:rsid w:val="00F31BDF"/>
    <w:rsid w:val="00F62503"/>
    <w:rsid w:val="00F65F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E9"/>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 w:type="table" w:styleId="Tablanormal4">
    <w:name w:val="Plain Table 4"/>
    <w:basedOn w:val="Tablanormal"/>
    <w:uiPriority w:val="44"/>
    <w:rsid w:val="003D136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11</Pages>
  <Words>3821</Words>
  <Characters>21016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24788</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18</cp:revision>
  <dcterms:created xsi:type="dcterms:W3CDTF">2026-08-22T20:06:00Z</dcterms:created>
  <dcterms:modified xsi:type="dcterms:W3CDTF">2026-09-18T06:25:00Z</dcterms:modified>
</cp:coreProperties>
</file>