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ta-44-de-reunião-do-comitê-executivo"/>
    <w:p>
      <w:pPr>
        <w:pStyle w:val="Heading1"/>
      </w:pPr>
      <w:r>
        <w:t xml:space="preserve">ATA 44 DE REUNIÃO DO COMITÊ EXECUTIVO</w:t>
      </w:r>
    </w:p>
    <w:bookmarkEnd w:id="21"/>
    <w:p>
      <w:r>
        <w:t xml:space="preserve">Às 10:30h do dia 14 de maio de 2026 reuniram-se remotamente os representantes dos Partícipes da Rede Blockchain Brasil – RBB, conforme lista de presença ao final, para tratar dos assuntos constantes da Ordem do Dia abaixo, com apresentação de apoio para a reunião contida no Anexo 1.</w:t>
      </w:r>
    </w:p>
    <w:bookmarkStart w:id="22" w:name="ordem-do-dia"/>
    <w:p>
      <w:pPr>
        <w:pStyle w:val="Heading2"/>
      </w:pPr>
      <w:r>
        <w:t xml:space="preserve">Ordem do Dia</w:t>
      </w:r>
    </w:p>
    <w:bookmarkEnd w:id="22"/>
    <w:p>
      <w:r>
        <w:t xml:space="preserve">Observadas as cláusulas do Acordo de Cooperação n° D-121.2.0014.22, celebrado entre os Partícipes para a criação e manutenção da RBB, e sem prejuízo do que vier a dispor o Regulamento da RBB:</w:t>
      </w:r>
    </w:p>
    <w:p>
      <w:pPr>
        <w:pStyle w:val="Compact"/>
        <w:numPr>
          <w:numId w:val="2"/>
          <w:ilvl w:val="0"/>
        </w:numPr>
      </w:pPr>
      <w:r>
        <w:t xml:space="preserve">Apresentação Preliminar ACIEG</w:t>
      </w:r>
    </w:p>
    <w:p>
      <w:pPr>
        <w:pStyle w:val="Compact"/>
        <w:numPr>
          <w:numId w:val="2"/>
          <w:ilvl w:val="0"/>
        </w:numPr>
      </w:pPr>
      <w:r>
        <w:t xml:space="preserve">Indicadores Governança e Operação</w:t>
      </w:r>
    </w:p>
    <w:p>
      <w:pPr>
        <w:pStyle w:val="Compact"/>
        <w:numPr>
          <w:numId w:val="2"/>
          <w:ilvl w:val="0"/>
        </w:numPr>
      </w:pPr>
      <w:r>
        <w:t xml:space="preserve">Indicadores Evolução</w:t>
      </w:r>
    </w:p>
    <w:p>
      <w:pPr>
        <w:pStyle w:val="Compact"/>
        <w:numPr>
          <w:numId w:val="2"/>
          <w:ilvl w:val="0"/>
        </w:numPr>
      </w:pPr>
      <w:r>
        <w:t xml:space="preserve">Proposta Acompanhamento de Indicadores</w:t>
      </w:r>
    </w:p>
    <w:p>
      <w:pPr>
        <w:pStyle w:val="Compact"/>
        <w:numPr>
          <w:numId w:val="2"/>
          <w:ilvl w:val="0"/>
        </w:numPr>
      </w:pPr>
      <w:r>
        <w:t xml:space="preserve">Coordenação de Ecossistema</w:t>
      </w:r>
    </w:p>
    <w:p>
      <w:r>
        <w:rPr>
          <w:b/>
        </w:rPr>
        <w:t xml:space="preserve">RELATO</w:t>
      </w:r>
    </w:p>
    <w:p>
      <w:r>
        <w:rPr>
          <w:b/>
        </w:rPr>
        <w:t xml:space="preserve">1. Apresentação Preliminar ACIEG</w:t>
      </w:r>
    </w:p>
    <w:p>
      <w:r>
        <w:t xml:space="preserve">O sr. Gladstone Moises Arantes Junior, representante do BNDES, iniciou a reunião informando que precisaria se ausentar mais tarde devido a um painel na São Paulo Innovation Week, deixando a condução a cargo do sr. João Alexandre dos Santos Lopes, também representante do BNDES. Em seguida, passou a palavra para a apresentação da Associação Comercial, Industrial e de Serviços do Estado de Goiás (ACIEG), que submeteu uma proposta para ingressar na RBB como partícipe associado.</w:t>
      </w:r>
    </w:p>
    <w:p>
      <w:r>
        <w:t xml:space="preserve">O sr. Renan Santana, representante da ACIEG (convidado), apresentou a instituição, fundada em 1937, e destacou o interesse em contribuir ativamente com a rede. Ele detalhou três propostas de aplicações a serem implementadas como</w:t>
      </w:r>
      <w:r>
        <w:t xml:space="preserve"> </w:t>
      </w:r>
      <w:r>
        <w:rPr>
          <w:i/>
        </w:rPr>
        <w:t xml:space="preserve">smart contracts</w:t>
      </w:r>
      <w:r>
        <w:t xml:space="preserve"> </w:t>
      </w:r>
      <w:r>
        <w:t xml:space="preserve">de código aberto: a criação de um "Selo Digital de Associado" (Soulbound Token) para facilitar a comprovação de associação e obtenção de benefícios; um sistema de emissão de "Certificados Verificáveis" para os cursos oferecidos pela associação; e um projeto de "Rastreabilidade Feito em Goiás" para adequação às exigências de exportação (como as da União Europeia). Além disso, a ACIEG desenvolveu um plugin para WordPress focado em facilitar a leitura e validação de dados da blockchain por usuários finais. O representante informou que a ACIEG pretende rodar seu nó na nuvem da Magalu Cloud.</w:t>
      </w:r>
    </w:p>
    <w:p>
      <w:r>
        <w:t xml:space="preserve">O sr. Marco Túlio da Silva Lima, representante do Serpro, elogiou as propostas, especialmente o selo de associado, e questionou se a solução já estava em operação. O sr. Renan esclareceu que os contratos foram desenvolvidos e testados em ambiente local, aguardando o ingresso na RBB para implantação. O sr. Eldon Teixeira Coutinho, representante do TCU, questionou sobre a capacidade técnica e de pessoal da ACIEG para sustentar o nó e atuar na gestão de incidentes. O sr. Renan explicou que a associação capacitará sua equipe interna ou contratará profissionais específicos, ressaltando que o uso de infraestrutura em nuvem visa justamente mitigar riscos de instabilidade. O sr. Gladstone informou que esta foi uma apresentação preliminar e que a análise documental e a votação formal de adesão ocorrerão na próxima reunião.</w:t>
      </w:r>
    </w:p>
    <w:p>
      <w:r>
        <w:rPr>
          <w:b/>
        </w:rPr>
        <w:t xml:space="preserve">2. Indicadores Governança e Operação</w:t>
      </w:r>
    </w:p>
    <w:p>
      <w:r>
        <w:t xml:space="preserve">O sr. Gladstone apresentou os indicadores do mês de abril. No âmbito da governança, destacou a presença dos membros no Comitê Técnico, pontuando que a RNP registrou 60% de participação no período.</w:t>
      </w:r>
    </w:p>
    <w:p>
      <w:r>
        <w:t xml:space="preserve">Em relação à operação da rede principal (Mainnet), o mês de abril foi classificado como o segundo pior no período analisado, com degradação no tempo de produção de blocos devido à queda de alguns validadores. A média de tempo por bloco subiu levemente para 4,185 segundos, com o tempo máximo de produção de um bloco atingindo 28 segundos.</w:t>
      </w:r>
    </w:p>
    <w:p>
      <w:r>
        <w:t xml:space="preserve">No que tange à produção de blocos por instituição, foi reportado que o IBICT produziu menos blocos do que o esperado. O Instituto Plexos apareceu com índices baixos, o que foi justificado como um falso negativo, já que a instituição ingressou no final do mês. Sobre o tempo de resolução de incidentes, o TCU registrou um incidente em abril, solucionado em sete dias, prazo considerado dentro do esperado pelo fluxo do Comitê Técnico.</w:t>
      </w:r>
    </w:p>
    <w:p>
      <w:r>
        <w:rPr>
          <w:b/>
        </w:rPr>
        <w:t xml:space="preserve">3. Indicadores Evolução</w:t>
      </w:r>
    </w:p>
    <w:p>
      <w:r>
        <w:t xml:space="preserve">A sra. Andreza Ferraresso Lona Faro, representante do CPQD, apresentou o acompanhamento das iniciativas de evolução técnica da rede. Os projetos de rotação de validadores e do plugin de permissionamento seguem o cronograma (sinalização verde). As iniciativas relacionadas à LGPD e ao Termo de Uso apresentam pendências burocráticas ou de registro.</w:t>
      </w:r>
    </w:p>
    <w:p>
      <w:r>
        <w:t xml:space="preserve">O principal destaque foi o lançamento do Explorador de Blocos da RBB (Block Explorer), desenvolvido e sediado pelo TCU, que já está disponível publicamente. A indexação completa do histórico da blockchain está em andamento, com conclusão prevista para o final de maio. O sr. Eldon fez uma demonstração da ferramenta, mostrando a interface, a leitura de blocos, transações e a possibilidade de validação de contratos inteligentes, além de disponibilizar o repositório do código para as demais casas.</w:t>
      </w:r>
    </w:p>
    <w:p>
      <w:r>
        <w:t xml:space="preserve">A sra. Andreza também mencionou iniciativas paralelas que não estão no painel principal, mas agregam valor ao ecossistema: o desenvolvimento de uma ferramenta CLI (linha de comando) pelo TCU para consulta e monitoramento de nós, e um trabalho conduzido pela RNP focado na avaliação de riscos de segurança da informação e mapeamento de vulnerabilidades.</w:t>
      </w:r>
    </w:p>
    <w:p>
      <w:r>
        <w:rPr>
          <w:b/>
        </w:rPr>
        <w:t xml:space="preserve">4. Proposta Acompanhamento de Indicadores</w:t>
      </w:r>
    </w:p>
    <w:p>
      <w:r>
        <w:t xml:space="preserve">O sr. Gladstone propôs uma nova metodologia para o acompanhamento dos indicadores, visando estabelecer metas claras e processos de escalonamento, uma vez que as sinalizações atuais (verde, amarelo, vermelho) eram apenas demonstrativas. A proposta estabelece ciclos de três meses (trimestrais) com acompanhamento mensal.</w:t>
      </w:r>
    </w:p>
    <w:p>
      <w:r>
        <w:t xml:space="preserve">No novo modelo, caso uma instituição não atinja as metas, haverá um fluxo de comunicação: sinalizações amarelas gerarão alertas por e-mail e reportes no Comitê Executivo; sinalizações vermelhas motivarão reuniões individualizadas e acompanhamento dedicado. Para a governança, as metas passam a avaliar também a presença de gestores de incidentes no Comitê Técnico e a assiduidade no Comitê Executivo (duas ausências no semestre geram alerta amarelo; três geram vermelho).</w:t>
      </w:r>
    </w:p>
    <w:p>
      <w:r>
        <w:t xml:space="preserve">Para a operação, sugeriu-se que os acordos de nível de serviço (OLAs) já monitorados na Mainnet passem a ser aplicados e cobrados também no ambiente de Laboratório (Lab). Pela simulação do ciclo zero (fevereiro a abril), instituições como Dataprev e IBICT estariam em sinalização amarela/vermelha no Lab. O sr. Gladstone explicou que as medições oficiais sob esta nova regra iniciarão no ciclo de abril a junho, com apresentação dos primeiros resultados consolidados em julho. A proposta foi bem recebida pelos presentes, sem objeções.</w:t>
      </w:r>
    </w:p>
    <w:p>
      <w:r>
        <w:rPr>
          <w:b/>
        </w:rPr>
        <w:t xml:space="preserve">5. Coordenação de Ecossistema</w:t>
      </w:r>
    </w:p>
    <w:p>
      <w:r>
        <w:t xml:space="preserve">A sra. Camila Rioja Arantes, representante do Plexos Institute, apresentou os resultados da pesquisa "Estratégia do Ecossistema RBB 2026", que colheu respostas de dez representantes de oito instituições partícipes.</w:t>
      </w:r>
    </w:p>
    <w:p>
      <w:r>
        <w:t xml:space="preserve">A pesquisa indicou que o objetivo comum prioritário é colocar a rede em produção com casos de uso reais e concretos, além de aumentar a visibilidade e o crescimento institucional da RBB. A análise SWOT elaborada a partir das respostas destacou como forças o apoio institucional robusto e a base técnica consolidada; como fraquezas, a ausência de aplicações em produção e a baixa visibilidade pública; como oportunidades, a conexão com projetos como o Drex e o ecossistema de identidade digital; e como ameaças, os riscos regulatórios e a dificuldade de inovação.</w:t>
      </w:r>
    </w:p>
    <w:p>
      <w:r>
        <w:t xml:space="preserve">A partir desse diagnóstico, a sra. Camila propôs uma "Estrela Guia" para os próximos 3 a 6 meses: consolidar uma RBB publicamente visível, ancorada em casos de uso reais e sustentada por um modelo econômico (gasonomics/tokenomics) claro. Foram sugeridos quatro pilares de ação: 1) Presença institucional (comunicações estruturadas no LinkedIn e site); 2) Governança e modelo econômico; 3) Casos de uso em produção; e 4) Ativação da coalizão (grupos de trabalho). Ela também apresentou uma proposta de cadência editorial e manual de marca (Anti-hype) para as redes sociais.</w:t>
      </w:r>
    </w:p>
    <w:p>
      <w:r>
        <w:t xml:space="preserve">O sr. João Alexandre elogiou o material e sugeriu focar inicialmente na definição e viabilização técnica dos casos de uso, deixando as discussões mais complexas sobre</w:t>
      </w:r>
      <w:r>
        <w:t xml:space="preserve"> </w:t>
      </w:r>
      <w:r>
        <w:rPr>
          <w:i/>
        </w:rPr>
        <w:t xml:space="preserve">gasonomics</w:t>
      </w:r>
      <w:r>
        <w:t xml:space="preserve"> </w:t>
      </w:r>
      <w:r>
        <w:t xml:space="preserve">para um segundo momento, após a fixação de premissas básicas. O sr. Eldon concordou com a abordagem, apoiando a criação de grupos de trabalho para avançar nos temas propostos. A sra. Camila informou que enviará o material por e-mail para aprovação assíncrona da "Estrela Guia" e do plano de comunicação.</w:t>
      </w:r>
    </w:p>
    <w:p>
      <w:r>
        <w:rPr>
          <w:b/>
        </w:rPr>
        <w:t xml:space="preserve">6. Membros Presentes</w:t>
      </w:r>
    </w:p>
    <w:p>
      <w:r>
        <w:rPr>
          <w:b/>
        </w:rPr>
        <w:t xml:space="preserve">Com direito a voto</w:t>
      </w:r>
    </w:p>
    <w:p>
      <w:r>
        <w:t xml:space="preserve">BNDES - Gladstone Moises Arantes Junior - João Alexandre dos Santos Lopes</w:t>
      </w:r>
    </w:p>
    <w:p>
      <w:r>
        <w:t xml:space="preserve">CPQD - Andreza Ferraresso Lona Faro</w:t>
      </w:r>
    </w:p>
    <w:p>
      <w:r>
        <w:t xml:space="preserve">Dataprev - Luiz Guilherme Guercio Benini</w:t>
      </w:r>
    </w:p>
    <w:p>
      <w:r>
        <w:t xml:space="preserve">Plexos Institute - Camila Rioja Arantes</w:t>
      </w:r>
    </w:p>
    <w:p>
      <w:r>
        <w:t xml:space="preserve">Serpro - Guilherme Funchal da Silva - Marco Túlio da Silva Lima</w:t>
      </w:r>
    </w:p>
    <w:p>
      <w:r>
        <w:t xml:space="preserve">TCU - Eldon Teixeira Coutinho</w:t>
      </w:r>
    </w:p>
    <w:p>
      <w:r>
        <w:rPr>
          <w:b/>
        </w:rPr>
        <w:t xml:space="preserve">Sem direito a voto</w:t>
      </w:r>
    </w:p>
    <w:p>
      <w:r>
        <w:t xml:space="preserve">Município de Araguaína - Sérgio Maia Rabelo</w:t>
      </w:r>
    </w:p>
    <w:p>
      <w:r>
        <w:t xml:space="preserve">TCE-SP - José Ricardo Figueiredo Vaz - Rodrigo Mendes Rosa</w:t>
      </w:r>
    </w:p>
    <w:p>
      <w:r>
        <w:rPr>
          <w:b/>
        </w:rPr>
        <w:t xml:space="preserve">Convidados</w:t>
      </w:r>
    </w:p>
    <w:p>
      <w:r>
        <w:t xml:space="preserve">ACIEG - Renan Santana</w:t>
      </w:r>
    </w:p>
    <w:p>
      <w:r>
        <w:t xml:space="preserve">PUC-Rio - Paulo Henrique Alves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663c9ee5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587dc98f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