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Cambria" w:cs="Cambria" w:eastAsia="Cambria" w:hAnsi="Cambria"/>
          <w:b/>
          <w:bCs/>
          <w:color w:val="1F3A5F"/>
          <w:spacing w:val="40"/>
          <w:sz w:val="36"/>
          <w:szCs w:val="36"/>
        </w:rPr>
        <w:t xml:space="preserve">PARECER TÉCNICO PSICOLÓGICO</w:t>
      </w:r>
    </w:p>
    <w:p>
      <w:pPr>
        <w:spacing w:after="80"/>
        <w:jc w:val="center"/>
      </w:pPr>
      <w:r>
        <w:rPr>
          <w:rFonts w:ascii="Cambria" w:cs="Cambria" w:eastAsia="Cambria" w:hAnsi="Cambria"/>
          <w:color w:val="A66F3E"/>
          <w:spacing w:val="30"/>
          <w:sz w:val="22"/>
          <w:szCs w:val="22"/>
        </w:rPr>
        <w:t xml:space="preserve">MODELO DE ESTRUTURA PARA ASSISTENTE TÉCNICO</w:t>
      </w:r>
    </w:p>
    <w:p>
      <w:pPr>
        <w:spacing w:after="400"/>
        <w:jc w:val="center"/>
      </w:pPr>
      <w:r>
        <w:rPr>
          <w:rFonts w:ascii="Cambria" w:cs="Cambria" w:eastAsia="Cambria" w:hAnsi="Cambria"/>
          <w:color w:val="69594D"/>
          <w:sz w:val="18"/>
          <w:szCs w:val="18"/>
        </w:rPr>
        <w:t xml:space="preserve">Resolução CFP nº 06/2019 (arts. 10 e 12) · Resolução CFP nº 08/2010 · CPC, arts. 465 a 480 · CPP, art. 159</w:t>
      </w:r>
    </w:p>
    <w:p>
      <w:pPr>
        <w:pBdr>
          <w:left w:val="single" w:color="A66F3E" w:sz="12" w:space="8"/>
        </w:pBdr>
        <w:shd w:fill="F3EEE7" w:color="auto" w:val="clear"/>
        <w:spacing w:after="140" w:line="280"/>
        <w:ind w:left="200"/>
      </w:pPr>
      <w:r>
        <w:rPr>
          <w:rFonts w:ascii="Cambria" w:cs="Cambria" w:eastAsia="Cambria" w:hAnsi="Cambria"/>
          <w:b/>
          <w:bCs/>
          <w:color w:val="A66F3E"/>
          <w:sz w:val="20"/>
          <w:szCs w:val="20"/>
        </w:rPr>
        <w:t xml:space="preserve">Orientação: </w:t>
      </w:r>
      <w:r>
        <w:rPr>
          <w:rFonts w:ascii="Cambria" w:cs="Cambria" w:eastAsia="Cambria" w:hAnsi="Cambria"/>
          <w:i/>
          <w:iCs/>
          <w:color w:val="69594D"/>
          <w:sz w:val="20"/>
          <w:szCs w:val="20"/>
        </w:rPr>
        <w:t xml:space="preserve">Este modelo é um esqueleto de estrutura, não um texto pronto. Os campos destacados em amarelo devem ser substituídos pelos dados do caso; as caixas "Orientação" devem ser apagadas na versão final. O parecer é documento do assistente técnico (Res. CFP 06/2019, art. 10): responde a uma questão específica com análise fundamentada sobre laudo, gravações e autos — o assistente técnico não avalia nenhum envolvido (Res. CFP 08/2010, art. 2º).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1. Identificação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60"/>
      </w:tblGrid>
      <w:tr>
        <w:trPr>
          <w:tblHeader/>
        </w:trPr>
        <w:tc>
          <w:tcPr>
            <w:tcW w:type="dxa" w:w="3200"/>
            <w:shd w:fill="EADFD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3B3028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shd w:fill="EADFD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3B3028"/>
                <w:sz w:val="20"/>
                <w:szCs w:val="20"/>
              </w:rPr>
              <w:t xml:space="preserve">Preenchimento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>Processo nº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>Juízo / Vara / Comarca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>Natureza da ação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>Parte assistida (e polo)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>Advogado(a) solicitante (OAB)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>Documento analisado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>Laudo psicológico / estudo psicossocial / gravação de depoimento especial — fls. ___, autor(a) e função (perito nomeado, equipe técnica, outro)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>Data do parecer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>Assistente técnico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>Nome · Psicólogo(a) · CRP __/______</w:t>
            </w:r>
          </w:p>
        </w:tc>
      </w:tr>
    </w:tbl>
    <w:p>
      <w:pPr>
        <w:pBdr>
          <w:left w:val="single" w:color="A66F3E" w:sz="12" w:space="8"/>
        </w:pBdr>
        <w:shd w:fill="F3EEE7" w:color="auto" w:val="clear"/>
        <w:spacing w:after="140" w:line="280"/>
        <w:ind w:left="200"/>
      </w:pPr>
      <w:r>
        <w:rPr>
          <w:rFonts w:ascii="Cambria" w:cs="Cambria" w:eastAsia="Cambria" w:hAnsi="Cambria"/>
          <w:b/>
          <w:bCs/>
          <w:color w:val="A66F3E"/>
          <w:sz w:val="20"/>
          <w:szCs w:val="20"/>
        </w:rPr>
        <w:t xml:space="preserve">Orientação: </w:t>
      </w:r>
      <w:r>
        <w:rPr>
          <w:rFonts w:ascii="Cambria" w:cs="Cambria" w:eastAsia="Cambria" w:hAnsi="Cambria"/>
          <w:i/>
          <w:iCs/>
          <w:color w:val="69594D"/>
          <w:sz w:val="20"/>
          <w:szCs w:val="20"/>
        </w:rPr>
        <w:t xml:space="preserve">Identifique o documento analisado pelas folhas dos autos, pelo nome de quem assina e pela função que exerceu (perito nomeado — CPC, art. 156; equipe técnica do juízo — ECA, art. 151; terapeuta — Res. CFP 08/2010, art. 10). A função de quem assina é, por si, um dos pontos de análise.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2. Questão submetida ao parecer</w:t>
      </w:r>
    </w:p>
    <w:p>
      <w:pPr>
        <w:spacing w:after="120" w:line="300"/>
        <w:jc w:val="both"/>
      </w:pP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[Descrever a pergunta específica: p. ex., "verificar se o laudo de fls. ___ cumpre os requisitos de método da Res. CFP 06/2019 e do CPC, art. 473, e se suas conclusões decorrem dos dados apresentados".]</w:t>
      </w:r>
    </w:p>
    <w:p>
      <w:pPr>
        <w:pBdr>
          <w:left w:val="single" w:color="A66F3E" w:sz="12" w:space="8"/>
        </w:pBdr>
        <w:shd w:fill="F3EEE7" w:color="auto" w:val="clear"/>
        <w:spacing w:after="140" w:line="280"/>
        <w:ind w:left="200"/>
      </w:pPr>
      <w:r>
        <w:rPr>
          <w:rFonts w:ascii="Cambria" w:cs="Cambria" w:eastAsia="Cambria" w:hAnsi="Cambria"/>
          <w:b/>
          <w:bCs/>
          <w:color w:val="A66F3E"/>
          <w:sz w:val="20"/>
          <w:szCs w:val="20"/>
        </w:rPr>
        <w:t xml:space="preserve">Orientação: </w:t>
      </w:r>
      <w:r>
        <w:rPr>
          <w:rFonts w:ascii="Cambria" w:cs="Cambria" w:eastAsia="Cambria" w:hAnsi="Cambria"/>
          <w:i/>
          <w:iCs/>
          <w:color w:val="69594D"/>
          <w:sz w:val="20"/>
          <w:szCs w:val="20"/>
        </w:rPr>
        <w:t xml:space="preserve">Uma questão por parecer. Parecer que "opina sobre tudo" perde força; parecer que responde a uma pergunta delimitada é o que o juiz usa na valoração (CPC, art. 479).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3. Material analisado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Laudo / relatório / estudo de fls. </w:t>
      </w: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___</w:t>
      </w:r>
      <w:r>
        <w:rPr>
          <w:rFonts w:ascii="Cambria" w:cs="Cambria" w:eastAsia="Cambria" w:hAnsi="Cambria"/>
          <w:color w:val="3B3028"/>
          <w:sz w:val="22"/>
          <w:szCs w:val="22"/>
        </w:rPr>
        <w:t xml:space="preserve">, com anexos (</w:t>
      </w: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listar</w:t>
      </w:r>
      <w:r>
        <w:rPr>
          <w:rFonts w:ascii="Cambria" w:cs="Cambria" w:eastAsia="Cambria" w:hAnsi="Cambria"/>
          <w:color w:val="3B3028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Gravação(ões) de </w:t>
      </w: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ato, data, duração hh:mm:ss</w:t>
      </w:r>
      <w:r>
        <w:rPr>
          <w:rFonts w:ascii="Cambria" w:cs="Cambria" w:eastAsia="Cambria" w:hAnsi="Cambria"/>
          <w:color w:val="3B3028"/>
          <w:sz w:val="22"/>
          <w:szCs w:val="22"/>
        </w:rPr>
        <w:t xml:space="preserve"> — mídia de fls. </w:t>
      </w: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___</w:t>
      </w:r>
      <w:r>
        <w:rPr>
          <w:rFonts w:ascii="Cambria" w:cs="Cambria" w:eastAsia="Cambria" w:hAnsi="Cambria"/>
          <w:color w:val="3B302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Peças e documentos dos autos: </w:t>
      </w: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inicial, contestação, decisões, registros escolares e de saúde, boletins etc., com folhas</w:t>
      </w:r>
      <w:r>
        <w:rPr>
          <w:rFonts w:ascii="Cambria" w:cs="Cambria" w:eastAsia="Cambria" w:hAnsi="Cambria"/>
          <w:color w:val="3B302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Material não disponibilizado: </w:t>
      </w: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protocolos de testes, registros de entrevista, parte da gravação</w:t>
      </w:r>
      <w:r>
        <w:rPr>
          <w:rFonts w:ascii="Cambria" w:cs="Cambria" w:eastAsia="Cambria" w:hAnsi="Cambria"/>
          <w:color w:val="3B3028"/>
          <w:sz w:val="22"/>
          <w:szCs w:val="22"/>
        </w:rPr>
        <w:t xml:space="preserve"> — requerido em </w:t>
      </w: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data/fls.</w:t>
      </w:r>
      <w:r>
        <w:rPr>
          <w:rFonts w:ascii="Cambria" w:cs="Cambria" w:eastAsia="Cambria" w:hAnsi="Cambria"/>
          <w:color w:val="3B3028"/>
          <w:sz w:val="22"/>
          <w:szCs w:val="22"/>
        </w:rPr>
        <w:t xml:space="preserve"> com base no CPC, art. 466, § 2º.</w:t>
      </w:r>
    </w:p>
    <w:p>
      <w:pPr>
        <w:pBdr>
          <w:left w:val="single" w:color="A66F3E" w:sz="12" w:space="8"/>
        </w:pBdr>
        <w:shd w:fill="F3EEE7" w:color="auto" w:val="clear"/>
        <w:spacing w:after="140" w:line="280"/>
        <w:ind w:left="200"/>
      </w:pPr>
      <w:r>
        <w:rPr>
          <w:rFonts w:ascii="Cambria" w:cs="Cambria" w:eastAsia="Cambria" w:hAnsi="Cambria"/>
          <w:b/>
          <w:bCs/>
          <w:color w:val="A66F3E"/>
          <w:sz w:val="20"/>
          <w:szCs w:val="20"/>
        </w:rPr>
        <w:t xml:space="preserve">Orientação: </w:t>
      </w:r>
      <w:r>
        <w:rPr>
          <w:rFonts w:ascii="Cambria" w:cs="Cambria" w:eastAsia="Cambria" w:hAnsi="Cambria"/>
          <w:i/>
          <w:iCs/>
          <w:color w:val="69594D"/>
          <w:sz w:val="20"/>
          <w:szCs w:val="20"/>
        </w:rPr>
        <w:t xml:space="preserve">Declare o que não foi disponibilizado. A negativa de acesso ao material bruto é, ela mesma, um achado — e um limite do parecer.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4. Método da análise</w:t>
      </w:r>
    </w:p>
    <w:p>
      <w:pPr>
        <w:spacing w:after="120" w:line="300"/>
        <w:jc w:val="both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A análise foi conduzida por verificação documental, sem avaliação de qualquer envolvido (Res. CFP 08/2010, arts. 2º e 10), confrontando o documento analisado com os seguintes critérios: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Estrutura e fundamentação obrigatórias do laudo — Res. CFP 06/2019, arts. 9º e 12 (demanda, procedimento, análise, conclusão dentro dos dados e da competência).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Conteúdo exigido pelo CPC, art. 473 (exposição do objeto, análise técnica, método, resposta aos quesitos; vedação à opinião sobre o direito — § 2º).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Instrumentos: parecer favorável vigente no SATEPSI na data da aplicação e adequação da norma à população (Res. CFP 09/2018).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Simetria do procedimento entre as partes; fontes consultadas; escuta da criança e observância da Lei 13.431/2017 (art. 11, § 2º — não repetição).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Em alienação parental:</w:t>
      </w:r>
      <w:r>
        <w:rPr>
          <w:rFonts w:ascii="Cambria" w:cs="Cambria" w:eastAsia="Cambria" w:hAnsi="Cambria"/>
          <w:color w:val="3B3028"/>
          <w:sz w:val="22"/>
          <w:szCs w:val="22"/>
        </w:rPr>
        <w:t xml:space="preserve"> itens do art. 5º, § 1º, da Lei 12.318/2010 e hipóteses alternativas.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Em gravação de depoimento especial:</w:t>
      </w:r>
      <w:r>
        <w:rPr>
          <w:rFonts w:ascii="Cambria" w:cs="Cambria" w:eastAsia="Cambria" w:hAnsi="Cambria"/>
          <w:color w:val="3B3028"/>
          <w:sz w:val="22"/>
          <w:szCs w:val="22"/>
        </w:rPr>
        <w:t xml:space="preserve"> rito (Res. CNJ 299/2019), categorização das perguntas, origem dos elementos, cadeia de revelação — com minutagem.</w:t>
      </w:r>
    </w:p>
    <w:p>
      <w:pPr>
        <w:pBdr>
          <w:left w:val="single" w:color="A66F3E" w:sz="12" w:space="8"/>
        </w:pBdr>
        <w:shd w:fill="F3EEE7" w:color="auto" w:val="clear"/>
        <w:spacing w:after="140" w:line="280"/>
        <w:ind w:left="200"/>
      </w:pPr>
      <w:r>
        <w:rPr>
          <w:rFonts w:ascii="Cambria" w:cs="Cambria" w:eastAsia="Cambria" w:hAnsi="Cambria"/>
          <w:b/>
          <w:bCs/>
          <w:color w:val="A66F3E"/>
          <w:sz w:val="20"/>
          <w:szCs w:val="20"/>
        </w:rPr>
        <w:t xml:space="preserve">Orientação: </w:t>
      </w:r>
      <w:r>
        <w:rPr>
          <w:rFonts w:ascii="Cambria" w:cs="Cambria" w:eastAsia="Cambria" w:hAnsi="Cambria"/>
          <w:i/>
          <w:iCs/>
          <w:color w:val="69594D"/>
          <w:sz w:val="20"/>
          <w:szCs w:val="20"/>
        </w:rPr>
        <w:t xml:space="preserve">Liste só os critérios que de fato aplicou. O método do parecer é tão verificável quanto o do laudo que ele analisa.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5. Análise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F3A5F"/>
          <w:sz w:val="24"/>
          <w:szCs w:val="24"/>
        </w:rPr>
        <w:t xml:space="preserve">5.1 Quadro-síntese dos achados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1900"/>
        <w:gridCol w:w="1460"/>
      </w:tblGrid>
      <w:tr>
        <w:trPr>
          <w:tblHeader/>
        </w:trPr>
        <w:tc>
          <w:tcPr>
            <w:tcW w:type="dxa" w:w="1200"/>
            <w:shd w:fill="EADFD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3B3028"/>
                <w:sz w:val="20"/>
                <w:szCs w:val="20"/>
              </w:rPr>
              <w:t xml:space="preserve">Fls. / tempo</w:t>
            </w:r>
          </w:p>
        </w:tc>
        <w:tc>
          <w:tcPr>
            <w:tcW w:type="dxa" w:w="2500"/>
            <w:shd w:fill="EADFD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3B3028"/>
                <w:sz w:val="20"/>
                <w:szCs w:val="20"/>
              </w:rPr>
              <w:t xml:space="preserve">Trecho do documento</w:t>
            </w:r>
          </w:p>
        </w:tc>
        <w:tc>
          <w:tcPr>
            <w:tcW w:type="dxa" w:w="2000"/>
            <w:shd w:fill="EADFD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3B3028"/>
                <w:sz w:val="20"/>
                <w:szCs w:val="20"/>
              </w:rPr>
              <w:t xml:space="preserve">Critério violado (norma)</w:t>
            </w:r>
          </w:p>
        </w:tc>
        <w:tc>
          <w:tcPr>
            <w:tcW w:type="dxa" w:w="1900"/>
            <w:shd w:fill="EADFD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3B3028"/>
                <w:sz w:val="20"/>
                <w:szCs w:val="20"/>
              </w:rPr>
              <w:t xml:space="preserve">Conclusão do laudo que depende do ponto</w:t>
            </w:r>
          </w:p>
        </w:tc>
        <w:tc>
          <w:tcPr>
            <w:tcW w:type="dxa" w:w="1460"/>
            <w:shd w:fill="EADFD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3B3028"/>
                <w:sz w:val="20"/>
                <w:szCs w:val="20"/>
              </w:rPr>
              <w:t xml:space="preserve">Pedido cabível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default"/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default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default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default"/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B3028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A66F3E" w:sz="12" w:space="8"/>
        </w:pBdr>
        <w:shd w:fill="F3EEE7" w:color="auto" w:val="clear"/>
        <w:spacing w:after="140" w:line="280"/>
        <w:ind w:left="200"/>
      </w:pPr>
      <w:r>
        <w:rPr>
          <w:rFonts w:ascii="Cambria" w:cs="Cambria" w:eastAsia="Cambria" w:hAnsi="Cambria"/>
          <w:b/>
          <w:bCs/>
          <w:color w:val="A66F3E"/>
          <w:sz w:val="20"/>
          <w:szCs w:val="20"/>
        </w:rPr>
        <w:t xml:space="preserve">Orientação: </w:t>
      </w:r>
      <w:r>
        <w:rPr>
          <w:rFonts w:ascii="Cambria" w:cs="Cambria" w:eastAsia="Cambria" w:hAnsi="Cambria"/>
          <w:i/>
          <w:iCs/>
          <w:color w:val="69594D"/>
          <w:sz w:val="20"/>
          <w:szCs w:val="20"/>
        </w:rPr>
        <w:t xml:space="preserve">Uma linha por achado, sempre com folha (ou tempo da gravação) e dispositivo. Ligue cada vício à conclusão que dele depende: vício sem consequência não move o juiz. Prefira citar literalmente a parafrasear.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F3A5F"/>
          <w:sz w:val="24"/>
          <w:szCs w:val="24"/>
        </w:rPr>
        <w:t xml:space="preserve">5.2 Desenvolvimento por eixo</w:t>
      </w:r>
    </w:p>
    <w:p>
      <w:pPr>
        <w:spacing w:after="120" w:line="300"/>
        <w:jc w:val="both"/>
      </w:pPr>
      <w:r>
        <w:rPr>
          <w:rFonts w:ascii="Cambria" w:cs="Cambria" w:eastAsia="Cambria" w:hAnsi="Cambria"/>
          <w:b/>
          <w:bCs/>
          <w:color w:val="3B3028"/>
          <w:sz w:val="22"/>
          <w:szCs w:val="22"/>
        </w:rPr>
        <w:t xml:space="preserve">a) Objeto e demanda. </w:t>
      </w: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[O laudo responde ao que o juízo perguntou? Extrapola (mérito, qualificação jurídica — "configura alienação", "recomenda-se a guarda")?]</w:t>
      </w:r>
    </w:p>
    <w:p>
      <w:pPr>
        <w:spacing w:after="120" w:line="300"/>
        <w:jc w:val="both"/>
      </w:pPr>
      <w:r>
        <w:rPr>
          <w:rFonts w:ascii="Cambria" w:cs="Cambria" w:eastAsia="Cambria" w:hAnsi="Cambria"/>
          <w:b/>
          <w:bCs/>
          <w:color w:val="3B3028"/>
          <w:sz w:val="22"/>
          <w:szCs w:val="22"/>
        </w:rPr>
        <w:t xml:space="preserve">b) Procedimento e fontes. </w:t>
      </w: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[Quem foi ouvido, quantas vezes, onde; visitas; fontes colaterais (escola, saúde, familiares de ambos os lados); simetria.]</w:t>
      </w:r>
    </w:p>
    <w:p>
      <w:pPr>
        <w:spacing w:after="120" w:line="300"/>
        <w:jc w:val="both"/>
      </w:pPr>
      <w:r>
        <w:rPr>
          <w:rFonts w:ascii="Cambria" w:cs="Cambria" w:eastAsia="Cambria" w:hAnsi="Cambria"/>
          <w:b/>
          <w:bCs/>
          <w:color w:val="3B3028"/>
          <w:sz w:val="22"/>
          <w:szCs w:val="22"/>
        </w:rPr>
        <w:t xml:space="preserve">c) Instrumentos e validade. </w:t>
      </w: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[Testes usados, situação no SATEPSI na data, norma, aplicação; avaliação de minimização/exagero quando há ganho.]</w:t>
      </w:r>
    </w:p>
    <w:p>
      <w:pPr>
        <w:spacing w:after="120" w:line="300"/>
        <w:jc w:val="both"/>
      </w:pPr>
      <w:r>
        <w:rPr>
          <w:rFonts w:ascii="Cambria" w:cs="Cambria" w:eastAsia="Cambria" w:hAnsi="Cambria"/>
          <w:b/>
          <w:bCs/>
          <w:color w:val="3B3028"/>
          <w:sz w:val="22"/>
          <w:szCs w:val="22"/>
        </w:rPr>
        <w:t xml:space="preserve">d) Escuta da criança. </w:t>
      </w: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[A sós? Técnica? Fato de violência colhido em depoimento especial ou reinquirido em entrevista?]</w:t>
      </w:r>
    </w:p>
    <w:p>
      <w:pPr>
        <w:spacing w:after="120" w:line="300"/>
        <w:jc w:val="both"/>
      </w:pPr>
      <w:r>
        <w:rPr>
          <w:rFonts w:ascii="Cambria" w:cs="Cambria" w:eastAsia="Cambria" w:hAnsi="Cambria"/>
          <w:b/>
          <w:bCs/>
          <w:color w:val="3B3028"/>
          <w:sz w:val="22"/>
          <w:szCs w:val="22"/>
        </w:rPr>
        <w:t xml:space="preserve">e) Hipóteses alternativas. </w:t>
      </w: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[Quais foram consideradas e com que dados afastadas — Lei 12.318, art. 5º, § 1º, quando aplicável.]</w:t>
      </w:r>
    </w:p>
    <w:p>
      <w:pPr>
        <w:spacing w:after="120" w:line="300"/>
        <w:jc w:val="both"/>
      </w:pPr>
      <w:r>
        <w:rPr>
          <w:rFonts w:ascii="Cambria" w:cs="Cambria" w:eastAsia="Cambria" w:hAnsi="Cambria"/>
          <w:b/>
          <w:bCs/>
          <w:color w:val="3B3028"/>
          <w:sz w:val="22"/>
          <w:szCs w:val="22"/>
        </w:rPr>
        <w:t xml:space="preserve">f) Dados × conclusão. </w:t>
      </w: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[A conclusão é proporcional aos dados descritos? Há conclusão sobre pessoa não avaliada? Diagnóstico médico por psicólogo (Lei 12.842/2013)?]</w:t>
      </w:r>
    </w:p>
    <w:p>
      <w:pPr>
        <w:pBdr>
          <w:left w:val="single" w:color="A66F3E" w:sz="12" w:space="8"/>
        </w:pBdr>
        <w:shd w:fill="F3EEE7" w:color="auto" w:val="clear"/>
        <w:spacing w:after="140" w:line="280"/>
        <w:ind w:left="200"/>
      </w:pPr>
      <w:r>
        <w:rPr>
          <w:rFonts w:ascii="Cambria" w:cs="Cambria" w:eastAsia="Cambria" w:hAnsi="Cambria"/>
          <w:b/>
          <w:bCs/>
          <w:color w:val="A66F3E"/>
          <w:sz w:val="20"/>
          <w:szCs w:val="20"/>
        </w:rPr>
        <w:t xml:space="preserve">Orientação: </w:t>
      </w:r>
      <w:r>
        <w:rPr>
          <w:rFonts w:ascii="Cambria" w:cs="Cambria" w:eastAsia="Cambria" w:hAnsi="Cambria"/>
          <w:i/>
          <w:iCs/>
          <w:color w:val="69594D"/>
          <w:sz w:val="20"/>
          <w:szCs w:val="20"/>
        </w:rPr>
        <w:t xml:space="preserve">Escreva de forma descritiva e verificável. Evite adjetivos ("parcial", "tendencioso"): o que convence é a página, o trecho e a norma.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6. O que o laudo sustenta</w:t>
      </w:r>
    </w:p>
    <w:p>
      <w:pPr>
        <w:spacing w:after="120" w:line="300"/>
        <w:jc w:val="both"/>
      </w:pP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[Indicar expressamente os pontos do laudo que estão corretamente fundamentados. Isso dá credibilidade ao parecer e delimita a impugnação ao que realmente tem vício.]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7. Quesitos de esclarecimento sugeridos (CPC, art. 477, § 2º)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Quesito 1 — fechado, por folha: "À fl. __, o laudo afirma ___. Indique as fontes, datas e procedimentos que fundamentam a afirmação."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Quesito 2 — "Informe os instrumentos aplicados, a data de aplicação e a situação de cada um no SATEPSI nessa data."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Quesito 3 — ...</w:t>
      </w:r>
    </w:p>
    <w:p>
      <w:pPr>
        <w:pBdr>
          <w:left w:val="single" w:color="A66F3E" w:sz="12" w:space="8"/>
        </w:pBdr>
        <w:shd w:fill="F3EEE7" w:color="auto" w:val="clear"/>
        <w:spacing w:after="140" w:line="280"/>
        <w:ind w:left="200"/>
      </w:pPr>
      <w:r>
        <w:rPr>
          <w:rFonts w:ascii="Cambria" w:cs="Cambria" w:eastAsia="Cambria" w:hAnsi="Cambria"/>
          <w:b/>
          <w:bCs/>
          <w:color w:val="A66F3E"/>
          <w:sz w:val="20"/>
          <w:szCs w:val="20"/>
        </w:rPr>
        <w:t xml:space="preserve">Orientação: </w:t>
      </w:r>
      <w:r>
        <w:rPr>
          <w:rFonts w:ascii="Cambria" w:cs="Cambria" w:eastAsia="Cambria" w:hAnsi="Cambria"/>
          <w:i/>
          <w:iCs/>
          <w:color w:val="69594D"/>
          <w:sz w:val="20"/>
          <w:szCs w:val="20"/>
        </w:rPr>
        <w:t xml:space="preserve">Quesitos fechados e específicos; "esclareça o método" recebe "mantenho o laudo". Em regra, 5 a 10.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8. Conclusão</w:t>
      </w:r>
    </w:p>
    <w:p>
      <w:pPr>
        <w:spacing w:after="120" w:line="300"/>
        <w:jc w:val="both"/>
      </w:pP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[Responder à questão do item 2, de forma graduada: quais conclusões do laudo estão sustentadas pelos dados; quais não estão e por quê (com remissão ao quadro-síntese); e o pedido proporcional — complementação (CPC, arts. 475 e 477), desconsideração da parte viciada (art. 479), inquirição do perito com o motivo (art. 477, § 3º) ou nova perícia (art. 480) quando o vício é central.]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9. Limites deste parecer</w:t>
      </w:r>
    </w:p>
    <w:p>
      <w:pPr>
        <w:spacing w:after="120" w:line="300"/>
        <w:jc w:val="both"/>
      </w:pP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[Declarar o que não foi possível verificar e por quê — p. ex., ausência de acesso aos protocolos; gravação parcial; análise restrita a documentos, sem avaliação de pessoas.]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F3A5F"/>
          <w:sz w:val="28"/>
          <w:szCs w:val="28"/>
        </w:rPr>
        <w:t xml:space="preserve">10. Referências normativas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Código de Processo Civil (Lei 13.105/2015), arts. 156, 465 a 480.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Código de Processo Penal, art. 159, §§ 3º a 6º (quando aplicável).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Resolução CFP nº 06/2019 (elaboração de documentos escritos produzidos pela(o) psicóloga(o)).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Resolução CFP nº 08/2010 (atuação do psicólogo como perito e assistente técnico).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Resolução CFP nº 09/2018 (avaliação psicológica e SATEPSI).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Lei 12.318/2010 (alienação parental), art. 5º; Lei 13.431/2017 e Decreto 9.603/2018 (depoimento especial); Res. CNJ 299/2019 — conforme o caso.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mbria" w:cs="Cambria" w:eastAsia="Cambria" w:hAnsi="Cambria"/>
          <w:color w:val="3B3028"/>
          <w:sz w:val="22"/>
          <w:szCs w:val="22"/>
        </w:rPr>
        <w:t xml:space="preserve">Código de Ética Profissional do Psicólogo (Res. CFP nº 10/2005).</w:t>
      </w:r>
    </w:p>
    <w:p>
      <w:pPr>
        <w:spacing w:after="60" w:before="600"/>
        <w:jc w:val="center"/>
      </w:pPr>
      <w:r>
        <w:rPr>
          <w:rFonts w:ascii="Cambria" w:cs="Cambria" w:eastAsia="Cambria" w:hAnsi="Cambria"/>
          <w:color w:val="A66F3E"/>
          <w:sz w:val="22"/>
          <w:szCs w:val="22"/>
          <w:highlight w:val="yellow"/>
          <w:highlightCs w:val="yellow"/>
        </w:rPr>
        <w:t xml:space="preserve">[Cidade], [data].</w:t>
      </w:r>
    </w:p>
    <w:p>
      <w:pPr>
        <w:pBdr>
          <w:top w:val="single" w:color="3B3028" w:sz="6" w:space="4"/>
        </w:pBdr>
        <w:spacing w:after="0" w:before="500"/>
        <w:ind w:left="2400" w:right="2400"/>
        <w:jc w:val="center"/>
      </w:pPr>
      <w:r>
        <w:rPr>
          <w:rFonts w:ascii="Cambria" w:cs="Cambria" w:eastAsia="Cambria" w:hAnsi="Cambria"/>
          <w:b/>
          <w:bCs/>
          <w:color w:val="3B3028"/>
          <w:sz w:val="22"/>
          <w:szCs w:val="22"/>
        </w:rPr>
        <w:t xml:space="preserve">Nome completo</w:t>
      </w:r>
    </w:p>
    <w:p>
      <w:pPr>
        <w:jc w:val="center"/>
      </w:pPr>
      <w:r>
        <w:rPr>
          <w:rFonts w:ascii="Cambria" w:cs="Cambria" w:eastAsia="Cambria" w:hAnsi="Cambria"/>
          <w:color w:val="69594D"/>
          <w:sz w:val="20"/>
          <w:szCs w:val="20"/>
        </w:rPr>
        <w:t xml:space="preserve">Psicólogo(a) · CRP __/______</w:t>
      </w:r>
    </w:p>
    <w:p>
      <w:pPr>
        <w:pBdr>
          <w:left w:val="single" w:color="A66F3E" w:sz="12" w:space="8"/>
        </w:pBdr>
        <w:shd w:fill="F3EEE7" w:color="auto" w:val="clear"/>
        <w:spacing w:after="140" w:line="280"/>
        <w:ind w:left="200"/>
      </w:pPr>
      <w:r>
        <w:rPr>
          <w:rFonts w:ascii="Cambria" w:cs="Cambria" w:eastAsia="Cambria" w:hAnsi="Cambria"/>
          <w:b/>
          <w:bCs/>
          <w:color w:val="A66F3E"/>
          <w:sz w:val="20"/>
          <w:szCs w:val="20"/>
        </w:rPr>
        <w:t xml:space="preserve">Orientação: </w:t>
      </w:r>
      <w:r>
        <w:rPr>
          <w:rFonts w:ascii="Cambria" w:cs="Cambria" w:eastAsia="Cambria" w:hAnsi="Cambria"/>
          <w:i/>
          <w:iCs/>
          <w:color w:val="69594D"/>
          <w:sz w:val="20"/>
          <w:szCs w:val="20"/>
        </w:rPr>
        <w:t xml:space="preserve">Assinatura: só "Psicólogo(a)" e CRP — sem títulos que a Resolução não reconheça. Documentos devem ser guardados por 5 anos (Res. CFP 06/2019, art. 15). Forneça ao processo apenas o necessário (Código de Ética, art. 13).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69594D"/>
        <w:sz w:val="16"/>
        <w:szCs w:val="16"/>
      </w:rPr>
      <w:t xml:space="preserve">Modelo cedido por Robison Souza · Perito em Psicologia Forense · peritoempsicologiaforense.com.br · Página </w:t>
    </w:r>
    <w:r>
      <w:rPr>
        <w:rFonts w:ascii="Cambria" w:cs="Cambria" w:eastAsia="Cambria" w:hAnsi="Cambria"/>
        <w:color w:val="69594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mbria" w:cs="Cambria" w:eastAsia="Cambria" w:hAnsi="Cambria"/>
        <w:color w:val="69594D"/>
        <w:spacing w:val="20"/>
        <w:sz w:val="16"/>
        <w:szCs w:val="16"/>
      </w:rPr>
      <w:t xml:space="preserve">PARECER TÉCNICO PSICOLÓGICO — MODELO DE ESTRUTURA (Res. CFP nº 06/2019)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2026-10-08T22:01:35.421Z</dcterms:created>
  <dcterms:modified xsi:type="dcterms:W3CDTF">2026-10-08T22:01:35.421Z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