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Zgodnie z EN 45014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model modułu wyjść/wejść cyfrowych na szynę DIN</w:t>
      </w:r>
      <w:r w:rsidDel="00000000" w:rsidR="00000000" w:rsidRPr="00000000">
        <w:rPr>
          <w:u w:val="single"/>
          <w:rtl w:val="0"/>
        </w:rPr>
        <w:t xml:space="preserve"> marki Crestron: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DIN-8SW8-I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2006/95/EC   Dyrektywa niskonapięciowa LVD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2004/108/EC Dyrektywa kompatybilności elektromagnetycznej EMC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Wzmiankowany model został zaprojektowany i wyprodukowany w oparciu o poniższe specyfikacje: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EN60669-2-1:2004 użyty razem z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EN60669-1:1999 + A1:2002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EN61000-3-2:2006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EN61000-3-3:2008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Oświadczam, iż wzmiankowany sprzęt został zaprojektowany w taki sposób, by spełniał warunki wymienionych specyfikacji. Ponadto realizuje on wymogi Dyrektyw oraz oznaczenia 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