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Zgodnie z EN 45014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rozdzielacz magistrali Cresnet na szynę DIN</w:t>
      </w:r>
      <w:r w:rsidDel="00000000" w:rsidR="00000000" w:rsidRPr="00000000">
        <w:rPr>
          <w:u w:val="single"/>
          <w:rtl w:val="0"/>
        </w:rPr>
        <w:t xml:space="preserve">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DIN-HUB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2006/95/EC   Dyrektywa niskonapięciowa LVD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89/336/EEC   Dyrektywa kompatybilności elektromagnetycznej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Wzmiankowany model został zaprojektowany i wyprodukowany w oparciu o poniższe specyfikacje: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SAFETY: EN60950-1:2006+A11: 2009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EMC: EN55022:2006+A1:2007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    EN55024:1998+A1:2001+A2:2003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EN61000-3-2:2006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EN61000-3-3:2008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Oświadczam, iż wzmiankowany sprzęt został zaprojektowany w taki sposób, by spełniał warunki wymienionych specyfikacji. Ponadto realizuje on wymogi Dyrektyw oraz oznaczenia 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