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8AB" w:rsidRPr="00FD58AB" w:rsidRDefault="00FD58AB" w:rsidP="00FD58AB">
      <w:pPr>
        <w:pStyle w:val="Nagwek1"/>
        <w:jc w:val="center"/>
        <w:rPr>
          <w:rFonts w:eastAsia="Times New Roman"/>
          <w:u w:val="single"/>
          <w:lang w:eastAsia="pl-PL"/>
        </w:rPr>
      </w:pPr>
      <w:r w:rsidRPr="00FD58AB">
        <w:rPr>
          <w:rFonts w:eastAsia="Times New Roman"/>
          <w:u w:val="single"/>
          <w:lang w:eastAsia="pl-PL"/>
        </w:rPr>
        <w:t>P60DT</w:t>
      </w:r>
    </w:p>
    <w:p w:rsidR="00FD58AB" w:rsidRPr="00FD58AB" w:rsidRDefault="00FD58AB" w:rsidP="00FD58AB">
      <w:pPr>
        <w:pStyle w:val="Nagwek1"/>
        <w:jc w:val="center"/>
        <w:rPr>
          <w:rFonts w:eastAsia="Times New Roman"/>
          <w:color w:val="464646"/>
          <w:u w:val="single"/>
          <w:lang w:eastAsia="pl-PL"/>
        </w:rPr>
      </w:pPr>
      <w:r w:rsidRPr="00FD58AB">
        <w:rPr>
          <w:rFonts w:eastAsia="Times New Roman"/>
          <w:color w:val="464646"/>
          <w:u w:val="single"/>
          <w:lang w:eastAsia="pl-PL"/>
        </w:rPr>
        <w:t>6,5 "dwudrożny, wiszący głośnik</w:t>
      </w:r>
    </w:p>
    <w:p w:rsidR="00FD58AB" w:rsidRDefault="00FD58AB" w:rsidP="00FD58AB">
      <w:pPr>
        <w:spacing w:after="0" w:line="240" w:lineRule="auto"/>
        <w:rPr>
          <w:rFonts w:ascii="Times" w:eastAsia="Times New Roman" w:hAnsi="Times" w:cs="Times"/>
          <w:color w:val="00A9D7"/>
          <w:sz w:val="27"/>
          <w:szCs w:val="27"/>
          <w:lang w:eastAsia="pl-PL"/>
        </w:rPr>
      </w:pPr>
    </w:p>
    <w:p w:rsidR="00FD58AB" w:rsidRPr="00FD58AB" w:rsidRDefault="00FD58AB" w:rsidP="00FD58AB">
      <w:pPr>
        <w:spacing w:after="0" w:line="240" w:lineRule="auto"/>
        <w:rPr>
          <w:rFonts w:ascii="Times" w:eastAsia="Times New Roman" w:hAnsi="Times" w:cs="Times"/>
          <w:color w:val="00A9D7"/>
          <w:sz w:val="27"/>
          <w:szCs w:val="27"/>
          <w:lang w:eastAsia="pl-PL"/>
        </w:rPr>
      </w:pPr>
      <w:r w:rsidRPr="00FD58AB">
        <w:rPr>
          <w:rFonts w:ascii="Times" w:eastAsia="Times New Roman" w:hAnsi="Times" w:cs="Times"/>
          <w:color w:val="00A9D7"/>
          <w:sz w:val="27"/>
          <w:szCs w:val="27"/>
          <w:lang w:eastAsia="pl-PL"/>
        </w:rPr>
        <w:t>SPECYFIKACJA TECHNICZNA</w:t>
      </w:r>
    </w:p>
    <w:p w:rsidR="00FD58AB" w:rsidRDefault="00FD58AB" w:rsidP="00FD58AB">
      <w:pPr>
        <w:spacing w:after="0" w:line="240" w:lineRule="auto"/>
        <w:rPr>
          <w:rFonts w:ascii="Times" w:eastAsia="Times New Roman" w:hAnsi="Times" w:cs="Times"/>
          <w:b/>
          <w:bCs/>
          <w:color w:val="464646"/>
          <w:sz w:val="17"/>
          <w:szCs w:val="17"/>
          <w:lang w:eastAsia="pl-PL"/>
        </w:rPr>
        <w:sectPr w:rsidR="00FD58A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W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ysokość w mm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 xml:space="preserve">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265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S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ystem głośników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 xml:space="preserve">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2-drożny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M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ateriał stożka głośnika </w:t>
      </w:r>
      <w:proofErr w:type="spellStart"/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niskotonowego</w:t>
      </w:r>
      <w:proofErr w:type="spellEnd"/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 xml:space="preserve">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papier powlekany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System mocowania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 xml:space="preserve">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 xml:space="preserve">zawieszenie z podwójnym drutem </w:t>
      </w:r>
      <w:proofErr w:type="spellStart"/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Gripple</w:t>
      </w:r>
      <w:proofErr w:type="spellEnd"/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 xml:space="preserve">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system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Odczepy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 transformatora 70 V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 w Watach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.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 xml:space="preserve">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60 - 30 - 15 - 7,5 - 3,75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Moc dynamiczna dla niskiej impedancji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 xml:space="preserve"> 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w</w:t>
      </w:r>
      <w:bookmarkStart w:id="0" w:name="_GoBack"/>
      <w:bookmarkEnd w:id="0"/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 watach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: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 xml:space="preserve">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120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SPL 1W / 1m w </w:t>
      </w:r>
      <w:proofErr w:type="spellStart"/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dB</w:t>
      </w:r>
      <w:proofErr w:type="spellEnd"/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91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P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asmo przenoszenia w </w:t>
      </w:r>
      <w:proofErr w:type="spellStart"/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Hz</w:t>
      </w:r>
      <w:proofErr w:type="spellEnd"/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 xml:space="preserve">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 xml:space="preserve">65 - 20 </w:t>
      </w:r>
      <w:proofErr w:type="spellStart"/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tys</w:t>
      </w:r>
      <w:proofErr w:type="spellEnd"/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główny materiał kratki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 xml:space="preserve">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stal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Poziomy kąt rozproszenia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 xml:space="preserve"> 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1000 </w:t>
      </w:r>
      <w:proofErr w:type="spellStart"/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Hz</w:t>
      </w:r>
      <w:proofErr w:type="spellEnd"/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180 °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Produkt netto waga (kg)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3,85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szerokość w mm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276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rozmiar głośnika </w:t>
      </w:r>
      <w:proofErr w:type="spellStart"/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niskotonowego</w:t>
      </w:r>
      <w:proofErr w:type="spellEnd"/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 w calach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6.5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rozmiar głośnika wysokotonowego w calach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1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Odczepy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 transformatora 100 </w:t>
      </w:r>
      <w:proofErr w:type="spellStart"/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V.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w</w:t>
      </w:r>
      <w:proofErr w:type="spellEnd"/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 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wat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ach: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60–30–15–7,5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impedancja (omy)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16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M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oc RMS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 dla niskiej impedancji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 w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 xml:space="preserve"> 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wat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ach: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60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max SPL 1m w </w:t>
      </w:r>
      <w:proofErr w:type="spellStart"/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dB</w:t>
      </w:r>
      <w:proofErr w:type="spellEnd"/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10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główny materiał budowlany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Tworzywo ABS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464646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Klasa IP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do użytku wewnątrz</w:t>
      </w: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sectPr w:rsidR="00FD58AB" w:rsidRPr="00FD58AB" w:rsidSect="00FD58AB">
          <w:type w:val="continuous"/>
          <w:pgSz w:w="11906" w:h="16838"/>
          <w:pgMar w:top="1417" w:right="991" w:bottom="1417" w:left="1417" w:header="708" w:footer="708" w:gutter="0"/>
          <w:cols w:num="2" w:space="282"/>
          <w:docGrid w:linePitch="360"/>
        </w:sectPr>
      </w:pPr>
    </w:p>
    <w:p w:rsidR="00FD58AB" w:rsidRPr="00FD58AB" w:rsidRDefault="00FD58AB" w:rsidP="00FD58AB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eastAsia="pl-PL"/>
        </w:rPr>
      </w:pP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>Kąt dyspersji pionowej 1000Hz</w:t>
      </w:r>
      <w:r w:rsidRPr="00FD58AB">
        <w:rPr>
          <w:rFonts w:eastAsia="Times New Roman" w:cstheme="minorHAnsi"/>
          <w:b/>
          <w:bCs/>
          <w:color w:val="464646"/>
          <w:sz w:val="20"/>
          <w:szCs w:val="20"/>
          <w:lang w:eastAsia="pl-PL"/>
        </w:rPr>
        <w:t xml:space="preserve">: </w:t>
      </w:r>
      <w:r w:rsidRPr="00FD58AB">
        <w:rPr>
          <w:rFonts w:eastAsia="Times New Roman" w:cstheme="minorHAnsi"/>
          <w:color w:val="464646"/>
          <w:sz w:val="20"/>
          <w:szCs w:val="20"/>
          <w:lang w:eastAsia="pl-PL"/>
        </w:rPr>
        <w:t>180 °</w:t>
      </w:r>
    </w:p>
    <w:p w:rsidR="000E057B" w:rsidRPr="00FD58AB" w:rsidRDefault="00FD58AB">
      <w:pPr>
        <w:rPr>
          <w:color w:val="000000" w:themeColor="text1"/>
        </w:rPr>
      </w:pPr>
    </w:p>
    <w:sectPr w:rsidR="000E057B" w:rsidRPr="00FD58AB" w:rsidSect="00FD58A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AB"/>
    <w:rsid w:val="00854713"/>
    <w:rsid w:val="00BE4504"/>
    <w:rsid w:val="00FD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7A65"/>
  <w15:chartTrackingRefBased/>
  <w15:docId w15:val="{D1A8C179-A85B-40B1-B65A-29C244CF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5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5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736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Kaliński</dc:creator>
  <cp:keywords/>
  <dc:description/>
  <cp:lastModifiedBy>Marcin Kaliński</cp:lastModifiedBy>
  <cp:revision>1</cp:revision>
  <dcterms:created xsi:type="dcterms:W3CDTF">2019-09-30T19:59:00Z</dcterms:created>
  <dcterms:modified xsi:type="dcterms:W3CDTF">2019-09-30T20:06:00Z</dcterms:modified>
</cp:coreProperties>
</file>