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4"/>
        </w:rPr>
        <w:t>NodeRoute Backend and Frontend Scan Summary</w:t>
      </w:r>
    </w:p>
    <w:p>
      <w:pPr>
        <w:spacing w:after="240"/>
      </w:pPr>
      <w:r>
        <w:rPr>
          <w:color w:val="595959"/>
          <w:sz w:val="22"/>
        </w:rPr>
        <w:t>Reconstructed from the repo review and sync work performed in this thread.</w:t>
      </w:r>
    </w:p>
    <w:p>
      <w:pPr>
        <w:spacing w:after="40"/>
      </w:pPr>
      <w:r>
        <w:rPr>
          <w:b/>
        </w:rPr>
        <w:t xml:space="preserve">Workspace: </w:t>
      </w:r>
      <w:r>
        <w:t>C:\Users\ryand\NodeRoute_Fresh</w:t>
      </w:r>
    </w:p>
    <w:p>
      <w:pPr>
        <w:spacing w:after="40"/>
      </w:pPr>
      <w:r>
        <w:rPr>
          <w:b/>
        </w:rPr>
        <w:t xml:space="preserve">Source of truth: </w:t>
      </w:r>
      <w:r>
        <w:t>RBZ-21/NodeRoute.git on main</w:t>
      </w:r>
    </w:p>
    <w:p>
      <w:pPr>
        <w:spacing w:after="40"/>
      </w:pPr>
      <w:r>
        <w:rPr>
          <w:b/>
        </w:rPr>
        <w:t xml:space="preserve">Generated: </w:t>
      </w:r>
      <w:r>
        <w:t>June 1, 2026</w:t>
      </w:r>
    </w:p>
    <w:p>
      <w:pPr>
        <w:pStyle w:val="Heading1"/>
      </w:pPr>
      <w:r>
        <w:t>Executive Context</w:t>
      </w:r>
    </w:p>
    <w:p>
      <w:r>
        <w:t>The local NodeRoute_Fresh workspace was treated as the working copy to bring in line with the GitHub repository. The scans focused on understanding the backend and frontend architecture before making changes, so later signup fixes could follow the existing system instead of introducing parallel patterns.</w:t>
      </w:r>
    </w:p>
    <w:p>
      <w:pPr>
        <w:pStyle w:val="ListBullet"/>
        <w:spacing w:after="80"/>
      </w:pPr>
      <w:r>
        <w:t>The backend is an Express and Supabase service with route modules grouped by business capability.</w:t>
      </w:r>
    </w:p>
    <w:p>
      <w:pPr>
        <w:pStyle w:val="ListBullet"/>
        <w:spacing w:after="80"/>
      </w:pPr>
      <w:r>
        <w:t>The frontend is split into a landing app, an authenticated dashboard app, and a driver app, all using Vite/React conventions.</w:t>
      </w:r>
    </w:p>
    <w:p>
      <w:pPr>
        <w:pStyle w:val="ListBullet"/>
        <w:spacing w:after="80"/>
      </w:pPr>
      <w:r>
        <w:t>The signup work needed to respect that separation: the landing page owns marketing CTAs, the dashboard app owns signup and authenticated flows, and the backend owns account creation, tenancy, and setup defaults.</w:t>
      </w:r>
    </w:p>
    <w:p>
      <w:pPr>
        <w:pStyle w:val="Heading1"/>
      </w:pPr>
      <w:r>
        <w:t>Scan 1: Backend</w:t>
      </w:r>
    </w:p>
    <w:p>
      <w:r>
        <w:t>The backend scan showed a capability-oriented Express service. The main server composes route modules, middleware applies authentication and role checks, and Supabase remains the operational data layer. This structure favors explicit route ownership over a generic controller framework, which makes sense for NodeRoute because dispatch, finance, inventory, driver, purchasing, and compliance workflows each have different validation and tenant-scope rules.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944"/>
            <w:shd w:fill="F2F4F7"/>
            <w:tcMar>
              <w:top w:w="80" w:type="dxa"/>
              <w:start w:w="120" w:type="dxa"/>
              <w:bottom w:w="80" w:type="dxa"/>
              <w:end w:w="120" w:type="dxa"/>
            </w:tcMar>
            <w:vAlign w:val="center"/>
          </w:tcPr>
          <w:p>
            <w:pPr>
              <w:spacing w:after="0" w:line="264" w:lineRule="auto"/>
            </w:pPr>
            <w:r>
              <w:rPr>
                <w:b/>
                <w:color w:val="1F4D78"/>
                <w:sz w:val="19"/>
              </w:rPr>
              <w:t>Area</w:t>
            </w:r>
          </w:p>
        </w:tc>
        <w:tc>
          <w:tcPr>
            <w:tcW w:type="dxa" w:w="3672"/>
            <w:shd w:fill="F2F4F7"/>
            <w:tcMar>
              <w:top w:w="80" w:type="dxa"/>
              <w:start w:w="120" w:type="dxa"/>
              <w:bottom w:w="80" w:type="dxa"/>
              <w:end w:w="120" w:type="dxa"/>
            </w:tcMar>
            <w:vAlign w:val="center"/>
          </w:tcPr>
          <w:p>
            <w:pPr>
              <w:spacing w:after="0" w:line="264" w:lineRule="auto"/>
            </w:pPr>
            <w:r>
              <w:rPr>
                <w:b/>
                <w:color w:val="1F4D78"/>
                <w:sz w:val="19"/>
              </w:rPr>
              <w:t>What The Scan Found</w:t>
            </w:r>
          </w:p>
        </w:tc>
        <w:tc>
          <w:tcPr>
            <w:tcW w:type="dxa" w:w="3384"/>
            <w:shd w:fill="F2F4F7"/>
            <w:tcMar>
              <w:top w:w="80" w:type="dxa"/>
              <w:start w:w="120" w:type="dxa"/>
              <w:bottom w:w="80" w:type="dxa"/>
              <w:end w:w="120" w:type="dxa"/>
            </w:tcMar>
            <w:vAlign w:val="center"/>
          </w:tcPr>
          <w:p>
            <w:pPr>
              <w:spacing w:after="0" w:line="264" w:lineRule="auto"/>
            </w:pPr>
            <w:r>
              <w:rPr>
                <w:b/>
                <w:color w:val="1F4D78"/>
                <w:sz w:val="19"/>
              </w:rPr>
              <w:t>Why The Choice Makes Sense</w:t>
            </w:r>
          </w:p>
        </w:tc>
      </w:tr>
      <w:tr>
        <w:tc>
          <w:tcPr>
            <w:tcW w:type="dxa" w:w="1944"/>
            <w:tcMar>
              <w:top w:w="80" w:type="dxa"/>
              <w:start w:w="120" w:type="dxa"/>
              <w:bottom w:w="80" w:type="dxa"/>
              <w:end w:w="120" w:type="dxa"/>
            </w:tcMar>
            <w:vAlign w:val="center"/>
          </w:tcPr>
          <w:p>
            <w:pPr>
              <w:spacing w:after="0" w:line="264" w:lineRule="auto"/>
            </w:pPr>
            <w:r>
              <w:rPr>
                <w:sz w:val="19"/>
              </w:rPr>
              <w:t>Server composition</w:t>
            </w:r>
          </w:p>
        </w:tc>
        <w:tc>
          <w:tcPr>
            <w:tcW w:type="dxa" w:w="3672"/>
            <w:tcMar>
              <w:top w:w="80" w:type="dxa"/>
              <w:start w:w="120" w:type="dxa"/>
              <w:bottom w:w="80" w:type="dxa"/>
              <w:end w:w="120" w:type="dxa"/>
            </w:tcMar>
            <w:vAlign w:val="center"/>
          </w:tcPr>
          <w:p>
            <w:pPr>
              <w:spacing w:after="0" w:line="264" w:lineRule="auto"/>
            </w:pPr>
            <w:r>
              <w:rPr>
                <w:sz w:val="19"/>
              </w:rPr>
              <w:t>backend/server.js mounts focused routers for auth, users, orders, invoices, inventory, deliveries, stops, routes, ops, reporting, warehouse, compliance, superadmin, and public inventory.</w:t>
            </w:r>
          </w:p>
        </w:tc>
        <w:tc>
          <w:tcPr>
            <w:tcW w:type="dxa" w:w="3384"/>
            <w:tcMar>
              <w:top w:w="80" w:type="dxa"/>
              <w:start w:w="120" w:type="dxa"/>
              <w:bottom w:w="80" w:type="dxa"/>
              <w:end w:w="120" w:type="dxa"/>
            </w:tcMar>
            <w:vAlign w:val="center"/>
          </w:tcPr>
          <w:p>
            <w:pPr>
              <w:spacing w:after="0" w:line="264" w:lineRule="auto"/>
            </w:pPr>
            <w:r>
              <w:rPr>
                <w:sz w:val="19"/>
              </w:rPr>
              <w:t>Keeping routers focused by workflow keeps high-risk business logic near its route contract. A larger framework abstraction would hide important tenant, role, and schema fallback behavior.</w:t>
            </w:r>
          </w:p>
        </w:tc>
      </w:tr>
      <w:tr>
        <w:tc>
          <w:tcPr>
            <w:tcW w:type="dxa" w:w="1944"/>
            <w:tcMar>
              <w:top w:w="80" w:type="dxa"/>
              <w:start w:w="120" w:type="dxa"/>
              <w:bottom w:w="80" w:type="dxa"/>
              <w:end w:w="120" w:type="dxa"/>
            </w:tcMar>
            <w:vAlign w:val="center"/>
          </w:tcPr>
          <w:p>
            <w:pPr>
              <w:spacing w:after="0" w:line="264" w:lineRule="auto"/>
            </w:pPr>
            <w:r>
              <w:rPr>
                <w:sz w:val="19"/>
              </w:rPr>
              <w:t>Authentication</w:t>
            </w:r>
          </w:p>
        </w:tc>
        <w:tc>
          <w:tcPr>
            <w:tcW w:type="dxa" w:w="3672"/>
            <w:tcMar>
              <w:top w:w="80" w:type="dxa"/>
              <w:start w:w="120" w:type="dxa"/>
              <w:bottom w:w="80" w:type="dxa"/>
              <w:end w:w="120" w:type="dxa"/>
            </w:tcMar>
            <w:vAlign w:val="center"/>
          </w:tcPr>
          <w:p>
            <w:pPr>
              <w:spacing w:after="0" w:line="264" w:lineRule="auto"/>
            </w:pPr>
            <w:r>
              <w:rPr>
                <w:sz w:val="19"/>
              </w:rPr>
              <w:t>backend/middleware/auth.js centralizes token extraction, session handling, CSRF rules, role checks, superadmin checks, and tenant context construction.</w:t>
            </w:r>
          </w:p>
        </w:tc>
        <w:tc>
          <w:tcPr>
            <w:tcW w:type="dxa" w:w="3384"/>
            <w:tcMar>
              <w:top w:w="80" w:type="dxa"/>
              <w:start w:w="120" w:type="dxa"/>
              <w:bottom w:w="80" w:type="dxa"/>
              <w:end w:w="120" w:type="dxa"/>
            </w:tcMar>
            <w:vAlign w:val="center"/>
          </w:tcPr>
          <w:p>
            <w:pPr>
              <w:spacing w:after="0" w:line="264" w:lineRule="auto"/>
            </w:pPr>
            <w:r>
              <w:rPr>
                <w:sz w:val="19"/>
              </w:rPr>
              <w:t>Central middleware reduces duplicated auth checks across route files. It is easier to reason about security when every protected route passes through the same context builder.</w:t>
            </w:r>
          </w:p>
        </w:tc>
      </w:tr>
      <w:tr>
        <w:tc>
          <w:tcPr>
            <w:tcW w:type="dxa" w:w="1944"/>
            <w:tcMar>
              <w:top w:w="80" w:type="dxa"/>
              <w:start w:w="120" w:type="dxa"/>
              <w:bottom w:w="80" w:type="dxa"/>
              <w:end w:w="120" w:type="dxa"/>
            </w:tcMar>
            <w:vAlign w:val="center"/>
          </w:tcPr>
          <w:p>
            <w:pPr>
              <w:spacing w:after="0" w:line="264" w:lineRule="auto"/>
            </w:pPr>
            <w:r>
              <w:rPr>
                <w:sz w:val="19"/>
              </w:rPr>
              <w:t>Data access</w:t>
            </w:r>
          </w:p>
        </w:tc>
        <w:tc>
          <w:tcPr>
            <w:tcW w:type="dxa" w:w="3672"/>
            <w:tcMar>
              <w:top w:w="80" w:type="dxa"/>
              <w:start w:w="120" w:type="dxa"/>
              <w:bottom w:w="80" w:type="dxa"/>
              <w:end w:w="120" w:type="dxa"/>
            </w:tcMar>
            <w:vAlign w:val="center"/>
          </w:tcPr>
          <w:p>
            <w:pPr>
              <w:spacing w:after="0" w:line="264" w:lineRule="auto"/>
            </w:pPr>
            <w:r>
              <w:rPr>
                <w:sz w:val="19"/>
              </w:rPr>
              <w:t>Supabase clients and helper services handle live data, with resilient demo/offline behavior used by tests and local development.</w:t>
            </w:r>
          </w:p>
        </w:tc>
        <w:tc>
          <w:tcPr>
            <w:tcW w:type="dxa" w:w="3384"/>
            <w:tcMar>
              <w:top w:w="80" w:type="dxa"/>
              <w:start w:w="120" w:type="dxa"/>
              <w:bottom w:w="80" w:type="dxa"/>
              <w:end w:w="120" w:type="dxa"/>
            </w:tcMar>
            <w:vAlign w:val="center"/>
          </w:tcPr>
          <w:p>
            <w:pPr>
              <w:spacing w:after="0" w:line="264" w:lineRule="auto"/>
            </w:pPr>
            <w:r>
              <w:rPr>
                <w:sz w:val="19"/>
              </w:rPr>
              <w:t>This preserves production Supabase behavior while keeping local test runs deterministic. A full mock database would drift from PostgREST/Supabase edge cases.</w:t>
            </w:r>
          </w:p>
        </w:tc>
      </w:tr>
      <w:tr>
        <w:tc>
          <w:tcPr>
            <w:tcW w:type="dxa" w:w="1944"/>
            <w:tcMar>
              <w:top w:w="80" w:type="dxa"/>
              <w:start w:w="120" w:type="dxa"/>
              <w:bottom w:w="80" w:type="dxa"/>
              <w:end w:w="120" w:type="dxa"/>
            </w:tcMar>
            <w:vAlign w:val="center"/>
          </w:tcPr>
          <w:p>
            <w:pPr>
              <w:spacing w:after="0" w:line="264" w:lineRule="auto"/>
            </w:pPr>
            <w:r>
              <w:rPr>
                <w:sz w:val="19"/>
              </w:rPr>
              <w:t>Validation</w:t>
            </w:r>
          </w:p>
        </w:tc>
        <w:tc>
          <w:tcPr>
            <w:tcW w:type="dxa" w:w="3672"/>
            <w:tcMar>
              <w:top w:w="80" w:type="dxa"/>
              <w:start w:w="120" w:type="dxa"/>
              <w:bottom w:w="80" w:type="dxa"/>
              <w:end w:w="120" w:type="dxa"/>
            </w:tcMar>
            <w:vAlign w:val="center"/>
          </w:tcPr>
          <w:p>
            <w:pPr>
              <w:spacing w:after="0" w:line="264" w:lineRule="auto"/>
            </w:pPr>
            <w:r>
              <w:rPr>
                <w:sz w:val="19"/>
              </w:rPr>
              <w:t>Zod-backed schemas and shared validation helpers are used for high-risk inputs such as auth, inventory, invoice, purchasing, and temperature log writes.</w:t>
            </w:r>
          </w:p>
        </w:tc>
        <w:tc>
          <w:tcPr>
            <w:tcW w:type="dxa" w:w="3384"/>
            <w:tcMar>
              <w:top w:w="80" w:type="dxa"/>
              <w:start w:w="120" w:type="dxa"/>
              <w:bottom w:w="80" w:type="dxa"/>
              <w:end w:w="120" w:type="dxa"/>
            </w:tcMar>
            <w:vAlign w:val="center"/>
          </w:tcPr>
          <w:p>
            <w:pPr>
              <w:spacing w:after="0" w:line="264" w:lineRule="auto"/>
            </w:pPr>
            <w:r>
              <w:rPr>
                <w:sz w:val="19"/>
              </w:rPr>
              <w:t>Schema validation at route boundaries keeps malformed payloads out of business logic. It is more maintainable than scattered hand-written checks.</w:t>
            </w:r>
          </w:p>
        </w:tc>
      </w:tr>
      <w:tr>
        <w:tc>
          <w:tcPr>
            <w:tcW w:type="dxa" w:w="1944"/>
            <w:tcMar>
              <w:top w:w="80" w:type="dxa"/>
              <w:start w:w="120" w:type="dxa"/>
              <w:bottom w:w="80" w:type="dxa"/>
              <w:end w:w="120" w:type="dxa"/>
            </w:tcMar>
            <w:vAlign w:val="center"/>
          </w:tcPr>
          <w:p>
            <w:pPr>
              <w:spacing w:after="0" w:line="264" w:lineRule="auto"/>
            </w:pPr>
            <w:r>
              <w:rPr>
                <w:sz w:val="19"/>
              </w:rPr>
              <w:t>Operational workflows</w:t>
            </w:r>
          </w:p>
        </w:tc>
        <w:tc>
          <w:tcPr>
            <w:tcW w:type="dxa" w:w="3672"/>
            <w:tcMar>
              <w:top w:w="80" w:type="dxa"/>
              <w:start w:w="120" w:type="dxa"/>
              <w:bottom w:w="80" w:type="dxa"/>
              <w:end w:w="120" w:type="dxa"/>
            </w:tcMar>
            <w:vAlign w:val="center"/>
          </w:tcPr>
          <w:p>
            <w:pPr>
              <w:spacing w:after="0" w:line="264" w:lineRule="auto"/>
            </w:pPr>
            <w:r>
              <w:rPr>
                <w:sz w:val="19"/>
              </w:rPr>
              <w:t>Inventory ledger, purchasing, catch weight, traceability, dwell, credit hold, Stripe, and notification logic are split into services or route-local helpers where appropriate.</w:t>
            </w:r>
          </w:p>
        </w:tc>
        <w:tc>
          <w:tcPr>
            <w:tcW w:type="dxa" w:w="3384"/>
            <w:tcMar>
              <w:top w:w="80" w:type="dxa"/>
              <w:start w:w="120" w:type="dxa"/>
              <w:bottom w:w="80" w:type="dxa"/>
              <w:end w:w="120" w:type="dxa"/>
            </w:tcMar>
            <w:vAlign w:val="center"/>
          </w:tcPr>
          <w:p>
            <w:pPr>
              <w:spacing w:after="0" w:line="264" w:lineRule="auto"/>
            </w:pPr>
            <w:r>
              <w:rPr>
                <w:sz w:val="19"/>
              </w:rPr>
              <w:t>Shared services are used when behavior crosses workflows; route-local helpers stay local when the rule is only meaningful to that endpoint.</w:t>
            </w:r>
          </w:p>
        </w:tc>
      </w:tr>
    </w:tbl>
    <w:p/>
    <w:p>
      <w:pPr>
        <w:pStyle w:val="Heading2"/>
      </w:pPr>
      <w:r>
        <w:t>Backend Logic And Tradeoffs</w:t>
      </w:r>
    </w:p>
    <w:p>
      <w:pPr>
        <w:pStyle w:val="ListBullet"/>
        <w:spacing w:after="80"/>
      </w:pPr>
      <w:r>
        <w:t>The code favors explicit route registration because the application has many operational domains with different access rules. That is clearer than routing every request through a generic CRUD layer.</w:t>
      </w:r>
    </w:p>
    <w:p>
      <w:pPr>
        <w:pStyle w:val="ListBullet"/>
        <w:spacing w:after="80"/>
      </w:pPr>
      <w:r>
        <w:t>Tenant context is built once in middleware, then consumed by route helpers. This is safer than asking each endpoint to manually decide which company or location a request can touch.</w:t>
      </w:r>
    </w:p>
    <w:p>
      <w:pPr>
        <w:pStyle w:val="ListBullet"/>
        <w:spacing w:after="80"/>
      </w:pPr>
      <w:r>
        <w:t>Supabase schema drift is handled carefully: missing optional setup tables can now be treated as recoverable during signup, but non-setup failures still roll back created users and companies.</w:t>
      </w:r>
    </w:p>
    <w:p>
      <w:pPr>
        <w:pStyle w:val="ListBullet"/>
        <w:spacing w:after="80"/>
      </w:pPr>
      <w:r>
        <w:t>The signup repair used an idempotent database migration instead of forcing the older full migration because the live products table had already diverged. A narrow repair avoided destructive assumptions.</w:t>
      </w:r>
    </w:p>
    <w:p>
      <w:pPr>
        <w:pStyle w:val="ListBullet"/>
        <w:spacing w:after="80"/>
      </w:pPr>
      <w:r>
        <w:t>Tests are broad for backend behavior. Running the backend suite after changes makes sense because auth, tenancy, signup, inventory, and routing paths share middleware and Supabase helpers.</w:t>
      </w:r>
    </w:p>
    <w:p>
      <w:pPr>
        <w:pStyle w:val="Heading1"/>
      </w:pPr>
      <w:r>
        <w:t>Scan 2: Frontend</w:t>
      </w:r>
    </w:p>
    <w:p>
      <w:r>
        <w:t>The frontend scan showed three Vite/React surfaces: landing-v2 for public marketing and CTAs, frontend-v2 for the authenticated operations workspace, and driver-app for driver workflows. The dashboard app uses lazy-loaded pages, shared navigation metadata, typed API helpers, React Query patterns, and focused hooks for workflow data.</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944"/>
            <w:shd w:fill="F2F4F7"/>
            <w:tcMar>
              <w:top w:w="80" w:type="dxa"/>
              <w:start w:w="120" w:type="dxa"/>
              <w:bottom w:w="80" w:type="dxa"/>
              <w:end w:w="120" w:type="dxa"/>
            </w:tcMar>
            <w:vAlign w:val="center"/>
          </w:tcPr>
          <w:p>
            <w:pPr>
              <w:spacing w:after="0" w:line="264" w:lineRule="auto"/>
            </w:pPr>
            <w:r>
              <w:rPr>
                <w:b/>
                <w:color w:val="1F4D78"/>
                <w:sz w:val="19"/>
              </w:rPr>
              <w:t>Area</w:t>
            </w:r>
          </w:p>
        </w:tc>
        <w:tc>
          <w:tcPr>
            <w:tcW w:type="dxa" w:w="3672"/>
            <w:shd w:fill="F2F4F7"/>
            <w:tcMar>
              <w:top w:w="80" w:type="dxa"/>
              <w:start w:w="120" w:type="dxa"/>
              <w:bottom w:w="80" w:type="dxa"/>
              <w:end w:w="120" w:type="dxa"/>
            </w:tcMar>
            <w:vAlign w:val="center"/>
          </w:tcPr>
          <w:p>
            <w:pPr>
              <w:spacing w:after="0" w:line="264" w:lineRule="auto"/>
            </w:pPr>
            <w:r>
              <w:rPr>
                <w:b/>
                <w:color w:val="1F4D78"/>
                <w:sz w:val="19"/>
              </w:rPr>
              <w:t>What The Scan Found</w:t>
            </w:r>
          </w:p>
        </w:tc>
        <w:tc>
          <w:tcPr>
            <w:tcW w:type="dxa" w:w="3384"/>
            <w:shd w:fill="F2F4F7"/>
            <w:tcMar>
              <w:top w:w="80" w:type="dxa"/>
              <w:start w:w="120" w:type="dxa"/>
              <w:bottom w:w="80" w:type="dxa"/>
              <w:end w:w="120" w:type="dxa"/>
            </w:tcMar>
            <w:vAlign w:val="center"/>
          </w:tcPr>
          <w:p>
            <w:pPr>
              <w:spacing w:after="0" w:line="264" w:lineRule="auto"/>
            </w:pPr>
            <w:r>
              <w:rPr>
                <w:b/>
                <w:color w:val="1F4D78"/>
                <w:sz w:val="19"/>
              </w:rPr>
              <w:t>Why The Choice Makes Sense</w:t>
            </w:r>
          </w:p>
        </w:tc>
      </w:tr>
      <w:tr>
        <w:tc>
          <w:tcPr>
            <w:tcW w:type="dxa" w:w="1944"/>
            <w:tcMar>
              <w:top w:w="80" w:type="dxa"/>
              <w:start w:w="120" w:type="dxa"/>
              <w:bottom w:w="80" w:type="dxa"/>
              <w:end w:w="120" w:type="dxa"/>
            </w:tcMar>
            <w:vAlign w:val="center"/>
          </w:tcPr>
          <w:p>
            <w:pPr>
              <w:spacing w:after="0" w:line="264" w:lineRule="auto"/>
            </w:pPr>
            <w:r>
              <w:rPr>
                <w:sz w:val="19"/>
              </w:rPr>
              <w:t>App split</w:t>
            </w:r>
          </w:p>
        </w:tc>
        <w:tc>
          <w:tcPr>
            <w:tcW w:type="dxa" w:w="3672"/>
            <w:tcMar>
              <w:top w:w="80" w:type="dxa"/>
              <w:start w:w="120" w:type="dxa"/>
              <w:bottom w:w="80" w:type="dxa"/>
              <w:end w:w="120" w:type="dxa"/>
            </w:tcMar>
            <w:vAlign w:val="center"/>
          </w:tcPr>
          <w:p>
            <w:pPr>
              <w:spacing w:after="0" w:line="264" w:lineRule="auto"/>
            </w:pPr>
            <w:r>
              <w:rPr>
                <w:sz w:val="19"/>
              </w:rPr>
              <w:t>landing-v2, frontend-v2, and driver-app are separate workspace apps with their own build outputs and Vite configs.</w:t>
            </w:r>
          </w:p>
        </w:tc>
        <w:tc>
          <w:tcPr>
            <w:tcW w:type="dxa" w:w="3384"/>
            <w:tcMar>
              <w:top w:w="80" w:type="dxa"/>
              <w:start w:w="120" w:type="dxa"/>
              <w:bottom w:w="80" w:type="dxa"/>
              <w:end w:w="120" w:type="dxa"/>
            </w:tcMar>
            <w:vAlign w:val="center"/>
          </w:tcPr>
          <w:p>
            <w:pPr>
              <w:spacing w:after="0" w:line="264" w:lineRule="auto"/>
            </w:pPr>
            <w:r>
              <w:rPr>
                <w:sz w:val="19"/>
              </w:rPr>
              <w:t>The user journeys are different enough to justify separate bundles. Landing can stay lightweight, the dashboard can carry operational UI, and the driver app can stay focused.</w:t>
            </w:r>
          </w:p>
        </w:tc>
      </w:tr>
      <w:tr>
        <w:tc>
          <w:tcPr>
            <w:tcW w:type="dxa" w:w="1944"/>
            <w:tcMar>
              <w:top w:w="80" w:type="dxa"/>
              <w:start w:w="120" w:type="dxa"/>
              <w:bottom w:w="80" w:type="dxa"/>
              <w:end w:w="120" w:type="dxa"/>
            </w:tcMar>
            <w:vAlign w:val="center"/>
          </w:tcPr>
          <w:p>
            <w:pPr>
              <w:spacing w:after="0" w:line="264" w:lineRule="auto"/>
            </w:pPr>
            <w:r>
              <w:rPr>
                <w:sz w:val="19"/>
              </w:rPr>
              <w:t>Routing and auth gate</w:t>
            </w:r>
          </w:p>
        </w:tc>
        <w:tc>
          <w:tcPr>
            <w:tcW w:type="dxa" w:w="3672"/>
            <w:tcMar>
              <w:top w:w="80" w:type="dxa"/>
              <w:start w:w="120" w:type="dxa"/>
              <w:bottom w:w="80" w:type="dxa"/>
              <w:end w:w="120" w:type="dxa"/>
            </w:tcMar>
            <w:vAlign w:val="center"/>
          </w:tcPr>
          <w:p>
            <w:pPr>
              <w:spacing w:after="0" w:line="264" w:lineRule="auto"/>
            </w:pPr>
            <w:r>
              <w:rPr>
                <w:sz w:val="19"/>
              </w:rPr>
              <w:t>frontend-v2/src/App.tsx checks auth state, bypasses auth for public routes such as signup/tracking/setup-password, and lazy-loads the authenticated app.</w:t>
            </w:r>
          </w:p>
        </w:tc>
        <w:tc>
          <w:tcPr>
            <w:tcW w:type="dxa" w:w="3384"/>
            <w:tcMar>
              <w:top w:w="80" w:type="dxa"/>
              <w:start w:w="120" w:type="dxa"/>
              <w:bottom w:w="80" w:type="dxa"/>
              <w:end w:w="120" w:type="dxa"/>
            </w:tcMar>
            <w:vAlign w:val="center"/>
          </w:tcPr>
          <w:p>
            <w:pPr>
              <w:spacing w:after="0" w:line="264" w:lineRule="auto"/>
            </w:pPr>
            <w:r>
              <w:rPr>
                <w:sz w:val="19"/>
              </w:rPr>
              <w:t>Central route gating prevents accidental dashboard access while still allowing intentional public entry points. Lazy loading keeps the initial route cheaper.</w:t>
            </w:r>
          </w:p>
        </w:tc>
      </w:tr>
      <w:tr>
        <w:tc>
          <w:tcPr>
            <w:tcW w:type="dxa" w:w="1944"/>
            <w:tcMar>
              <w:top w:w="80" w:type="dxa"/>
              <w:start w:w="120" w:type="dxa"/>
              <w:bottom w:w="80" w:type="dxa"/>
              <w:end w:w="120" w:type="dxa"/>
            </w:tcMar>
            <w:vAlign w:val="center"/>
          </w:tcPr>
          <w:p>
            <w:pPr>
              <w:spacing w:after="0" w:line="264" w:lineRule="auto"/>
            </w:pPr>
            <w:r>
              <w:rPr>
                <w:sz w:val="19"/>
              </w:rPr>
              <w:t>Navigation model</w:t>
            </w:r>
          </w:p>
        </w:tc>
        <w:tc>
          <w:tcPr>
            <w:tcW w:type="dxa" w:w="3672"/>
            <w:tcMar>
              <w:top w:w="80" w:type="dxa"/>
              <w:start w:w="120" w:type="dxa"/>
              <w:bottom w:w="80" w:type="dxa"/>
              <w:end w:w="120" w:type="dxa"/>
            </w:tcMar>
            <w:vAlign w:val="center"/>
          </w:tcPr>
          <w:p>
            <w:pPr>
              <w:spacing w:after="0" w:line="264" w:lineRule="auto"/>
            </w:pPr>
            <w:r>
              <w:rPr>
                <w:sz w:val="19"/>
              </w:rPr>
              <w:t>frontend-v2/src/lib/nav.ts defines workspace sections, labels, paths, icons, and page imports.</w:t>
            </w:r>
          </w:p>
        </w:tc>
        <w:tc>
          <w:tcPr>
            <w:tcW w:type="dxa" w:w="3384"/>
            <w:tcMar>
              <w:top w:w="80" w:type="dxa"/>
              <w:start w:w="120" w:type="dxa"/>
              <w:bottom w:w="80" w:type="dxa"/>
              <w:end w:w="120" w:type="dxa"/>
            </w:tcMar>
            <w:vAlign w:val="center"/>
          </w:tcPr>
          <w:p>
            <w:pPr>
              <w:spacing w:after="0" w:line="264" w:lineRule="auto"/>
            </w:pPr>
            <w:r>
              <w:rPr>
                <w:sz w:val="19"/>
              </w:rPr>
              <w:t>A shared nav registry avoids duplicated sidebar and route definitions. It also makes role-aware workspace expansion easier to audit.</w:t>
            </w:r>
          </w:p>
        </w:tc>
      </w:tr>
      <w:tr>
        <w:tc>
          <w:tcPr>
            <w:tcW w:type="dxa" w:w="1944"/>
            <w:tcMar>
              <w:top w:w="80" w:type="dxa"/>
              <w:start w:w="120" w:type="dxa"/>
              <w:bottom w:w="80" w:type="dxa"/>
              <w:end w:w="120" w:type="dxa"/>
            </w:tcMar>
            <w:vAlign w:val="center"/>
          </w:tcPr>
          <w:p>
            <w:pPr>
              <w:spacing w:after="0" w:line="264" w:lineRule="auto"/>
            </w:pPr>
            <w:r>
              <w:rPr>
                <w:sz w:val="19"/>
              </w:rPr>
              <w:t>API boundary</w:t>
            </w:r>
          </w:p>
        </w:tc>
        <w:tc>
          <w:tcPr>
            <w:tcW w:type="dxa" w:w="3672"/>
            <w:tcMar>
              <w:top w:w="80" w:type="dxa"/>
              <w:start w:w="120" w:type="dxa"/>
              <w:bottom w:w="80" w:type="dxa"/>
              <w:end w:w="120" w:type="dxa"/>
            </w:tcMar>
            <w:vAlign w:val="center"/>
          </w:tcPr>
          <w:p>
            <w:pPr>
              <w:spacing w:after="0" w:line="264" w:lineRule="auto"/>
            </w:pPr>
            <w:r>
              <w:rPr>
                <w:sz w:val="19"/>
              </w:rPr>
              <w:t>frontend-v2/src/lib/api.ts owns fetchWithAuth, sendWithAuth, uploadWithAuth, CSRF/header behavior, auth errors, and user fetches.</w:t>
            </w:r>
          </w:p>
        </w:tc>
        <w:tc>
          <w:tcPr>
            <w:tcW w:type="dxa" w:w="3384"/>
            <w:tcMar>
              <w:top w:w="80" w:type="dxa"/>
              <w:start w:w="120" w:type="dxa"/>
              <w:bottom w:w="80" w:type="dxa"/>
              <w:end w:w="120" w:type="dxa"/>
            </w:tcMar>
            <w:vAlign w:val="center"/>
          </w:tcPr>
          <w:p>
            <w:pPr>
              <w:spacing w:after="0" w:line="264" w:lineRule="auto"/>
            </w:pPr>
            <w:r>
              <w:rPr>
                <w:sz w:val="19"/>
              </w:rPr>
              <w:t>A single API boundary prevents every page from reinventing cookie, token, CSRF, and error handling logic.</w:t>
            </w:r>
          </w:p>
        </w:tc>
      </w:tr>
      <w:tr>
        <w:tc>
          <w:tcPr>
            <w:tcW w:type="dxa" w:w="1944"/>
            <w:tcMar>
              <w:top w:w="80" w:type="dxa"/>
              <w:start w:w="120" w:type="dxa"/>
              <w:bottom w:w="80" w:type="dxa"/>
              <w:end w:w="120" w:type="dxa"/>
            </w:tcMar>
            <w:vAlign w:val="center"/>
          </w:tcPr>
          <w:p>
            <w:pPr>
              <w:spacing w:after="0" w:line="264" w:lineRule="auto"/>
            </w:pPr>
            <w:r>
              <w:rPr>
                <w:sz w:val="19"/>
              </w:rPr>
              <w:t>Workflow pages</w:t>
            </w:r>
          </w:p>
        </w:tc>
        <w:tc>
          <w:tcPr>
            <w:tcW w:type="dxa" w:w="3672"/>
            <w:tcMar>
              <w:top w:w="80" w:type="dxa"/>
              <w:start w:w="120" w:type="dxa"/>
              <w:bottom w:w="80" w:type="dxa"/>
              <w:end w:w="120" w:type="dxa"/>
            </w:tcMar>
            <w:vAlign w:val="center"/>
          </w:tcPr>
          <w:p>
            <w:pPr>
              <w:spacing w:after="0" w:line="264" w:lineRule="auto"/>
            </w:pPr>
            <w:r>
              <w:rPr>
                <w:sz w:val="19"/>
              </w:rPr>
              <w:t>Pages such as Dashboard, Orders, Invoices, Inventory, Routes, Purchasing, Warehouse, Reports, Superadmin, and Signup compose hooks and shared components.</w:t>
            </w:r>
          </w:p>
        </w:tc>
        <w:tc>
          <w:tcPr>
            <w:tcW w:type="dxa" w:w="3384"/>
            <w:tcMar>
              <w:top w:w="80" w:type="dxa"/>
              <w:start w:w="120" w:type="dxa"/>
              <w:bottom w:w="80" w:type="dxa"/>
              <w:end w:w="120" w:type="dxa"/>
            </w:tcMar>
            <w:vAlign w:val="center"/>
          </w:tcPr>
          <w:p>
            <w:pPr>
              <w:spacing w:after="0" w:line="264" w:lineRule="auto"/>
            </w:pPr>
            <w:r>
              <w:rPr>
                <w:sz w:val="19"/>
              </w:rPr>
              <w:t>This keeps screen logic close to the user workflow while reusing common data helpers. It is pragmatic for an operations app where workflows evolve independently.</w:t>
            </w:r>
          </w:p>
        </w:tc>
      </w:tr>
    </w:tbl>
    <w:p/>
    <w:p>
      <w:pPr>
        <w:pStyle w:val="Heading2"/>
      </w:pPr>
      <w:r>
        <w:t>Frontend Logic And Tradeoffs</w:t>
      </w:r>
    </w:p>
    <w:p>
      <w:pPr>
        <w:pStyle w:val="ListBullet"/>
        <w:spacing w:after="80"/>
      </w:pPr>
      <w:r>
        <w:t>The landing signup CTA now links directly to /signup?fresh=1 because the landing app should not ask for an email and then send the user to another signup entry screen.</w:t>
      </w:r>
    </w:p>
    <w:p>
      <w:pPr>
        <w:pStyle w:val="ListBullet"/>
        <w:spacing w:after="80"/>
      </w:pPr>
      <w:r>
        <w:t>The signup page owns the multi-step account creation workflow because it lives in frontend-v2, the same app that handles auth state and post-signup dashboard routing.</w:t>
      </w:r>
    </w:p>
    <w:p>
      <w:pPr>
        <w:pStyle w:val="ListBullet"/>
        <w:spacing w:after="80"/>
      </w:pPr>
      <w:r>
        <w:t>Using a fresh signup query flag is a targeted way to clear stale sessions when starting a new account. It avoids broad logout behavior that could disrupt normal login flows.</w:t>
      </w:r>
    </w:p>
    <w:p>
      <w:pPr>
        <w:pStyle w:val="ListBullet"/>
        <w:spacing w:after="80"/>
      </w:pPr>
      <w:r>
        <w:t>Shared API helpers are preferable to page-level fetch wrappers because auth cookies, CSRF headers, upload behavior, and auth-error messaging must stay consistent.</w:t>
      </w:r>
    </w:p>
    <w:p>
      <w:pPr>
        <w:pStyle w:val="ListBullet"/>
        <w:spacing w:after="80"/>
      </w:pPr>
      <w:r>
        <w:t>Lazy-loaded page modules make sense because the dashboard has many dense operational screens; loading all of them for every entry path would be wasteful.</w:t>
      </w:r>
    </w:p>
    <w:p>
      <w:pPr>
        <w:pStyle w:val="Heading1"/>
      </w:pPr>
      <w:r>
        <w:t>Follow-on Fixes From The Scans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376"/>
            <w:shd w:fill="F2F4F7"/>
            <w:tcMar>
              <w:top w:w="80" w:type="dxa"/>
              <w:start w:w="120" w:type="dxa"/>
              <w:bottom w:w="80" w:type="dxa"/>
              <w:end w:w="120" w:type="dxa"/>
            </w:tcMar>
            <w:vAlign w:val="center"/>
          </w:tcPr>
          <w:p>
            <w:pPr>
              <w:spacing w:after="0" w:line="264" w:lineRule="auto"/>
            </w:pPr>
            <w:r>
              <w:rPr>
                <w:b/>
                <w:color w:val="1F4D78"/>
                <w:sz w:val="19"/>
              </w:rPr>
              <w:t>Issue Observed</w:t>
            </w:r>
          </w:p>
        </w:tc>
        <w:tc>
          <w:tcPr>
            <w:tcW w:type="dxa" w:w="3240"/>
            <w:shd w:fill="F2F4F7"/>
            <w:tcMar>
              <w:top w:w="80" w:type="dxa"/>
              <w:start w:w="120" w:type="dxa"/>
              <w:bottom w:w="80" w:type="dxa"/>
              <w:end w:w="120" w:type="dxa"/>
            </w:tcMar>
            <w:vAlign w:val="center"/>
          </w:tcPr>
          <w:p>
            <w:pPr>
              <w:spacing w:after="0" w:line="264" w:lineRule="auto"/>
            </w:pPr>
            <w:r>
              <w:rPr>
                <w:b/>
                <w:color w:val="1F4D78"/>
                <w:sz w:val="19"/>
              </w:rPr>
              <w:t>Fix Made</w:t>
            </w:r>
          </w:p>
        </w:tc>
        <w:tc>
          <w:tcPr>
            <w:tcW w:type="dxa" w:w="3384"/>
            <w:shd w:fill="F2F4F7"/>
            <w:tcMar>
              <w:top w:w="80" w:type="dxa"/>
              <w:start w:w="120" w:type="dxa"/>
              <w:bottom w:w="80" w:type="dxa"/>
              <w:end w:w="120" w:type="dxa"/>
            </w:tcMar>
            <w:vAlign w:val="center"/>
          </w:tcPr>
          <w:p>
            <w:pPr>
              <w:spacing w:after="0" w:line="264" w:lineRule="auto"/>
            </w:pPr>
            <w:r>
              <w:rPr>
                <w:b/>
                <w:color w:val="1F4D78"/>
                <w:sz w:val="19"/>
              </w:rPr>
              <w:t>Reasoning</w:t>
            </w:r>
          </w:p>
        </w:tc>
      </w:tr>
      <w:tr>
        <w:tc>
          <w:tcPr>
            <w:tcW w:type="dxa" w:w="2376"/>
            <w:tcMar>
              <w:top w:w="80" w:type="dxa"/>
              <w:start w:w="120" w:type="dxa"/>
              <w:bottom w:w="80" w:type="dxa"/>
              <w:end w:w="120" w:type="dxa"/>
            </w:tcMar>
            <w:vAlign w:val="center"/>
          </w:tcPr>
          <w:p>
            <w:pPr>
              <w:spacing w:after="0" w:line="264" w:lineRule="auto"/>
            </w:pPr>
            <w:r>
              <w:rPr>
                <w:sz w:val="19"/>
              </w:rPr>
              <w:t>Landing Sign Up initially sent users to an intermediate login/signup gate.</w:t>
            </w:r>
          </w:p>
        </w:tc>
        <w:tc>
          <w:tcPr>
            <w:tcW w:type="dxa" w:w="3240"/>
            <w:tcMar>
              <w:top w:w="80" w:type="dxa"/>
              <w:start w:w="120" w:type="dxa"/>
              <w:bottom w:w="80" w:type="dxa"/>
              <w:end w:w="120" w:type="dxa"/>
            </w:tcMar>
            <w:vAlign w:val="center"/>
          </w:tcPr>
          <w:p>
            <w:pPr>
              <w:spacing w:after="0" w:line="264" w:lineRule="auto"/>
            </w:pPr>
            <w:r>
              <w:rPr>
                <w:sz w:val="19"/>
              </w:rPr>
              <w:t>The landing CTA was changed to link directly to /signup?fresh=1.</w:t>
            </w:r>
          </w:p>
        </w:tc>
        <w:tc>
          <w:tcPr>
            <w:tcW w:type="dxa" w:w="3384"/>
            <w:tcMar>
              <w:top w:w="80" w:type="dxa"/>
              <w:start w:w="120" w:type="dxa"/>
              <w:bottom w:w="80" w:type="dxa"/>
              <w:end w:w="120" w:type="dxa"/>
            </w:tcMar>
            <w:vAlign w:val="center"/>
          </w:tcPr>
          <w:p>
            <w:pPr>
              <w:spacing w:after="0" w:line="264" w:lineRule="auto"/>
            </w:pPr>
            <w:r>
              <w:rPr>
                <w:sz w:val="19"/>
              </w:rPr>
              <w:t>The CTA should match user intent. Asking for email, then asking the user to click Create Account again, added friction without security value.</w:t>
            </w:r>
          </w:p>
        </w:tc>
      </w:tr>
      <w:tr>
        <w:tc>
          <w:tcPr>
            <w:tcW w:type="dxa" w:w="2376"/>
            <w:tcMar>
              <w:top w:w="80" w:type="dxa"/>
              <w:start w:w="120" w:type="dxa"/>
              <w:bottom w:w="80" w:type="dxa"/>
              <w:end w:w="120" w:type="dxa"/>
            </w:tcMar>
            <w:vAlign w:val="center"/>
          </w:tcPr>
          <w:p>
            <w:pPr>
              <w:spacing w:after="0" w:line="264" w:lineRule="auto"/>
            </w:pPr>
            <w:r>
              <w:rPr>
                <w:sz w:val="19"/>
              </w:rPr>
              <w:t>Testing signup with a stale or existing session could appear to enter the dashboard unexpectedly.</w:t>
            </w:r>
          </w:p>
        </w:tc>
        <w:tc>
          <w:tcPr>
            <w:tcW w:type="dxa" w:w="3240"/>
            <w:tcMar>
              <w:top w:w="80" w:type="dxa"/>
              <w:start w:w="120" w:type="dxa"/>
              <w:bottom w:w="80" w:type="dxa"/>
              <w:end w:w="120" w:type="dxa"/>
            </w:tcMar>
            <w:vAlign w:val="center"/>
          </w:tcPr>
          <w:p>
            <w:pPr>
              <w:spacing w:after="0" w:line="264" w:lineRule="auto"/>
            </w:pPr>
            <w:r>
              <w:rPr>
                <w:sz w:val="19"/>
              </w:rPr>
              <w:t>The signup page clears stale local session state when fresh signup mode is requested.</w:t>
            </w:r>
          </w:p>
        </w:tc>
        <w:tc>
          <w:tcPr>
            <w:tcW w:type="dxa" w:w="3384"/>
            <w:tcMar>
              <w:top w:w="80" w:type="dxa"/>
              <w:start w:w="120" w:type="dxa"/>
              <w:bottom w:w="80" w:type="dxa"/>
              <w:end w:w="120" w:type="dxa"/>
            </w:tcMar>
            <w:vAlign w:val="center"/>
          </w:tcPr>
          <w:p>
            <w:pPr>
              <w:spacing w:after="0" w:line="264" w:lineRule="auto"/>
            </w:pPr>
            <w:r>
              <w:rPr>
                <w:sz w:val="19"/>
              </w:rPr>
              <w:t>Fresh signup should start from a clean account-creation context while preserving normal login/session behavior elsewhere.</w:t>
            </w:r>
          </w:p>
        </w:tc>
      </w:tr>
      <w:tr>
        <w:tc>
          <w:tcPr>
            <w:tcW w:type="dxa" w:w="2376"/>
            <w:tcMar>
              <w:top w:w="80" w:type="dxa"/>
              <w:start w:w="120" w:type="dxa"/>
              <w:bottom w:w="80" w:type="dxa"/>
              <w:end w:w="120" w:type="dxa"/>
            </w:tcMar>
            <w:vAlign w:val="center"/>
          </w:tcPr>
          <w:p>
            <w:pPr>
              <w:spacing w:after="0" w:line="264" w:lineRule="auto"/>
            </w:pPr>
            <w:r>
              <w:rPr>
                <w:sz w:val="19"/>
              </w:rPr>
              <w:t>Step 4 signup failed because Supabase could not find public.company_config in the schema cache.</w:t>
            </w:r>
          </w:p>
        </w:tc>
        <w:tc>
          <w:tcPr>
            <w:tcW w:type="dxa" w:w="3240"/>
            <w:tcMar>
              <w:top w:w="80" w:type="dxa"/>
              <w:start w:w="120" w:type="dxa"/>
              <w:bottom w:w="80" w:type="dxa"/>
              <w:end w:w="120" w:type="dxa"/>
            </w:tcMar>
            <w:vAlign w:val="center"/>
          </w:tcPr>
          <w:p>
            <w:pPr>
              <w:spacing w:after="0" w:line="264" w:lineRule="auto"/>
            </w:pPr>
            <w:r>
              <w:rPr>
                <w:sz w:val="19"/>
              </w:rPr>
              <w:t>A narrow Supabase repair migration was created and applied, and backend signup now tolerates missing optional setup tables as a warning.</w:t>
            </w:r>
          </w:p>
        </w:tc>
        <w:tc>
          <w:tcPr>
            <w:tcW w:type="dxa" w:w="3384"/>
            <w:tcMar>
              <w:top w:w="80" w:type="dxa"/>
              <w:start w:w="120" w:type="dxa"/>
              <w:bottom w:w="80" w:type="dxa"/>
              <w:end w:w="120" w:type="dxa"/>
            </w:tcMar>
            <w:vAlign w:val="center"/>
          </w:tcPr>
          <w:p>
            <w:pPr>
              <w:spacing w:after="0" w:line="264" w:lineRule="auto"/>
            </w:pPr>
            <w:r>
              <w:rPr>
                <w:sz w:val="19"/>
              </w:rPr>
              <w:t>The durable fix is schema repair. The backend guard prevents optional setup drift from blocking account creation in another environment.</w:t>
            </w:r>
          </w:p>
        </w:tc>
      </w:tr>
    </w:tbl>
    <w:p/>
    <w:p>
      <w:pPr>
        <w:pStyle w:val="Heading1"/>
      </w:pPr>
      <w:r>
        <w:t>Current Verification Notes</w:t>
      </w:r>
    </w:p>
    <w:p>
      <w:pPr>
        <w:pStyle w:val="ListBullet"/>
        <w:spacing w:after="80"/>
      </w:pPr>
      <w:r>
        <w:t>Backend syntax check passed for backend/routes/auth.js after the signup hardening.</w:t>
      </w:r>
    </w:p>
    <w:p>
      <w:pPr>
        <w:pStyle w:val="ListBullet"/>
        <w:spacing w:after="80"/>
      </w:pPr>
      <w:r>
        <w:t>Backend test suite passed with 302 tests and the stress smoke check.</w:t>
      </w:r>
    </w:p>
    <w:p>
      <w:pPr>
        <w:pStyle w:val="ListBullet"/>
        <w:spacing w:after="80"/>
      </w:pPr>
      <w:r>
        <w:t>Supabase REST checks confirmed company_config and the required products columns are visible after schema repair.</w:t>
      </w:r>
    </w:p>
    <w:p>
      <w:pPr>
        <w:pStyle w:val="ListBullet"/>
        <w:spacing w:after="80"/>
      </w:pPr>
      <w:r>
        <w:t>Relevant fixes were committed and pushed to origin/main through commit 4614b3c.</w:t>
      </w:r>
    </w:p>
    <w:p>
      <w:pPr>
        <w:pStyle w:val="Heading1"/>
      </w:pPr>
      <w:r>
        <w:t>Practical Takeaway</w:t>
      </w:r>
    </w:p>
    <w:p>
      <w:r>
        <w:t>The backend and frontend choices are consistent with the product shape: NodeRoute is an operational system with many role-aware, tenant-aware workflows. The codebase uses explicit modules, shared security boundaries, and workflow-specific UI instead of forcing a generic abstraction over everything. That makes the code easier to audit when behavior touches account creation, route dispatch, billing, inventory, and driver execution.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8"/>
      </w:rPr>
      <w:t>NodeRoute scan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