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11827"/>
          <w:sz w:val="48"/>
          <w:szCs w:val="48"/>
        </w:rPr>
        <w:t xml:space="preserve">Document d'Architecture Technique</w:t>
      </w:r>
    </w:p>
    <w:p>
      <w:pPr>
        <w:spacing w:after="400" w:before="0"/>
      </w:pPr>
      <w:r>
        <w:rPr>
          <w:color w:val="374151"/>
          <w:sz w:val="30"/>
          <w:szCs w:val="30"/>
        </w:rPr>
        <w:t xml:space="preserve">Billetterie des Écrans de Villeneuve</w:t>
      </w:r>
    </w:p>
    <w:p>
      <w:pPr>
        <w:spacing w:after="200" w:before="0"/>
      </w:pPr>
      <w:r>
        <w:rPr>
          <w:b/>
          <w:bCs/>
          <w:color w:val="1F2937"/>
          <w:sz w:val="24"/>
          <w:szCs w:val="24"/>
        </w:rPr>
        <w:t xml:space="preserve">Équipe :</w:t>
      </w:r>
    </w:p>
    <w:p>
      <w:pPr>
        <w:spacing w:after="200" w:before="0"/>
      </w:pPr>
      <w:r>
        <w:rPr>
          <w:b/>
          <w:bCs/>
          <w:color w:val="1F2937"/>
          <w:sz w:val="24"/>
          <w:szCs w:val="24"/>
        </w:rPr>
        <w:t xml:space="preserve">Membres :</w:t>
      </w:r>
    </w:p>
    <w:p>
      <w:pPr>
        <w:spacing w:after="200" w:before="0"/>
      </w:pPr>
      <w:r>
        <w:rPr>
          <w:b/>
          <w:bCs/>
          <w:color w:val="1F2937"/>
          <w:sz w:val="24"/>
          <w:szCs w:val="24"/>
        </w:rPr>
        <w:t xml:space="preserve">Version :</w:t>
      </w:r>
    </w:p>
    <w:p>
      <w:pPr>
        <w:spacing w:after="200" w:before="0"/>
      </w:pPr>
      <w:r>
        <w:rPr>
          <w:b/>
          <w:bCs/>
          <w:color w:val="1F2937"/>
          <w:sz w:val="24"/>
          <w:szCs w:val="24"/>
        </w:rPr>
        <w:t xml:space="preserve">Date :</w:t>
      </w:r>
    </w:p>
    <w:p>
      <w:pPr>
        <w:pStyle w:val="Heading1"/>
        <w:keepNext/>
        <w:pageBreakBefore/>
      </w:pPr>
      <w:r>
        <w:t xml:space="preserve">1. Introduction et objectifs</w:t>
      </w:r>
    </w:p>
    <w:p>
      <w:pPr>
        <w:pStyle w:val="Heading3"/>
        <w:keepNext/>
      </w:pPr>
      <w:r>
        <w:t xml:space="preserve">Le produit</w:t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3"/>
        <w:keepNext/>
      </w:pPr>
      <w:r>
        <w:t xml:space="preserve">Les utilisateurs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38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Utilisateur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 avec le système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Canal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Les objectifs de qualité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2800"/>
        <w:gridCol w:w="2738"/>
      </w:tblGrid>
      <w:tr>
        <w:trPr>
          <w:cantSplit/>
          <w:tblHeader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Priorité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Objectif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Mesure</w:t>
            </w:r>
          </w:p>
        </w:tc>
        <w:tc>
          <w:tcPr>
            <w:tcW w:type="dxa" w:w="2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D'où vient-il ?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2. Contraintes et hypothèses</w:t>
      </w:r>
    </w:p>
    <w:p>
      <w:pPr>
        <w:pStyle w:val="Heading3"/>
        <w:keepNext/>
      </w:pPr>
      <w:r>
        <w:t xml:space="preserve">Contraintes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938"/>
      </w:tblGrid>
      <w:tr>
        <w:trPr>
          <w:cantSplit/>
          <w:tblHeader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Code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Contrainte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Conséquence sur l'architecture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C1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C2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C3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C4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C5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C6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9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Hypothèses sur le brief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cantSplit/>
          <w:tblHeader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Question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Hypothèse retenue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Justification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3. Contexte</w:t>
      </w:r>
    </w:p>
    <w:p>
      <w:pPr>
        <w:pBdr>
          <w:top w:val="dashed" w:color="9CA3AF" w:sz="6" w:space="1"/>
          <w:left w:val="dashed" w:color="9CA3AF" w:sz="6" w:space="4"/>
          <w:bottom w:val="dashed" w:color="9CA3AF" w:sz="6" w:space="1"/>
          <w:right w:val="dashed" w:color="9CA3AF" w:sz="6" w:space="4"/>
        </w:pBdr>
        <w:spacing w:after="240" w:before="120"/>
      </w:pPr>
      <w:r>
        <w:rPr>
          <w:sz w:val="22"/>
          <w:szCs w:val="22"/>
        </w:rPr>
        <w:t xml:space="preserve"> </w:t>
      </w:r>
      <w:r>
        <w:br/>
        <w:br/>
        <w:br/>
        <w:br/>
        <w:br/>
        <w:br/>
        <w:br/>
        <w:br/>
        <w:br/>
        <w:br/>
        <w:br/>
        <w:br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Acteur ou système externe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Ce qu'il échange avec le système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4. Domaine</w:t>
      </w:r>
    </w:p>
    <w:p>
      <w:pPr>
        <w:pStyle w:val="Heading3"/>
        <w:keepNext/>
      </w:pPr>
      <w:r>
        <w:t xml:space="preserve">Glossaire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2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Terme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Contexte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Sous-domaines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5138"/>
      </w:tblGrid>
      <w:tr>
        <w:trPr>
          <w:cantSplit/>
          <w:tblHeader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Sous-domaine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Type</w:t>
            </w:r>
          </w:p>
        </w:tc>
        <w:tc>
          <w:tcPr>
            <w:tcW w:type="dxa" w:w="5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Stratégie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51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Context map</w:t>
      </w:r>
    </w:p>
    <w:p>
      <w:pPr>
        <w:pBdr>
          <w:top w:val="dashed" w:color="9CA3AF" w:sz="6" w:space="1"/>
          <w:left w:val="dashed" w:color="9CA3AF" w:sz="6" w:space="4"/>
          <w:bottom w:val="dashed" w:color="9CA3AF" w:sz="6" w:space="1"/>
          <w:right w:val="dashed" w:color="9CA3AF" w:sz="6" w:space="4"/>
        </w:pBdr>
        <w:spacing w:after="240" w:before="120"/>
      </w:pPr>
      <w:r>
        <w:rPr>
          <w:sz w:val="22"/>
          <w:szCs w:val="22"/>
        </w:rPr>
        <w:t xml:space="preserve"> </w:t>
      </w:r>
      <w:r>
        <w:br/>
        <w:br/>
        <w:br/>
        <w:br/>
        <w:br/>
        <w:br/>
        <w:br/>
        <w:br/>
        <w:br/>
        <w:br/>
        <w:br/>
        <w:br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000"/>
        <w:gridCol w:w="28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Amont (U)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Aval (D)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Pattern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Pourquoi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5. Choix d'architecture par contexte</w:t>
      </w:r>
    </w:p>
    <w:p>
      <w:pPr>
        <w:pStyle w:val="Heading3"/>
        <w:keepNext/>
      </w:pPr>
      <w:r>
        <w:t xml:space="preserve">Grille de décision</w:t>
      </w:r>
    </w:p>
    <w:tbl>
      <w:tblPr>
        <w:tblW w:type="dxa" w:w="97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900"/>
        <w:gridCol w:w="900"/>
        <w:gridCol w:w="900"/>
        <w:gridCol w:w="900"/>
        <w:gridCol w:w="900"/>
        <w:gridCol w:w="800"/>
        <w:gridCol w:w="1638"/>
      </w:tblGrid>
      <w:tr>
        <w:trPr>
          <w:cantSplit/>
          <w:tblHeader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Contexte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Complexité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Valeur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Durée de vie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Volatilité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Experts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Canaux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Total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Architecture retenue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Justification</w:t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1"/>
        <w:keepNext/>
        <w:pageBreakBefore/>
      </w:pPr>
      <w:r>
        <w:t xml:space="preserve">6. Vue composants</w:t>
      </w:r>
    </w:p>
    <w:p>
      <w:pPr>
        <w:pBdr>
          <w:top w:val="dashed" w:color="9CA3AF" w:sz="6" w:space="1"/>
          <w:left w:val="dashed" w:color="9CA3AF" w:sz="6" w:space="4"/>
          <w:bottom w:val="dashed" w:color="9CA3AF" w:sz="6" w:space="1"/>
          <w:right w:val="dashed" w:color="9CA3AF" w:sz="6" w:space="4"/>
        </w:pBdr>
        <w:spacing w:after="240" w:before="120"/>
      </w:pPr>
      <w:r>
        <w:rPr>
          <w:sz w:val="22"/>
          <w:szCs w:val="22"/>
        </w:rPr>
        <w:t xml:space="preserve"> </w:t>
      </w:r>
      <w:r>
        <w:br/>
        <w:br/>
        <w:br/>
        <w:br/>
        <w:br/>
        <w:br/>
        <w:br/>
        <w:br/>
        <w:br/>
        <w:br/>
        <w:br/>
        <w:br/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1"/>
        <w:keepNext/>
        <w:pageBreakBefore/>
      </w:pPr>
      <w:r>
        <w:t xml:space="preserve">7. Vue dynamique</w:t>
      </w:r>
    </w:p>
    <w:p>
      <w:pPr>
        <w:pStyle w:val="Heading3"/>
        <w:keepNext/>
      </w:pPr>
      <w:r>
        <w:t xml:space="preserve">Réserver et payer des places</w:t>
      </w:r>
    </w:p>
    <w:p>
      <w:pPr>
        <w:pBdr>
          <w:top w:val="dashed" w:color="9CA3AF" w:sz="6" w:space="1"/>
          <w:left w:val="dashed" w:color="9CA3AF" w:sz="6" w:space="4"/>
          <w:bottom w:val="dashed" w:color="9CA3AF" w:sz="6" w:space="1"/>
          <w:right w:val="dashed" w:color="9CA3AF" w:sz="6" w:space="4"/>
        </w:pBdr>
        <w:spacing w:after="240" w:before="120"/>
      </w:pPr>
      <w:r>
        <w:rPr>
          <w:sz w:val="22"/>
          <w:szCs w:val="22"/>
        </w:rPr>
        <w:t xml:space="preserve"> </w:t>
      </w:r>
      <w:r>
        <w:br/>
        <w:br/>
        <w:br/>
        <w:br/>
        <w:br/>
        <w:br/>
        <w:br/>
        <w:br/>
        <w:br/>
        <w:br/>
        <w:br/>
        <w:br/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1"/>
        <w:keepNext/>
        <w:pageBreakBefore/>
      </w:pPr>
      <w:r>
        <w:t xml:space="preserve">8. Modèle du domaine</w:t>
      </w:r>
    </w:p>
    <w:p>
      <w:pPr>
        <w:pBdr>
          <w:top w:val="dashed" w:color="9CA3AF" w:sz="6" w:space="1"/>
          <w:left w:val="dashed" w:color="9CA3AF" w:sz="6" w:space="4"/>
          <w:bottom w:val="dashed" w:color="9CA3AF" w:sz="6" w:space="1"/>
          <w:right w:val="dashed" w:color="9CA3AF" w:sz="6" w:space="4"/>
        </w:pBdr>
        <w:spacing w:after="240" w:before="120"/>
      </w:pPr>
      <w:r>
        <w:rPr>
          <w:sz w:val="22"/>
          <w:szCs w:val="22"/>
        </w:rPr>
        <w:t xml:space="preserve"> </w:t>
      </w:r>
      <w:r>
        <w:br/>
        <w:br/>
        <w:br/>
        <w:br/>
        <w:br/>
        <w:br/>
        <w:br/>
        <w:br/>
        <w:br/>
        <w:br/>
        <w:br/>
        <w:br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3438"/>
      </w:tblGrid>
      <w:tr>
        <w:trPr>
          <w:cantSplit/>
          <w:tblHeader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Invariant (règle)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Agrégat qui le protège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Test qui le prouve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Value objects</w:t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3"/>
        <w:keepNext/>
      </w:pPr>
      <w:r>
        <w:t xml:space="preserve">Événements et policies</w:t>
      </w:r>
    </w:p>
    <w:p>
      <w:pPr>
        <w:spacing w:after="360" w:before="0"/>
      </w:pPr>
      <w:r>
        <w:rPr>
          <w:color w:val="1F2937"/>
          <w:sz w:val="21"/>
          <w:szCs w:val="21"/>
        </w:rPr>
        <w:t xml:space="preserve"> </w:t>
      </w:r>
    </w:p>
    <w:p>
      <w:pPr>
        <w:pStyle w:val="Heading1"/>
        <w:keepNext/>
        <w:pageBreakBefore/>
      </w:pPr>
      <w:r>
        <w:t xml:space="preserve">9. Décisions (ADR)</w:t>
      </w:r>
    </w:p>
    <w:p>
      <w:pPr>
        <w:pStyle w:val="Heading3"/>
        <w:keepNext/>
      </w:pPr>
      <w:r>
        <w:t xml:space="preserve">ADR-0001 — Architecture retenue par contexte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Rubrique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Statut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Contexte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Options envisagées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Décision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Conséquences positives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Conséquences négatives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t xml:space="preserve">ADR-0002 — Agrégats et concurrence de la vente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Rubrique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Statut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Contexte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Options envisagées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Décision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Conséquences positives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Conséquences négatives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10. Qualité et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Niveau</w:t>
            </w:r>
          </w:p>
        </w:tc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Ce qu'on teste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11. Risques et dette technique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00"/>
        <w:gridCol w:w="4738"/>
      </w:tblGrid>
      <w:tr>
        <w:trPr>
          <w:cantSplit/>
          <w:tblHeader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Risque ou simplification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Impact</w:t>
            </w:r>
          </w:p>
        </w:tc>
        <w:tc>
          <w:tcPr>
            <w:tcW w:type="dxa" w:w="4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DBEA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Parade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  <w:tc>
          <w:tcPr>
            <w:tcW w:type="dxa" w:w="47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DAT — Les Écrans de Villeneuve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E3A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1F4D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2026-10-21T12:26:08.714Z</dcterms:created>
  <dcterms:modified xsi:type="dcterms:W3CDTF">2026-10-21T12:26:08.724Z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