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Layout w:type="fixed"/>
        <w:tblCellMar>
          <w:top w:w="800" w:type="dxa"/>
          <w:left w:w="600" w:type="dxa"/>
          <w:bottom w:w="800" w:type="dxa"/>
          <w:right w:w="600" w:type="dxa"/>
        </w:tblCellMar>
        <w:tblLook w:val="04A0" w:firstRow="1" w:lastRow="0" w:firstColumn="1" w:lastColumn="0" w:noHBand="0" w:noVBand="1"/>
      </w:tblPr>
      <w:tblGrid>
        <w:gridCol w:w="9360"/>
      </w:tblGrid>
      <w:tr w:rsidR="006F6193" w:rsidRPr="00AE6DB8" w14:paraId="5AC4CCB8" w14:textId="77777777">
        <w:tc>
          <w:tcPr>
            <w:tcW w:w="9360" w:type="dxa"/>
            <w:shd w:val="clear" w:color="auto" w:fill="1F3864"/>
          </w:tcPr>
          <w:p w14:paraId="34CB25A0" w14:textId="3F67A63A" w:rsidR="006F6193" w:rsidRPr="00AE6DB8" w:rsidRDefault="00000000">
            <w:pPr>
              <w:spacing w:after="100"/>
              <w:jc w:val="center"/>
              <w:rPr>
                <w:lang w:val="es-EC"/>
              </w:rPr>
            </w:pPr>
            <w:r w:rsidRPr="00AE6DB8">
              <w:rPr>
                <w:b/>
                <w:bCs/>
                <w:color w:val="7FB3D3"/>
                <w:sz w:val="20"/>
                <w:szCs w:val="20"/>
                <w:lang w:val="es-EC"/>
              </w:rPr>
              <w:t xml:space="preserve">SISTEMA NBO — </w:t>
            </w:r>
            <w:proofErr w:type="spellStart"/>
            <w:r w:rsidR="00AE6DB8" w:rsidRPr="00AE6DB8">
              <w:rPr>
                <w:b/>
                <w:bCs/>
                <w:color w:val="7FB3D3"/>
                <w:sz w:val="20"/>
                <w:szCs w:val="20"/>
                <w:lang w:val="es-EC"/>
              </w:rPr>
              <w:t>RBlJOSÉ</w:t>
            </w:r>
            <w:proofErr w:type="spellEnd"/>
          </w:p>
          <w:p w14:paraId="706F335A" w14:textId="77777777" w:rsidR="006F6193" w:rsidRPr="00AE6DB8" w:rsidRDefault="00000000">
            <w:pPr>
              <w:spacing w:after="200"/>
              <w:jc w:val="center"/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48"/>
                <w:szCs w:val="48"/>
                <w:lang w:val="es-EC"/>
              </w:rPr>
              <w:t>Diseño Completo del Sistema</w:t>
            </w:r>
          </w:p>
          <w:p w14:paraId="751207CA" w14:textId="77777777" w:rsidR="006F6193" w:rsidRPr="00AE6DB8" w:rsidRDefault="00000000">
            <w:pPr>
              <w:spacing w:before="200" w:after="100"/>
              <w:jc w:val="center"/>
              <w:rPr>
                <w:lang w:val="es-EC"/>
              </w:rPr>
            </w:pPr>
            <w:r w:rsidRPr="00AE6DB8">
              <w:rPr>
                <w:color w:val="AECCE8"/>
                <w:sz w:val="26"/>
                <w:szCs w:val="26"/>
                <w:lang w:val="es-EC"/>
              </w:rPr>
              <w:t>Pasos 1 al 7 — Documento de Trabajo</w:t>
            </w:r>
          </w:p>
          <w:p w14:paraId="4FC1D993" w14:textId="77777777" w:rsidR="006F6193" w:rsidRPr="00AE6DB8" w:rsidRDefault="00000000">
            <w:pPr>
              <w:jc w:val="center"/>
              <w:rPr>
                <w:lang w:val="es-EC"/>
              </w:rPr>
            </w:pPr>
            <w:r w:rsidRPr="00AE6DB8">
              <w:rPr>
                <w:color w:val="7FB3D3"/>
                <w:sz w:val="20"/>
                <w:szCs w:val="20"/>
                <w:lang w:val="es-EC"/>
              </w:rPr>
              <w:t xml:space="preserve">Dirección de Analítica y </w:t>
            </w:r>
            <w:proofErr w:type="gramStart"/>
            <w:r w:rsidRPr="00AE6DB8">
              <w:rPr>
                <w:color w:val="7FB3D3"/>
                <w:sz w:val="20"/>
                <w:szCs w:val="20"/>
                <w:lang w:val="es-EC"/>
              </w:rPr>
              <w:t>CRM  |</w:t>
            </w:r>
            <w:proofErr w:type="gramEnd"/>
            <w:r w:rsidRPr="00AE6DB8">
              <w:rPr>
                <w:color w:val="7FB3D3"/>
                <w:sz w:val="20"/>
                <w:szCs w:val="20"/>
                <w:lang w:val="es-EC"/>
              </w:rPr>
              <w:t xml:space="preserve">  Marzo 2026  |  CONFIDENCIAL</w:t>
            </w:r>
          </w:p>
        </w:tc>
      </w:tr>
    </w:tbl>
    <w:p w14:paraId="4AEE9366" w14:textId="77777777" w:rsidR="006F6193" w:rsidRPr="00AE6DB8" w:rsidRDefault="006F6193">
      <w:pPr>
        <w:spacing w:after="320"/>
        <w:rPr>
          <w:lang w:val="es-EC"/>
        </w:rPr>
      </w:pPr>
    </w:p>
    <w:p w14:paraId="3D9980C1" w14:textId="77777777" w:rsidR="006F6193" w:rsidRPr="00AE6DB8" w:rsidRDefault="00000000">
      <w:pPr>
        <w:rPr>
          <w:i/>
          <w:iCs/>
          <w:lang w:val="es-EC"/>
        </w:rPr>
      </w:pPr>
      <w:r w:rsidRPr="00AE6DB8">
        <w:rPr>
          <w:lang w:val="es-EC"/>
        </w:rPr>
        <w:br w:type="page"/>
      </w:r>
    </w:p>
    <w:p w14:paraId="44ED37A4" w14:textId="77777777" w:rsidR="006F6193" w:rsidRPr="00AE6DB8" w:rsidRDefault="00000000">
      <w:pPr>
        <w:pStyle w:val="Ttulo1"/>
        <w:pBdr>
          <w:bottom w:val="single" w:sz="10" w:space="4" w:color="2E75B6"/>
        </w:pBdr>
        <w:spacing w:before="0"/>
        <w:rPr>
          <w:lang w:val="es-EC"/>
        </w:rPr>
      </w:pPr>
      <w:r w:rsidRPr="00AE6DB8">
        <w:rPr>
          <w:lang w:val="es-EC"/>
        </w:rPr>
        <w:lastRenderedPageBreak/>
        <w:t>Paso 1 — Contexto y Objetivo del Proyecto</w:t>
      </w:r>
    </w:p>
    <w:p w14:paraId="5B7C6C03" w14:textId="77777777" w:rsidR="006F6193" w:rsidRPr="00AE6DB8" w:rsidRDefault="00000000">
      <w:pPr>
        <w:spacing w:before="60" w:after="120"/>
        <w:rPr>
          <w:lang w:val="es-EC"/>
        </w:rPr>
      </w:pPr>
      <w:r w:rsidRPr="00AE6DB8">
        <w:rPr>
          <w:color w:val="1A1A2E"/>
          <w:lang w:val="es-EC"/>
        </w:rPr>
        <w:t>El banco opera con campañas masivas no segmentadas donde un mismo producto se oferta a toda la base de clientes activos, independientemente del perfil transaccional, ciclo de vida o nivel de riesgo. Este enfoque genera tres problemas estructurales medibles.</w:t>
      </w:r>
    </w:p>
    <w:p w14:paraId="4F489C56" w14:textId="77777777" w:rsidR="006F6193" w:rsidRPr="00AE6DB8" w:rsidRDefault="006F6193">
      <w:pPr>
        <w:spacing w:after="80"/>
        <w:rPr>
          <w:lang w:val="es-EC"/>
        </w:rPr>
      </w:pPr>
    </w:p>
    <w:p w14:paraId="2FA262A4" w14:textId="77777777" w:rsidR="006F6193" w:rsidRPr="00AE6DB8" w:rsidRDefault="00000000">
      <w:pPr>
        <w:pStyle w:val="Prrafodelista"/>
        <w:numPr>
          <w:ilvl w:val="0"/>
          <w:numId w:val="3"/>
        </w:numPr>
        <w:spacing w:before="60" w:after="60"/>
        <w:rPr>
          <w:lang w:val="es-EC"/>
        </w:rPr>
      </w:pPr>
      <w:r w:rsidRPr="00AE6DB8">
        <w:rPr>
          <w:color w:val="1A1A2E"/>
          <w:lang w:val="es-EC"/>
        </w:rPr>
        <w:t xml:space="preserve">Baja conversión: el </w:t>
      </w:r>
      <w:proofErr w:type="spellStart"/>
      <w:r w:rsidRPr="00AE6DB8">
        <w:rPr>
          <w:color w:val="1A1A2E"/>
          <w:lang w:val="es-EC"/>
        </w:rPr>
        <w:t>baseline</w:t>
      </w:r>
      <w:proofErr w:type="spellEnd"/>
      <w:r w:rsidRPr="00AE6DB8">
        <w:rPr>
          <w:color w:val="1A1A2E"/>
          <w:lang w:val="es-EC"/>
        </w:rPr>
        <w:t xml:space="preserve"> real se levanta desagregado por producto × canal × segmento. No se asumen </w:t>
      </w:r>
      <w:proofErr w:type="spellStart"/>
      <w:r w:rsidRPr="00AE6DB8">
        <w:rPr>
          <w:color w:val="1A1A2E"/>
          <w:lang w:val="es-EC"/>
        </w:rPr>
        <w:t>benchmarks</w:t>
      </w:r>
      <w:proofErr w:type="spellEnd"/>
      <w:r w:rsidRPr="00AE6DB8">
        <w:rPr>
          <w:color w:val="1A1A2E"/>
          <w:lang w:val="es-EC"/>
        </w:rPr>
        <w:t xml:space="preserve"> regionales.</w:t>
      </w:r>
    </w:p>
    <w:p w14:paraId="03AEE76D" w14:textId="77777777" w:rsidR="006F6193" w:rsidRPr="00AE6DB8" w:rsidRDefault="00000000">
      <w:pPr>
        <w:pStyle w:val="Prrafodelista"/>
        <w:numPr>
          <w:ilvl w:val="0"/>
          <w:numId w:val="1"/>
        </w:numPr>
        <w:spacing w:before="60" w:after="60"/>
        <w:rPr>
          <w:lang w:val="es-EC"/>
        </w:rPr>
      </w:pPr>
      <w:r w:rsidRPr="00AE6DB8">
        <w:rPr>
          <w:color w:val="1A1A2E"/>
          <w:lang w:val="es-EC"/>
        </w:rPr>
        <w:t xml:space="preserve">Deterioro de experiencia cliente: la </w:t>
      </w:r>
      <w:proofErr w:type="spellStart"/>
      <w:r w:rsidRPr="00AE6DB8">
        <w:rPr>
          <w:color w:val="1A1A2E"/>
          <w:lang w:val="es-EC"/>
        </w:rPr>
        <w:t>sobre-comunicación</w:t>
      </w:r>
      <w:proofErr w:type="spellEnd"/>
      <w:r w:rsidRPr="00AE6DB8">
        <w:rPr>
          <w:color w:val="1A1A2E"/>
          <w:lang w:val="es-EC"/>
        </w:rPr>
        <w:t xml:space="preserve"> incrementa la tasa de </w:t>
      </w:r>
      <w:proofErr w:type="spellStart"/>
      <w:r w:rsidRPr="00AE6DB8">
        <w:rPr>
          <w:color w:val="1A1A2E"/>
          <w:lang w:val="es-EC"/>
        </w:rPr>
        <w:t>opt-out</w:t>
      </w:r>
      <w:proofErr w:type="spellEnd"/>
      <w:r w:rsidRPr="00AE6DB8">
        <w:rPr>
          <w:color w:val="1A1A2E"/>
          <w:lang w:val="es-EC"/>
        </w:rPr>
        <w:t xml:space="preserve"> y erosiona el NPS, especialmente en canales digitales.</w:t>
      </w:r>
    </w:p>
    <w:p w14:paraId="67F0FCC3" w14:textId="77777777" w:rsidR="006F6193" w:rsidRPr="00AE6DB8" w:rsidRDefault="00000000">
      <w:pPr>
        <w:pStyle w:val="Prrafodelista"/>
        <w:numPr>
          <w:ilvl w:val="0"/>
          <w:numId w:val="1"/>
        </w:numPr>
        <w:spacing w:before="60" w:after="60"/>
        <w:rPr>
          <w:lang w:val="es-EC"/>
        </w:rPr>
      </w:pPr>
      <w:r w:rsidRPr="00AE6DB8">
        <w:rPr>
          <w:color w:val="1A1A2E"/>
          <w:lang w:val="es-EC"/>
        </w:rPr>
        <w:t>Ineficiencia operativa: el costo por contacto se escala sin criterio de elegibilidad ni priorización presupuestaria.</w:t>
      </w:r>
    </w:p>
    <w:p w14:paraId="231DBF93" w14:textId="77777777" w:rsidR="006F6193" w:rsidRPr="00AE6DB8" w:rsidRDefault="006F6193">
      <w:pPr>
        <w:spacing w:after="80"/>
        <w:rPr>
          <w:lang w:val="es-EC"/>
        </w:rPr>
      </w:pPr>
    </w:p>
    <w:p w14:paraId="474B321C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Objetivo</w:t>
      </w:r>
    </w:p>
    <w:p w14:paraId="10EC2FBF" w14:textId="2266BDAD" w:rsidR="006F6193" w:rsidRDefault="00000000" w:rsidP="00AE6DB8">
      <w:pPr>
        <w:spacing w:before="60" w:after="120"/>
        <w:rPr>
          <w:color w:val="1A1A2E"/>
          <w:lang w:val="es-EC"/>
        </w:rPr>
      </w:pPr>
      <w:r w:rsidRPr="00AE6DB8">
        <w:rPr>
          <w:color w:val="1A1A2E"/>
          <w:lang w:val="es-EC"/>
        </w:rPr>
        <w:t xml:space="preserve">Diseñar e implementar un sistema Next </w:t>
      </w:r>
      <w:proofErr w:type="spellStart"/>
      <w:r w:rsidRPr="00AE6DB8">
        <w:rPr>
          <w:color w:val="1A1A2E"/>
          <w:lang w:val="es-EC"/>
        </w:rPr>
        <w:t>Best</w:t>
      </w:r>
      <w:proofErr w:type="spellEnd"/>
      <w:r w:rsidRPr="00AE6DB8">
        <w:rPr>
          <w:color w:val="1A1A2E"/>
          <w:lang w:val="es-EC"/>
        </w:rPr>
        <w:t xml:space="preserve"> </w:t>
      </w:r>
      <w:proofErr w:type="spellStart"/>
      <w:r w:rsidRPr="00AE6DB8">
        <w:rPr>
          <w:color w:val="1A1A2E"/>
          <w:lang w:val="es-EC"/>
        </w:rPr>
        <w:t>Offer</w:t>
      </w:r>
      <w:proofErr w:type="spellEnd"/>
      <w:r w:rsidRPr="00AE6DB8">
        <w:rPr>
          <w:color w:val="1A1A2E"/>
          <w:lang w:val="es-EC"/>
        </w:rPr>
        <w:t xml:space="preserve"> (NBO) </w:t>
      </w:r>
      <w:proofErr w:type="spellStart"/>
      <w:r w:rsidRPr="00AE6DB8">
        <w:rPr>
          <w:color w:val="1A1A2E"/>
          <w:lang w:val="es-EC"/>
        </w:rPr>
        <w:t>multiproducto</w:t>
      </w:r>
      <w:proofErr w:type="spellEnd"/>
      <w:r w:rsidRPr="00AE6DB8">
        <w:rPr>
          <w:color w:val="1A1A2E"/>
          <w:lang w:val="es-EC"/>
        </w:rPr>
        <w:t xml:space="preserve"> basado en modelos de propensión individual, con el fin de recomendar el producto correcto, al cliente correcto, en el momento correcto, dentro de una ventana de predicción de 30 días.</w:t>
      </w:r>
    </w:p>
    <w:p w14:paraId="14149B51" w14:textId="77777777" w:rsidR="00AE6DB8" w:rsidRPr="00AE6DB8" w:rsidRDefault="00AE6DB8" w:rsidP="00AE6DB8">
      <w:pPr>
        <w:spacing w:before="60" w:after="120"/>
        <w:rPr>
          <w:lang w:val="es-EC"/>
        </w:rPr>
      </w:pPr>
    </w:p>
    <w:p w14:paraId="4FF06004" w14:textId="77777777" w:rsidR="006F6193" w:rsidRPr="00AE6DB8" w:rsidRDefault="00000000">
      <w:pPr>
        <w:pStyle w:val="Ttulo1"/>
        <w:pBdr>
          <w:bottom w:val="single" w:sz="10" w:space="4" w:color="2E75B6"/>
        </w:pBdr>
        <w:spacing w:before="0"/>
        <w:rPr>
          <w:lang w:val="es-EC"/>
        </w:rPr>
      </w:pPr>
      <w:r w:rsidRPr="00AE6DB8">
        <w:rPr>
          <w:lang w:val="es-EC"/>
        </w:rPr>
        <w:t>Paso 2 — Definición de Productos</w:t>
      </w:r>
    </w:p>
    <w:p w14:paraId="53A06B0B" w14:textId="77777777" w:rsidR="006F6193" w:rsidRPr="00AE6DB8" w:rsidRDefault="00000000">
      <w:pPr>
        <w:spacing w:before="60" w:after="120"/>
        <w:rPr>
          <w:lang w:val="es-EC"/>
        </w:rPr>
      </w:pPr>
      <w:r w:rsidRPr="00AE6DB8">
        <w:rPr>
          <w:color w:val="1A1A2E"/>
          <w:lang w:val="es-EC"/>
        </w:rPr>
        <w:t>Se seleccionan seis productos para Fase 1, justificados por su perfil de riesgo, margen y comportamiento de flujo de ingresos.</w:t>
      </w:r>
    </w:p>
    <w:p w14:paraId="4C376CEC" w14:textId="77777777" w:rsidR="006F6193" w:rsidRPr="00AE6DB8" w:rsidRDefault="006F6193">
      <w:pPr>
        <w:spacing w:after="80"/>
        <w:rPr>
          <w:lang w:val="es-EC"/>
        </w:rPr>
      </w:pP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000"/>
        <w:gridCol w:w="1399"/>
        <w:gridCol w:w="2600"/>
        <w:gridCol w:w="1401"/>
        <w:gridCol w:w="1960"/>
      </w:tblGrid>
      <w:tr w:rsidR="006F6193" w:rsidRPr="00AE6DB8" w14:paraId="4AB4482E" w14:textId="77777777">
        <w:trPr>
          <w:tblHeader/>
        </w:trPr>
        <w:tc>
          <w:tcPr>
            <w:tcW w:w="20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055A711B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Producto</w:t>
            </w:r>
          </w:p>
        </w:tc>
        <w:tc>
          <w:tcPr>
            <w:tcW w:w="13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79B1C45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Margen</w:t>
            </w:r>
          </w:p>
        </w:tc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33C62BE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Perfil objetivo</w:t>
            </w:r>
          </w:p>
        </w:tc>
        <w:tc>
          <w:tcPr>
            <w:tcW w:w="14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548EFEC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Riesgo</w:t>
            </w:r>
          </w:p>
        </w:tc>
        <w:tc>
          <w:tcPr>
            <w:tcW w:w="19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0CD10B8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Flujo ingreso</w:t>
            </w:r>
          </w:p>
        </w:tc>
      </w:tr>
      <w:tr w:rsidR="006F6193" w:rsidRPr="00AE6DB8" w14:paraId="32A98E24" w14:textId="77777777">
        <w:tc>
          <w:tcPr>
            <w:tcW w:w="20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141FC8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Tarjeta de crédito</w:t>
            </w:r>
          </w:p>
        </w:tc>
        <w:tc>
          <w:tcPr>
            <w:tcW w:w="13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B80BB00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Alto (18–28% EA)</w:t>
            </w:r>
          </w:p>
        </w:tc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492DC8B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Edad 25–50, digital activo, score &gt; 700</w:t>
            </w:r>
          </w:p>
        </w:tc>
        <w:tc>
          <w:tcPr>
            <w:tcW w:w="14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123BB3B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Medio-alto</w:t>
            </w:r>
          </w:p>
        </w:tc>
        <w:tc>
          <w:tcPr>
            <w:tcW w:w="19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2D28E4B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Volátil por uso</w:t>
            </w:r>
          </w:p>
        </w:tc>
      </w:tr>
      <w:tr w:rsidR="006F6193" w:rsidRPr="00AE6DB8" w14:paraId="5EFACF9A" w14:textId="77777777">
        <w:tc>
          <w:tcPr>
            <w:tcW w:w="20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DBECC14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Préstamo personal</w:t>
            </w:r>
          </w:p>
        </w:tc>
        <w:tc>
          <w:tcPr>
            <w:tcW w:w="13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BA7DC4F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Alto (16–24% EA)</w:t>
            </w:r>
          </w:p>
        </w:tc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1BB694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Ingresos estables, sin crédito activo, score &gt; 650</w:t>
            </w:r>
          </w:p>
        </w:tc>
        <w:tc>
          <w:tcPr>
            <w:tcW w:w="14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DC30443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Medio</w:t>
            </w:r>
          </w:p>
        </w:tc>
        <w:tc>
          <w:tcPr>
            <w:tcW w:w="19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D876A03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Estable / plazo fijo</w:t>
            </w:r>
          </w:p>
        </w:tc>
      </w:tr>
      <w:tr w:rsidR="006F6193" w:rsidRPr="00AE6DB8" w14:paraId="261CA8B7" w14:textId="77777777">
        <w:tc>
          <w:tcPr>
            <w:tcW w:w="20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6FB30F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Microcrédito</w:t>
            </w:r>
          </w:p>
        </w:tc>
        <w:tc>
          <w:tcPr>
            <w:tcW w:w="13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D9274C1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Muy alto (28–30% EA)</w:t>
            </w:r>
          </w:p>
        </w:tc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696081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Independiente, depósitos irregulares, score 550–720</w:t>
            </w:r>
          </w:p>
        </w:tc>
        <w:tc>
          <w:tcPr>
            <w:tcW w:w="14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4C0936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Alto</w:t>
            </w:r>
          </w:p>
        </w:tc>
        <w:tc>
          <w:tcPr>
            <w:tcW w:w="19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AE3897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Muy volátil</w:t>
            </w:r>
          </w:p>
        </w:tc>
      </w:tr>
      <w:tr w:rsidR="006F6193" w:rsidRPr="00AE6DB8" w14:paraId="1E5EDACF" w14:textId="77777777">
        <w:tc>
          <w:tcPr>
            <w:tcW w:w="20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4814734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Seguro de vida</w:t>
            </w:r>
          </w:p>
        </w:tc>
        <w:tc>
          <w:tcPr>
            <w:tcW w:w="13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E955DBF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Alto (comisión 15–25%)</w:t>
            </w:r>
          </w:p>
        </w:tc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33A49A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Edad &gt; 30, hijos, crédito hipotecario activo</w:t>
            </w:r>
          </w:p>
        </w:tc>
        <w:tc>
          <w:tcPr>
            <w:tcW w:w="14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E280FF1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Bajo</w:t>
            </w:r>
          </w:p>
        </w:tc>
        <w:tc>
          <w:tcPr>
            <w:tcW w:w="19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1F8519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Estable y renovable</w:t>
            </w:r>
          </w:p>
        </w:tc>
      </w:tr>
      <w:tr w:rsidR="006F6193" w:rsidRPr="00AE6DB8" w14:paraId="44E12E10" w14:textId="77777777">
        <w:tc>
          <w:tcPr>
            <w:tcW w:w="20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7FCFF9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Seguro de salud</w:t>
            </w:r>
          </w:p>
        </w:tc>
        <w:tc>
          <w:tcPr>
            <w:tcW w:w="13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FE5BC6F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Medio-alto</w:t>
            </w:r>
          </w:p>
        </w:tc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B7AEF34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Independiente, gasto en farmacias, hijos</w:t>
            </w:r>
          </w:p>
        </w:tc>
        <w:tc>
          <w:tcPr>
            <w:tcW w:w="14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637618E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Bajo</w:t>
            </w:r>
          </w:p>
        </w:tc>
        <w:tc>
          <w:tcPr>
            <w:tcW w:w="19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5A638E3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Estable y renovable</w:t>
            </w:r>
          </w:p>
        </w:tc>
      </w:tr>
      <w:tr w:rsidR="006F6193" w:rsidRPr="00AE6DB8" w14:paraId="5D8C24DF" w14:textId="77777777">
        <w:tc>
          <w:tcPr>
            <w:tcW w:w="20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DB0EE3D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Inversión básica</w:t>
            </w:r>
          </w:p>
        </w:tc>
        <w:tc>
          <w:tcPr>
            <w:tcW w:w="13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7B04624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Bajo-medio (spread 3–5%)</w:t>
            </w:r>
          </w:p>
        </w:tc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07FC4D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Saldo alto, sin créditos activos, edad &gt; 35</w:t>
            </w:r>
          </w:p>
        </w:tc>
        <w:tc>
          <w:tcPr>
            <w:tcW w:w="14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0AE7BC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Muy bajo</w:t>
            </w:r>
          </w:p>
        </w:tc>
        <w:tc>
          <w:tcPr>
            <w:tcW w:w="19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0CFC38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Estable / plazo fijo</w:t>
            </w:r>
          </w:p>
        </w:tc>
      </w:tr>
    </w:tbl>
    <w:p w14:paraId="646F6643" w14:textId="77777777" w:rsidR="006F6193" w:rsidRPr="00AE6DB8" w:rsidRDefault="006F6193">
      <w:pPr>
        <w:spacing w:after="160"/>
        <w:rPr>
          <w:lang w:val="es-EC"/>
        </w:rPr>
      </w:pPr>
    </w:p>
    <w:p w14:paraId="20B2FDB8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Jerarquía de Portafolio bajo Restricción de Capital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799"/>
        <w:gridCol w:w="3501"/>
        <w:gridCol w:w="3060"/>
      </w:tblGrid>
      <w:tr w:rsidR="006F6193" w:rsidRPr="00AE6DB8" w14:paraId="7B5E1713" w14:textId="77777777">
        <w:trPr>
          <w:tblHeader/>
        </w:trPr>
        <w:tc>
          <w:tcPr>
            <w:tcW w:w="27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0DBC4C7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Escenario</w:t>
            </w:r>
          </w:p>
        </w:tc>
        <w:tc>
          <w:tcPr>
            <w:tcW w:w="35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0BCE5C2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Productos priorizados</w:t>
            </w:r>
          </w:p>
        </w:tc>
        <w:tc>
          <w:tcPr>
            <w:tcW w:w="30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06B225B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Productos restringidos</w:t>
            </w:r>
          </w:p>
        </w:tc>
      </w:tr>
      <w:tr w:rsidR="006F6193" w:rsidRPr="00AE6DB8" w14:paraId="66CC2038" w14:textId="77777777">
        <w:tc>
          <w:tcPr>
            <w:tcW w:w="27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3A8312E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Capital severo (RWA cerca del límite)</w:t>
            </w:r>
          </w:p>
        </w:tc>
        <w:tc>
          <w:tcPr>
            <w:tcW w:w="35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673A68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Seguros + Inversión</w:t>
            </w:r>
          </w:p>
        </w:tc>
        <w:tc>
          <w:tcPr>
            <w:tcW w:w="30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DC8435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Microcrédito primero</w:t>
            </w:r>
          </w:p>
        </w:tc>
      </w:tr>
      <w:tr w:rsidR="006F6193" w:rsidRPr="00AE6DB8" w14:paraId="5FED709E" w14:textId="77777777">
        <w:tc>
          <w:tcPr>
            <w:tcW w:w="27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FFCE65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Expansión económica, capital holgado</w:t>
            </w:r>
          </w:p>
        </w:tc>
        <w:tc>
          <w:tcPr>
            <w:tcW w:w="35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41DD4A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Préstamo + Tarjeta + Micro</w:t>
            </w:r>
          </w:p>
        </w:tc>
        <w:tc>
          <w:tcPr>
            <w:tcW w:w="30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773C8DB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Sin restricción</w:t>
            </w:r>
          </w:p>
        </w:tc>
      </w:tr>
      <w:tr w:rsidR="006F6193" w:rsidRPr="00AE6DB8" w14:paraId="366B88E1" w14:textId="77777777">
        <w:tc>
          <w:tcPr>
            <w:tcW w:w="27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3064F4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Deterioro macro</w:t>
            </w:r>
          </w:p>
        </w:tc>
        <w:tc>
          <w:tcPr>
            <w:tcW w:w="35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41CA75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Seguros + Inversión</w:t>
            </w:r>
          </w:p>
        </w:tc>
        <w:tc>
          <w:tcPr>
            <w:tcW w:w="30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A4BBBAC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Microcrédito suspendido</w:t>
            </w:r>
          </w:p>
        </w:tc>
      </w:tr>
    </w:tbl>
    <w:p w14:paraId="566EFFF2" w14:textId="77777777" w:rsidR="006F6193" w:rsidRPr="00AE6DB8" w:rsidRDefault="006F6193">
      <w:pPr>
        <w:spacing w:after="160"/>
        <w:rPr>
          <w:lang w:val="es-EC"/>
        </w:rPr>
      </w:pPr>
    </w:p>
    <w:p w14:paraId="7B5DC971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Interacciones entre Productos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960"/>
      </w:tblGrid>
      <w:tr w:rsidR="006F6193" w:rsidRPr="00AE6DB8" w14:paraId="7E7ABDFF" w14:textId="77777777">
        <w:trPr>
          <w:tblHeader/>
        </w:trPr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5805EEC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Si el cliente adopta...</w:t>
            </w:r>
          </w:p>
        </w:tc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76A65CDF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Efecto sobre...</w:t>
            </w:r>
          </w:p>
        </w:tc>
        <w:tc>
          <w:tcPr>
            <w:tcW w:w="29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6745DEA1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Dirección</w:t>
            </w:r>
          </w:p>
        </w:tc>
      </w:tr>
      <w:tr w:rsidR="006F6193" w:rsidRPr="00AE6DB8" w14:paraId="6ACCF92D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5D7D4F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Préstamo personal</w:t>
            </w:r>
          </w:p>
        </w:tc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4123FAF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P(inversión básica)</w:t>
            </w:r>
          </w:p>
        </w:tc>
        <w:tc>
          <w:tcPr>
            <w:tcW w:w="29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B21CD4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−35%</w:t>
            </w:r>
          </w:p>
        </w:tc>
      </w:tr>
      <w:tr w:rsidR="006F6193" w:rsidRPr="00AE6DB8" w14:paraId="7F81717F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4803220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Préstamo personal</w:t>
            </w:r>
          </w:p>
        </w:tc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50FDC5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P(seguro de vida)</w:t>
            </w:r>
          </w:p>
        </w:tc>
        <w:tc>
          <w:tcPr>
            <w:tcW w:w="29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C8543A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＋40%</w:t>
            </w:r>
          </w:p>
        </w:tc>
      </w:tr>
      <w:tr w:rsidR="006F6193" w:rsidRPr="00AE6DB8" w14:paraId="21B3156F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3EC23CD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Tarjeta de crédito</w:t>
            </w:r>
          </w:p>
        </w:tc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526435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P(seguro de salud)</w:t>
            </w:r>
          </w:p>
        </w:tc>
        <w:tc>
          <w:tcPr>
            <w:tcW w:w="29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7F15E1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＋25%</w:t>
            </w:r>
          </w:p>
        </w:tc>
      </w:tr>
      <w:tr w:rsidR="006F6193" w:rsidRPr="00AE6DB8" w14:paraId="58380492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E4A19F0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Tarjeta de crédito</w:t>
            </w:r>
          </w:p>
        </w:tc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BD20B7E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P(microcrédito)</w:t>
            </w:r>
          </w:p>
        </w:tc>
        <w:tc>
          <w:tcPr>
            <w:tcW w:w="29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40FABA1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−60%</w:t>
            </w:r>
          </w:p>
        </w:tc>
      </w:tr>
      <w:tr w:rsidR="006F6193" w:rsidRPr="00AE6DB8" w14:paraId="40C8BF10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814410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Seguro de vida</w:t>
            </w:r>
          </w:p>
        </w:tc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C0EE01D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P(seguro de salud)</w:t>
            </w:r>
          </w:p>
        </w:tc>
        <w:tc>
          <w:tcPr>
            <w:tcW w:w="29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1B89214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＋45%</w:t>
            </w:r>
          </w:p>
        </w:tc>
      </w:tr>
      <w:tr w:rsidR="006F6193" w:rsidRPr="00AE6DB8" w14:paraId="5C60EC41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056B2AF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Cancelación de crédito</w:t>
            </w:r>
          </w:p>
        </w:tc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911D6A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P(inversión básica)</w:t>
            </w:r>
          </w:p>
        </w:tc>
        <w:tc>
          <w:tcPr>
            <w:tcW w:w="29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C65119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＋55%</w:t>
            </w:r>
          </w:p>
        </w:tc>
      </w:tr>
    </w:tbl>
    <w:p w14:paraId="0D545302" w14:textId="77777777" w:rsidR="006F6193" w:rsidRPr="00AE6DB8" w:rsidRDefault="006F6193">
      <w:pPr>
        <w:spacing w:after="240"/>
        <w:rPr>
          <w:lang w:val="es-EC"/>
        </w:rPr>
      </w:pPr>
    </w:p>
    <w:p w14:paraId="008C3B9D" w14:textId="16E93C94" w:rsidR="006F6193" w:rsidRPr="00AE6DB8" w:rsidRDefault="00000000" w:rsidP="00AE6DB8">
      <w:pPr>
        <w:rPr>
          <w:lang w:val="es-EC"/>
        </w:rPr>
      </w:pPr>
      <w:r w:rsidRPr="00AE6DB8">
        <w:rPr>
          <w:b/>
          <w:bCs/>
          <w:color w:val="1F3864"/>
          <w:sz w:val="38"/>
          <w:szCs w:val="38"/>
          <w:lang w:val="es-EC"/>
        </w:rPr>
        <w:t>Paso 3 — Arquitectura de Datos</w:t>
      </w:r>
    </w:p>
    <w:p w14:paraId="1ED79BBA" w14:textId="77777777" w:rsidR="006F6193" w:rsidRPr="00AE6DB8" w:rsidRDefault="00000000">
      <w:pPr>
        <w:spacing w:before="60" w:after="120"/>
        <w:rPr>
          <w:lang w:val="es-EC"/>
        </w:rPr>
      </w:pPr>
      <w:r w:rsidRPr="00AE6DB8">
        <w:rPr>
          <w:color w:val="1A1A2E"/>
          <w:lang w:val="es-EC"/>
        </w:rPr>
        <w:t>Las tablas del sistema tienen roles distintos. Un error común es tratarlas como equivalentes cuando tienen naturaleza, frecuencia de actualización y función completamente distintas.</w:t>
      </w:r>
    </w:p>
    <w:p w14:paraId="507DF00F" w14:textId="77777777" w:rsidR="006F6193" w:rsidRPr="00AE6DB8" w:rsidRDefault="006F6193">
      <w:pPr>
        <w:spacing w:after="80"/>
        <w:rPr>
          <w:lang w:val="es-EC"/>
        </w:rPr>
      </w:pP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F6193" w:rsidRPr="00AE6DB8" w14:paraId="291889E8" w14:textId="77777777">
        <w:trPr>
          <w:tblHeader/>
        </w:trPr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0A6F4B5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Rol</w:t>
            </w:r>
          </w:p>
        </w:tc>
        <w:tc>
          <w:tcPr>
            <w:tcW w:w="6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6AAA7A0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Tablas</w:t>
            </w:r>
          </w:p>
        </w:tc>
      </w:tr>
      <w:tr w:rsidR="006F6193" w:rsidRPr="00AE6DB8" w14:paraId="24CDC220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D6F4C91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Tablas maestras (dimensiones)</w:t>
            </w:r>
          </w:p>
        </w:tc>
        <w:tc>
          <w:tcPr>
            <w:tcW w:w="6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1D934DD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CLIENTES, PRODUCTOS</w:t>
            </w:r>
          </w:p>
        </w:tc>
      </w:tr>
      <w:tr w:rsidR="006F6193" w:rsidRPr="00AE6DB8" w14:paraId="581AD1DD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49D162D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Tablas de hechos (eventos en el tiempo)</w:t>
            </w:r>
          </w:p>
        </w:tc>
        <w:tc>
          <w:tcPr>
            <w:tcW w:w="6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96879F1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TRANSACCIONES, OFERTAS</w:t>
            </w:r>
          </w:p>
        </w:tc>
      </w:tr>
      <w:tr w:rsidR="006F6193" w:rsidRPr="00AE6DB8" w14:paraId="0E4711C7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7F1F7C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Tabla derivada (construida por el pipeline)</w:t>
            </w:r>
          </w:p>
        </w:tc>
        <w:tc>
          <w:tcPr>
            <w:tcW w:w="6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8BB8E1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FEATURES — la más importante del sistema</w:t>
            </w:r>
          </w:p>
        </w:tc>
      </w:tr>
    </w:tbl>
    <w:p w14:paraId="5781B7B6" w14:textId="77777777" w:rsidR="006F6193" w:rsidRPr="00AE6DB8" w:rsidRDefault="006F6193">
      <w:pPr>
        <w:spacing w:after="160"/>
        <w:rPr>
          <w:lang w:val="es-EC"/>
        </w:rPr>
      </w:pPr>
    </w:p>
    <w:p w14:paraId="2671B8B4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Tabla CLIENTES</w:t>
      </w:r>
    </w:p>
    <w:p w14:paraId="73C7A755" w14:textId="77777777" w:rsidR="006F6193" w:rsidRPr="00AE6DB8" w:rsidRDefault="00000000">
      <w:pPr>
        <w:pBdr>
          <w:left w:val="single" w:sz="14" w:space="8" w:color="2E75B6"/>
        </w:pBdr>
        <w:shd w:val="clear" w:color="auto" w:fill="F0F4F8"/>
        <w:spacing w:before="120" w:after="120"/>
        <w:ind w:left="560"/>
        <w:rPr>
          <w:lang w:val="es-EC"/>
        </w:rPr>
      </w:pP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id_cliente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 VARCHAR(20)   PK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edad                INTEGER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ingreso_mensual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DECIMAL(12,2)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lastRenderedPageBreak/>
        <w:t>segmento            VARCHAR(20)   Masivo / Preferente / Pyme / Premium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score_crediticio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INTEGER       Score interno (0–1000)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score_buro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 INTEGER       Score bureau externo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antiguedad_meses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INTEGER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estado_civil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VARCHAR(15)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hijos               INTEGER       Número de dependientes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zona_geografica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VARCHAR(30)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canal_principal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VARCHAR(20)   Digital / Sucursal /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Call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center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ocupacion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  VARCHAR(30)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activo              BOOLEAN       TRUE si pasa filtros de universo elegible</w:t>
      </w:r>
    </w:p>
    <w:p w14:paraId="4D6B4ED4" w14:textId="77777777" w:rsidR="006F6193" w:rsidRPr="00AE6DB8" w:rsidRDefault="006F6193">
      <w:pPr>
        <w:spacing w:after="80"/>
        <w:rPr>
          <w:lang w:val="es-EC"/>
        </w:rPr>
      </w:pPr>
    </w:p>
    <w:p w14:paraId="28BC0B09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Tabla PRODUCTOS</w:t>
      </w:r>
    </w:p>
    <w:p w14:paraId="510020F3" w14:textId="77777777" w:rsidR="006F6193" w:rsidRPr="00AE6DB8" w:rsidRDefault="00000000">
      <w:pPr>
        <w:pBdr>
          <w:left w:val="single" w:sz="14" w:space="8" w:color="2E75B6"/>
        </w:pBdr>
        <w:shd w:val="clear" w:color="auto" w:fill="F0F4F8"/>
        <w:spacing w:before="120" w:after="120"/>
        <w:ind w:left="560"/>
        <w:rPr>
          <w:lang w:val="es-EC"/>
        </w:rPr>
      </w:pP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id_producto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VARCHAR(10)   PK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nombre              VARCHAR(50)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categoria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  VARCHAR(20)  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Credito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/ Seguro /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Inversion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margen_bruto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DECIMAL(5,4)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margen_neto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DECIMAL(5,4)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costo_contacto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DECIMAL(8,2</w:t>
      </w:r>
      <w:proofErr w:type="gram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)  USD</w:t>
      </w:r>
      <w:proofErr w:type="gram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por canal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pd_base_esperada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DECIMAL(5,4)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lgd_estimada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DECIMAL(5,4)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consume_rwa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BOOLEAN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factor_rwa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 DECIMAL(5,4)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flujo_tipo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 VARCHAR(20)   Estable /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Volatil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/ Renovable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activo              BOOLEAN</w:t>
      </w:r>
    </w:p>
    <w:p w14:paraId="0CFCEB76" w14:textId="77777777" w:rsidR="006F6193" w:rsidRPr="00AE6DB8" w:rsidRDefault="006F6193">
      <w:pPr>
        <w:spacing w:after="80"/>
        <w:rPr>
          <w:lang w:val="es-EC"/>
        </w:rPr>
      </w:pPr>
    </w:p>
    <w:p w14:paraId="5DE1D7E5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Tabla TRANSACCIONES</w:t>
      </w:r>
    </w:p>
    <w:p w14:paraId="3C2457B7" w14:textId="77777777" w:rsidR="006F6193" w:rsidRPr="00AE6DB8" w:rsidRDefault="00000000">
      <w:pPr>
        <w:pBdr>
          <w:left w:val="single" w:sz="14" w:space="8" w:color="2E75B6"/>
        </w:pBdr>
        <w:shd w:val="clear" w:color="auto" w:fill="F0F4F8"/>
        <w:spacing w:before="120" w:after="120"/>
        <w:ind w:left="560"/>
        <w:rPr>
          <w:lang w:val="es-EC"/>
        </w:rPr>
      </w:pP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id_transaccion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VARCHAR(30)   PK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id_cliente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 VARCHAR(20)   FK → CLIENTES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fecha               DATE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monto               DECIMAL(12,2) Positivo=ingreso / Negativo=egreso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tipo                VARCHAR(30)   Deposito / Retiro / Compra / Transferencia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canal               VARCHAR(20)   App / Web / Cajero / Ventanilla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comercio            VARCHAR(50)   Categoría MCC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fecha_carga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TIMESTAMP     Para control de corte temporal (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anti-leakage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)</w:t>
      </w:r>
    </w:p>
    <w:p w14:paraId="5945D40E" w14:textId="77777777" w:rsidR="006F6193" w:rsidRPr="00AE6DB8" w:rsidRDefault="006F6193">
      <w:pPr>
        <w:spacing w:after="80"/>
        <w:rPr>
          <w:lang w:val="es-EC"/>
        </w:rPr>
      </w:pPr>
    </w:p>
    <w:p w14:paraId="66E50F59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Tabla OFERTAS</w:t>
      </w:r>
    </w:p>
    <w:p w14:paraId="7C8AC99B" w14:textId="77777777" w:rsidR="006F6193" w:rsidRPr="00AE6DB8" w:rsidRDefault="00000000">
      <w:pPr>
        <w:pBdr>
          <w:left w:val="single" w:sz="14" w:space="8" w:color="2E75B6"/>
        </w:pBdr>
        <w:shd w:val="clear" w:color="auto" w:fill="F0F4F8"/>
        <w:spacing w:before="120" w:after="120"/>
        <w:ind w:left="560"/>
        <w:rPr>
          <w:lang w:val="es-EC"/>
        </w:rPr>
      </w:pP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id_oferta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  VARCHAR(30)   PK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id_cliente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 VARCHAR(20)   FK → CLIENTES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id_producto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VARCHAR(10)   FK → PRODUCTOS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fecha_oferta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DATE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score_propension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DECIMAL(6,5)  Probabilidad en el momento de la oferta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version_modelo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VARCHAR(20)   Trazabilidad regulatoria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grupo               VARCHAR(15)   Tratamiento / Control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acepto              INTEGER       1=sí / 0=no / NULL=sin respuesta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convirtio_30d       INTEGER       Variable objetivo — se actualiza 30 días después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ingreso_real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DECIMAL(10,2) Calculado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post-conversión</w:t>
      </w:r>
      <w:proofErr w:type="spellEnd"/>
    </w:p>
    <w:p w14:paraId="73653E4F" w14:textId="77777777" w:rsidR="006F6193" w:rsidRPr="00AE6DB8" w:rsidRDefault="006F6193">
      <w:pPr>
        <w:spacing w:after="80"/>
        <w:rPr>
          <w:lang w:val="es-EC"/>
        </w:rPr>
      </w:pPr>
    </w:p>
    <w:p w14:paraId="0E145869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lastRenderedPageBreak/>
        <w:t>Tabla FEATURES (Derivada — La Más Importante)</w:t>
      </w:r>
    </w:p>
    <w:p w14:paraId="3D90636D" w14:textId="77777777" w:rsidR="006F6193" w:rsidRPr="00AE6DB8" w:rsidRDefault="00000000">
      <w:pPr>
        <w:spacing w:before="60" w:after="120"/>
        <w:rPr>
          <w:lang w:val="es-EC"/>
        </w:rPr>
      </w:pPr>
      <w:r w:rsidRPr="00AE6DB8">
        <w:rPr>
          <w:color w:val="1A1A2E"/>
          <w:lang w:val="es-EC"/>
        </w:rPr>
        <w:t xml:space="preserve">No existe en los sistemas </w:t>
      </w:r>
      <w:proofErr w:type="spellStart"/>
      <w:r w:rsidRPr="00AE6DB8">
        <w:rPr>
          <w:color w:val="1A1A2E"/>
          <w:lang w:val="es-EC"/>
        </w:rPr>
        <w:t>core</w:t>
      </w:r>
      <w:proofErr w:type="spellEnd"/>
      <w:r w:rsidRPr="00AE6DB8">
        <w:rPr>
          <w:color w:val="1A1A2E"/>
          <w:lang w:val="es-EC"/>
        </w:rPr>
        <w:t>. La construye el pipeline semanalmente. Es el único input del modelo.</w:t>
      </w:r>
    </w:p>
    <w:p w14:paraId="674317AC" w14:textId="77777777" w:rsidR="006F6193" w:rsidRPr="00AE6DB8" w:rsidRDefault="006F6193">
      <w:pPr>
        <w:spacing w:after="80"/>
        <w:rPr>
          <w:lang w:val="es-EC"/>
        </w:rPr>
      </w:pPr>
    </w:p>
    <w:p w14:paraId="13F021D7" w14:textId="77777777" w:rsidR="006F6193" w:rsidRPr="00AE6DB8" w:rsidRDefault="00000000">
      <w:pPr>
        <w:pBdr>
          <w:left w:val="single" w:sz="14" w:space="8" w:color="2E75B6"/>
        </w:pBdr>
        <w:shd w:val="clear" w:color="auto" w:fill="F0F4F8"/>
        <w:spacing w:before="120" w:after="120"/>
        <w:ind w:left="560"/>
        <w:rPr>
          <w:lang w:val="es-EC"/>
        </w:rPr>
      </w:pP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id_cliente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     VARCHAR(20)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fecha_corte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    DATE          Corte temporal — ninguna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feature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puede cruzarlo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version_features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VARCHAR(20)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-- Comportamiento transaccional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gasto_3m               DECIMAL(12,2)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gasto_1m               DECIMAL(12,2)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variacion_gasto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DECIMAL(8,4)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saldo_promedio_90d      DECIMAL(12,2)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saldo_tendencia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DECIMAL(8,4)  Pendiente de regresión lineal del saldo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-- Comportamiento por categoría MCC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gasto_supermercado_3m   DECIMAL(10,2)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gasto_farmacia_3m       DECIMAL(10,2) Predictor seguro salud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depositos_efectivo_3m   DECIMAL(10,2) Predictor microcrédito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tx_digitales_proporcion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DECIMAL(5,4)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-- Riesgo y capacidad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ratio_cuota_ingreso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DECIMAL(5,4)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score_velocity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 DECIMAL(8,4)  Velocidad de cambio del score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dias_desde_ult_credito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INTEGER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-- Macro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indice_estres_macro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DECIMAL(5,4)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estres_x_riesgo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     DECIMAL(5,4) 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indice_estres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× (1 − score/1000)</w:t>
      </w:r>
    </w:p>
    <w:p w14:paraId="7E4EEE59" w14:textId="77777777" w:rsidR="006F6193" w:rsidRPr="00AE6DB8" w:rsidRDefault="006F6193">
      <w:pPr>
        <w:spacing w:after="240"/>
        <w:rPr>
          <w:lang w:val="es-EC"/>
        </w:rPr>
      </w:pPr>
    </w:p>
    <w:p w14:paraId="5ED80484" w14:textId="1557C36D" w:rsidR="006F6193" w:rsidRPr="00AE6DB8" w:rsidRDefault="00000000" w:rsidP="00AE6DB8">
      <w:pPr>
        <w:rPr>
          <w:lang w:val="es-EC"/>
        </w:rPr>
      </w:pPr>
      <w:r w:rsidRPr="00AE6DB8">
        <w:rPr>
          <w:b/>
          <w:bCs/>
          <w:color w:val="1F3864"/>
          <w:sz w:val="38"/>
          <w:szCs w:val="38"/>
          <w:lang w:val="es-EC"/>
        </w:rPr>
        <w:t>Paso 4 — Modelo Generativo Conceptual (DAG Causal)</w:t>
      </w:r>
    </w:p>
    <w:p w14:paraId="20322DFF" w14:textId="77777777" w:rsidR="006F6193" w:rsidRPr="00AE6DB8" w:rsidRDefault="00000000">
      <w:pPr>
        <w:spacing w:before="60" w:after="120"/>
        <w:rPr>
          <w:lang w:val="es-EC"/>
        </w:rPr>
      </w:pPr>
      <w:r w:rsidRPr="00AE6DB8">
        <w:rPr>
          <w:color w:val="1A1A2E"/>
          <w:lang w:val="es-EC"/>
        </w:rPr>
        <w:t xml:space="preserve">Define qué variable causa qué, en qué dirección y con qué lógica. Es la base para generar datos sintéticos con estructura real y para validar que el </w:t>
      </w:r>
      <w:proofErr w:type="spellStart"/>
      <w:r w:rsidRPr="00AE6DB8">
        <w:rPr>
          <w:color w:val="1A1A2E"/>
          <w:lang w:val="es-EC"/>
        </w:rPr>
        <w:t>feature</w:t>
      </w:r>
      <w:proofErr w:type="spellEnd"/>
      <w:r w:rsidRPr="00AE6DB8">
        <w:rPr>
          <w:color w:val="1A1A2E"/>
          <w:lang w:val="es-EC"/>
        </w:rPr>
        <w:t xml:space="preserve"> </w:t>
      </w:r>
      <w:proofErr w:type="spellStart"/>
      <w:r w:rsidRPr="00AE6DB8">
        <w:rPr>
          <w:color w:val="1A1A2E"/>
          <w:lang w:val="es-EC"/>
        </w:rPr>
        <w:t>engineering</w:t>
      </w:r>
      <w:proofErr w:type="spellEnd"/>
      <w:r w:rsidRPr="00AE6DB8">
        <w:rPr>
          <w:color w:val="1A1A2E"/>
          <w:lang w:val="es-EC"/>
        </w:rPr>
        <w:t xml:space="preserve"> sea causalmente coherente.</w:t>
      </w:r>
    </w:p>
    <w:p w14:paraId="401B54A5" w14:textId="77777777" w:rsidR="006F6193" w:rsidRPr="00AE6DB8" w:rsidRDefault="006F6193">
      <w:pPr>
        <w:spacing w:after="80"/>
        <w:rPr>
          <w:lang w:val="es-EC"/>
        </w:rPr>
      </w:pPr>
    </w:p>
    <w:p w14:paraId="738B22F1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Nivel 1 — Variables Raíz</w:t>
      </w:r>
    </w:p>
    <w:p w14:paraId="3BC8720F" w14:textId="77777777" w:rsidR="006F6193" w:rsidRPr="00AE6DB8" w:rsidRDefault="00000000">
      <w:pPr>
        <w:spacing w:before="60" w:after="120"/>
        <w:rPr>
          <w:lang w:val="es-EC"/>
        </w:rPr>
      </w:pPr>
      <w:r w:rsidRPr="00AE6DB8">
        <w:rPr>
          <w:color w:val="1A1A2E"/>
          <w:lang w:val="es-EC"/>
        </w:rPr>
        <w:t>No dependen de nada dentro del sistema. Son condiciones de entrada.</w:t>
      </w:r>
    </w:p>
    <w:p w14:paraId="13CC82B1" w14:textId="77777777" w:rsidR="006F6193" w:rsidRPr="00AE6DB8" w:rsidRDefault="00000000">
      <w:pPr>
        <w:pBdr>
          <w:left w:val="single" w:sz="14" w:space="8" w:color="2E75B6"/>
        </w:pBdr>
        <w:shd w:val="clear" w:color="auto" w:fill="F0F4F8"/>
        <w:spacing w:before="120" w:after="120"/>
        <w:ind w:left="560"/>
        <w:rPr>
          <w:lang w:val="es-EC"/>
        </w:rPr>
      </w:pP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segmento, edad,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zona_geografica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,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ocupacion</w:t>
      </w:r>
      <w:proofErr w:type="spellEnd"/>
    </w:p>
    <w:p w14:paraId="27BE8097" w14:textId="77777777" w:rsidR="006F6193" w:rsidRPr="00AE6DB8" w:rsidRDefault="006F6193">
      <w:pPr>
        <w:spacing w:after="80"/>
        <w:rPr>
          <w:lang w:val="es-EC"/>
        </w:rPr>
      </w:pPr>
    </w:p>
    <w:p w14:paraId="5257F4D9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Nivel 2 — Variables Determinadas por Raíces</w:t>
      </w:r>
    </w:p>
    <w:p w14:paraId="13591A6D" w14:textId="77777777" w:rsidR="006F6193" w:rsidRPr="00AE6DB8" w:rsidRDefault="00000000">
      <w:pPr>
        <w:pBdr>
          <w:left w:val="single" w:sz="14" w:space="8" w:color="2E75B6"/>
        </w:pBdr>
        <w:shd w:val="clear" w:color="auto" w:fill="F0F4F8"/>
        <w:spacing w:before="120" w:after="120"/>
        <w:ind w:left="560"/>
        <w:rPr>
          <w:lang w:val="es-EC"/>
        </w:rPr>
      </w:pP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segmento           ──►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ingreso_mensual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edad + casado      ──► hijos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zona_geografica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  ──►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canal_principal</w:t>
      </w:r>
      <w:proofErr w:type="spellEnd"/>
    </w:p>
    <w:p w14:paraId="5C578929" w14:textId="77777777" w:rsidR="006F6193" w:rsidRPr="00AE6DB8" w:rsidRDefault="006F6193">
      <w:pPr>
        <w:spacing w:after="80"/>
        <w:rPr>
          <w:lang w:val="es-EC"/>
        </w:rPr>
      </w:pPr>
    </w:p>
    <w:p w14:paraId="2535C143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lastRenderedPageBreak/>
        <w:t>Nivel 3 — Score Crediticio</w:t>
      </w:r>
    </w:p>
    <w:p w14:paraId="1A43F93D" w14:textId="77777777" w:rsidR="006F6193" w:rsidRPr="00AE6DB8" w:rsidRDefault="00000000">
      <w:pPr>
        <w:pBdr>
          <w:left w:val="single" w:sz="14" w:space="8" w:color="2E75B6"/>
        </w:pBdr>
        <w:shd w:val="clear" w:color="auto" w:fill="F0F4F8"/>
        <w:spacing w:before="120" w:after="120"/>
        <w:ind w:left="560"/>
        <w:rPr>
          <w:lang w:val="es-EC"/>
        </w:rPr>
      </w:pP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ingreso +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antiguedad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+ atrasos + </w:t>
      </w:r>
      <w:proofErr w:type="gram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deuda  ─</w:t>
      </w:r>
      <w:proofErr w:type="gram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─►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score_crediticio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&lt; 550   → No elegible para productos crediticios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550–700 → Elegible microcrédito / préstamo con condiciones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700–800 → Elegible tarjeta / préstamo estándar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&gt; 800   → Elegible todos los productos</w:t>
      </w:r>
    </w:p>
    <w:p w14:paraId="3CBD6118" w14:textId="77777777" w:rsidR="006F6193" w:rsidRPr="00AE6DB8" w:rsidRDefault="006F6193">
      <w:pPr>
        <w:spacing w:after="80"/>
        <w:rPr>
          <w:lang w:val="es-EC"/>
        </w:rPr>
      </w:pPr>
    </w:p>
    <w:tbl>
      <w:tblPr>
        <w:tblW w:w="936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6F6193" w:rsidRPr="00AE6DB8" w14:paraId="3DBDFC01" w14:textId="77777777">
        <w:tc>
          <w:tcPr>
            <w:tcW w:w="9360" w:type="dxa"/>
            <w:shd w:val="clear" w:color="auto" w:fill="FFF2CC"/>
          </w:tcPr>
          <w:p w14:paraId="4842979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7F6000"/>
                <w:lang w:val="es-EC"/>
              </w:rPr>
              <w:t xml:space="preserve">DIRECCIÓN CAUSAL: </w:t>
            </w:r>
            <w:r w:rsidRPr="00AE6DB8">
              <w:rPr>
                <w:color w:val="7F6000"/>
                <w:lang w:val="es-EC"/>
              </w:rPr>
              <w:t xml:space="preserve">El score no causa el ingreso. El ingreso causa el score. Esta dirección importa al construir </w:t>
            </w:r>
            <w:proofErr w:type="spellStart"/>
            <w:r w:rsidRPr="00AE6DB8">
              <w:rPr>
                <w:color w:val="7F6000"/>
                <w:lang w:val="es-EC"/>
              </w:rPr>
              <w:t>features</w:t>
            </w:r>
            <w:proofErr w:type="spellEnd"/>
            <w:r w:rsidRPr="00AE6DB8">
              <w:rPr>
                <w:color w:val="7F6000"/>
                <w:lang w:val="es-EC"/>
              </w:rPr>
              <w:t>.</w:t>
            </w:r>
          </w:p>
        </w:tc>
      </w:tr>
    </w:tbl>
    <w:p w14:paraId="3C799A24" w14:textId="77777777" w:rsidR="006F6193" w:rsidRPr="00AE6DB8" w:rsidRDefault="006F6193">
      <w:pPr>
        <w:spacing w:after="80"/>
        <w:rPr>
          <w:lang w:val="es-EC"/>
        </w:rPr>
      </w:pPr>
    </w:p>
    <w:p w14:paraId="201B2083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Nivel 4 — Propensión por Producto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799"/>
        <w:gridCol w:w="4001"/>
        <w:gridCol w:w="3560"/>
      </w:tblGrid>
      <w:tr w:rsidR="006F6193" w:rsidRPr="00AE6DB8" w14:paraId="367D8DBF" w14:textId="77777777">
        <w:trPr>
          <w:tblHeader/>
        </w:trPr>
        <w:tc>
          <w:tcPr>
            <w:tcW w:w="17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4BBAF55D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Producto</w:t>
            </w:r>
          </w:p>
        </w:tc>
        <w:tc>
          <w:tcPr>
            <w:tcW w:w="40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5E63DE54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Señales que aumentan propensión</w:t>
            </w:r>
          </w:p>
        </w:tc>
        <w:tc>
          <w:tcPr>
            <w:tcW w:w="35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38552BC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Señales que reducen propensión</w:t>
            </w:r>
          </w:p>
        </w:tc>
      </w:tr>
      <w:tr w:rsidR="006F6193" w:rsidRPr="00AE6DB8" w14:paraId="2FA53A7E" w14:textId="77777777">
        <w:tc>
          <w:tcPr>
            <w:tcW w:w="17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9B3960E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Tarjeta</w:t>
            </w:r>
          </w:p>
        </w:tc>
        <w:tc>
          <w:tcPr>
            <w:tcW w:w="40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9905D5E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Score &gt; 700, digital activo, gasto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retail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alto</w:t>
            </w:r>
          </w:p>
        </w:tc>
        <w:tc>
          <w:tcPr>
            <w:tcW w:w="35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25AC78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Ratio deuda &gt; 0.35, atraso histórico</w:t>
            </w:r>
          </w:p>
        </w:tc>
      </w:tr>
      <w:tr w:rsidR="006F6193" w:rsidRPr="00AE6DB8" w14:paraId="41AD76D2" w14:textId="77777777">
        <w:tc>
          <w:tcPr>
            <w:tcW w:w="17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0C1D34E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Préstamo</w:t>
            </w:r>
          </w:p>
        </w:tc>
        <w:tc>
          <w:tcPr>
            <w:tcW w:w="40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6D447E1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Saldo tendencia positiva, sin crédito activo</w:t>
            </w:r>
          </w:p>
        </w:tc>
        <w:tc>
          <w:tcPr>
            <w:tcW w:w="35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8D655FC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Ratio deuda &gt; 0.40, crédito reciente</w:t>
            </w:r>
          </w:p>
        </w:tc>
      </w:tr>
      <w:tr w:rsidR="006F6193" w:rsidRPr="00AE6DB8" w14:paraId="353D5A41" w14:textId="77777777">
        <w:tc>
          <w:tcPr>
            <w:tcW w:w="17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6B41AB3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Microcrédito</w:t>
            </w:r>
          </w:p>
        </w:tc>
        <w:tc>
          <w:tcPr>
            <w:tcW w:w="40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67118A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Variabilidad saldo alta, depósitos efectivo frecuentes</w:t>
            </w:r>
          </w:p>
        </w:tc>
        <w:tc>
          <w:tcPr>
            <w:tcW w:w="35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BCB670E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Score &gt; 800, ingreso fijo alto</w:t>
            </w:r>
          </w:p>
        </w:tc>
      </w:tr>
      <w:tr w:rsidR="006F6193" w:rsidRPr="00AE6DB8" w14:paraId="6F8F1F1A" w14:textId="77777777">
        <w:tc>
          <w:tcPr>
            <w:tcW w:w="17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DBC451C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Seguro vida</w:t>
            </w:r>
          </w:p>
        </w:tc>
        <w:tc>
          <w:tcPr>
            <w:tcW w:w="40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AB40051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Edad 30–55, hijos &gt; 0, crédito hipotecario activo</w:t>
            </w:r>
          </w:p>
        </w:tc>
        <w:tc>
          <w:tcPr>
            <w:tcW w:w="35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67CDF4B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Sin dependientes, edad &lt; 28</w:t>
            </w:r>
          </w:p>
        </w:tc>
      </w:tr>
      <w:tr w:rsidR="006F6193" w:rsidRPr="00AE6DB8" w14:paraId="4FC63C46" w14:textId="77777777">
        <w:tc>
          <w:tcPr>
            <w:tcW w:w="17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0A926FF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Seguro salud</w:t>
            </w:r>
          </w:p>
        </w:tc>
        <w:tc>
          <w:tcPr>
            <w:tcW w:w="40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449FCE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Gasto farmacias alto, ocupación independiente</w:t>
            </w:r>
          </w:p>
        </w:tc>
        <w:tc>
          <w:tcPr>
            <w:tcW w:w="35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577CB7D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Empleado empresa grande con cobertura</w:t>
            </w:r>
          </w:p>
        </w:tc>
      </w:tr>
      <w:tr w:rsidR="006F6193" w:rsidRPr="00AE6DB8" w14:paraId="6C17B7DF" w14:textId="77777777">
        <w:tc>
          <w:tcPr>
            <w:tcW w:w="17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303164F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Inversión</w:t>
            </w:r>
          </w:p>
        </w:tc>
        <w:tc>
          <w:tcPr>
            <w:tcW w:w="40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87B961D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Saldo &gt; percentil 70, crédito recién cancelado</w:t>
            </w:r>
          </w:p>
        </w:tc>
        <w:tc>
          <w:tcPr>
            <w:tcW w:w="35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83A9FF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Saldo bajo, variabilidad alta</w:t>
            </w:r>
          </w:p>
        </w:tc>
      </w:tr>
    </w:tbl>
    <w:p w14:paraId="64F5CA7D" w14:textId="77777777" w:rsidR="006F6193" w:rsidRPr="00AE6DB8" w:rsidRDefault="006F6193">
      <w:pPr>
        <w:spacing w:after="160"/>
        <w:rPr>
          <w:lang w:val="es-EC"/>
        </w:rPr>
      </w:pPr>
    </w:p>
    <w:p w14:paraId="44660D94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Extensión A — Choque Macroeconómico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399"/>
        <w:gridCol w:w="4200"/>
        <w:gridCol w:w="2761"/>
      </w:tblGrid>
      <w:tr w:rsidR="006F6193" w:rsidRPr="00AE6DB8" w14:paraId="3D489DE9" w14:textId="77777777">
        <w:trPr>
          <w:tblHeader/>
        </w:trPr>
        <w:tc>
          <w:tcPr>
            <w:tcW w:w="23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1A23BD63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Shock</w:t>
            </w:r>
          </w:p>
        </w:tc>
        <w:tc>
          <w:tcPr>
            <w:tcW w:w="4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6825318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Efecto en el DAG</w:t>
            </w:r>
          </w:p>
        </w:tc>
        <w:tc>
          <w:tcPr>
            <w:tcW w:w="276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75EA6C4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Producto más afectado</w:t>
            </w:r>
          </w:p>
        </w:tc>
      </w:tr>
      <w:tr w:rsidR="006F6193" w:rsidRPr="00AE6DB8" w14:paraId="0F7913B5" w14:textId="77777777">
        <w:tc>
          <w:tcPr>
            <w:tcW w:w="23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5DEBD73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Desempleo +3pp</w:t>
            </w:r>
          </w:p>
        </w:tc>
        <w:tc>
          <w:tcPr>
            <w:tcW w:w="4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D16BB64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Ingreso cae, variabilidad sube, PD real sube</w:t>
            </w:r>
          </w:p>
        </w:tc>
        <w:tc>
          <w:tcPr>
            <w:tcW w:w="276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C1FEAA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Microcrédito y préstamo personal</w:t>
            </w:r>
          </w:p>
        </w:tc>
      </w:tr>
      <w:tr w:rsidR="006F6193" w:rsidRPr="00AE6DB8" w14:paraId="18269668" w14:textId="77777777">
        <w:tc>
          <w:tcPr>
            <w:tcW w:w="23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2F5CBD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Inflación sostenida</w:t>
            </w:r>
          </w:p>
        </w:tc>
        <w:tc>
          <w:tcPr>
            <w:tcW w:w="4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A99BCB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P(tarjeta) sube artificialmente mientras PD sube</w:t>
            </w:r>
          </w:p>
        </w:tc>
        <w:tc>
          <w:tcPr>
            <w:tcW w:w="276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6E9888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Tarjeta de crédito — riesgo oculto</w:t>
            </w:r>
          </w:p>
        </w:tc>
      </w:tr>
      <w:tr w:rsidR="006F6193" w:rsidRPr="00AE6DB8" w14:paraId="5474662D" w14:textId="77777777">
        <w:tc>
          <w:tcPr>
            <w:tcW w:w="23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B64C99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Restricción liquidez</w:t>
            </w:r>
          </w:p>
        </w:tc>
        <w:tc>
          <w:tcPr>
            <w:tcW w:w="4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4961CA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Límite RWA se vuelve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binding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más rápido</w:t>
            </w:r>
          </w:p>
        </w:tc>
        <w:tc>
          <w:tcPr>
            <w:tcW w:w="276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DD58C4F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Todos los productos crediticios</w:t>
            </w:r>
          </w:p>
        </w:tc>
      </w:tr>
    </w:tbl>
    <w:p w14:paraId="10809E06" w14:textId="77777777" w:rsidR="006F6193" w:rsidRPr="00AE6DB8" w:rsidRDefault="006F6193">
      <w:pPr>
        <w:spacing w:after="80"/>
        <w:rPr>
          <w:lang w:val="es-EC"/>
        </w:rPr>
      </w:pPr>
    </w:p>
    <w:tbl>
      <w:tblPr>
        <w:tblW w:w="936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6F6193" w:rsidRPr="00AE6DB8" w14:paraId="3F5D627B" w14:textId="77777777">
        <w:tc>
          <w:tcPr>
            <w:tcW w:w="9360" w:type="dxa"/>
            <w:shd w:val="clear" w:color="auto" w:fill="FCE4D6"/>
          </w:tcPr>
          <w:p w14:paraId="313AFF3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C00000"/>
                <w:lang w:val="es-EC"/>
              </w:rPr>
              <w:t xml:space="preserve">ESCENARIO MÁS PELIGROSO: </w:t>
            </w:r>
            <w:r w:rsidRPr="00AE6DB8">
              <w:rPr>
                <w:color w:val="C00000"/>
                <w:lang w:val="es-EC"/>
              </w:rPr>
              <w:t>Inflación: el score de propensión sube mientras el riesgo real también sube. El sistema puede originar agresivamente sobre un entorno que ya no soporta las probabilidades calibradas.</w:t>
            </w:r>
          </w:p>
        </w:tc>
      </w:tr>
    </w:tbl>
    <w:p w14:paraId="7C97D46F" w14:textId="77777777" w:rsidR="006F6193" w:rsidRPr="00AE6DB8" w:rsidRDefault="006F6193">
      <w:pPr>
        <w:spacing w:after="160"/>
        <w:rPr>
          <w:lang w:val="es-EC"/>
        </w:rPr>
      </w:pPr>
    </w:p>
    <w:p w14:paraId="67BD98AA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Extensión B — Comportamiento Estratégico del Cliente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399"/>
        <w:gridCol w:w="3600"/>
        <w:gridCol w:w="3361"/>
      </w:tblGrid>
      <w:tr w:rsidR="006F6193" w:rsidRPr="00AE6DB8" w14:paraId="18EC50DF" w14:textId="77777777">
        <w:trPr>
          <w:tblHeader/>
        </w:trPr>
        <w:tc>
          <w:tcPr>
            <w:tcW w:w="23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6F9692C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Patrón</w:t>
            </w:r>
          </w:p>
        </w:tc>
        <w:tc>
          <w:tcPr>
            <w:tcW w:w="3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7E8A31D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Comportamiento observable</w:t>
            </w:r>
          </w:p>
        </w:tc>
        <w:tc>
          <w:tcPr>
            <w:tcW w:w="336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16A6D2A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Efecto en el modelo</w:t>
            </w:r>
          </w:p>
        </w:tc>
      </w:tr>
      <w:tr w:rsidR="006F6193" w:rsidRPr="00AE6DB8" w14:paraId="012C0DC3" w14:textId="77777777">
        <w:tc>
          <w:tcPr>
            <w:tcW w:w="23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CE74CAF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Construcción de score</w:t>
            </w:r>
          </w:p>
        </w:tc>
        <w:tc>
          <w:tcPr>
            <w:tcW w:w="3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075AEF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Acepta tarjeta, paga saldo total, no genera margen</w:t>
            </w:r>
          </w:p>
        </w:tc>
        <w:tc>
          <w:tcPr>
            <w:tcW w:w="336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DC607F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RAROC real &lt; RAROC proyectado</w:t>
            </w:r>
          </w:p>
        </w:tc>
      </w:tr>
      <w:tr w:rsidR="006F6193" w:rsidRPr="00AE6DB8" w14:paraId="1F2604C9" w14:textId="77777777">
        <w:tc>
          <w:tcPr>
            <w:tcW w:w="23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218977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Anticipación de deterioro</w:t>
            </w:r>
          </w:p>
        </w:tc>
        <w:tc>
          <w:tcPr>
            <w:tcW w:w="3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4771E0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Solicita crédito cuando saldo </w:t>
            </w:r>
            <w:proofErr w:type="gramStart"/>
            <w:r w:rsidRPr="00AE6DB8">
              <w:rPr>
                <w:color w:val="1A1A2E"/>
                <w:sz w:val="20"/>
                <w:szCs w:val="20"/>
                <w:lang w:val="es-EC"/>
              </w:rPr>
              <w:t>cae</w:t>
            </w:r>
            <w:proofErr w:type="gram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pero ingreso estable</w:t>
            </w:r>
          </w:p>
        </w:tc>
        <w:tc>
          <w:tcPr>
            <w:tcW w:w="336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8C7AC3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PD real &gt; PD estimada por score</w:t>
            </w:r>
          </w:p>
        </w:tc>
      </w:tr>
      <w:tr w:rsidR="006F6193" w:rsidRPr="00AE6DB8" w14:paraId="40BF1823" w14:textId="77777777">
        <w:tc>
          <w:tcPr>
            <w:tcW w:w="23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09247FF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Rotación de deuda</w:t>
            </w:r>
          </w:p>
        </w:tc>
        <w:tc>
          <w:tcPr>
            <w:tcW w:w="3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6E0C53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Pago interbancario alto días después del desembolso</w:t>
            </w:r>
          </w:p>
        </w:tc>
        <w:tc>
          <w:tcPr>
            <w:tcW w:w="336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7FAEF6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Capacidad de pago no mejoró</w:t>
            </w:r>
          </w:p>
        </w:tc>
      </w:tr>
    </w:tbl>
    <w:p w14:paraId="7E0DC8C2" w14:textId="77777777" w:rsidR="006F6193" w:rsidRPr="00AE6DB8" w:rsidRDefault="006F6193">
      <w:pPr>
        <w:spacing w:after="160"/>
        <w:rPr>
          <w:lang w:val="es-EC"/>
        </w:rPr>
      </w:pPr>
    </w:p>
    <w:p w14:paraId="71DBB6B4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Extensión C — Selección Adversa Dinámica</w:t>
      </w:r>
    </w:p>
    <w:p w14:paraId="14FD1DE4" w14:textId="77777777" w:rsidR="006F6193" w:rsidRPr="00AE6DB8" w:rsidRDefault="00000000">
      <w:pPr>
        <w:spacing w:before="60" w:after="120"/>
        <w:rPr>
          <w:lang w:val="es-EC"/>
        </w:rPr>
      </w:pPr>
      <w:r w:rsidRPr="00AE6DB8">
        <w:rPr>
          <w:color w:val="1A1A2E"/>
          <w:lang w:val="es-EC"/>
        </w:rPr>
        <w:t xml:space="preserve">Las decisiones del banco cambian la composición del portafolio, que cambia la distribución de riesgo, que invalida los parámetros con los que se tomaron las decisiones originales. Es un </w:t>
      </w:r>
      <w:proofErr w:type="spellStart"/>
      <w:r w:rsidRPr="00AE6DB8">
        <w:rPr>
          <w:color w:val="1A1A2E"/>
          <w:lang w:val="es-EC"/>
        </w:rPr>
        <w:t>loop</w:t>
      </w:r>
      <w:proofErr w:type="spellEnd"/>
      <w:r w:rsidRPr="00AE6DB8">
        <w:rPr>
          <w:color w:val="1A1A2E"/>
          <w:lang w:val="es-EC"/>
        </w:rPr>
        <w:t xml:space="preserve"> de retroalimentación.</w:t>
      </w:r>
    </w:p>
    <w:p w14:paraId="4D70691A" w14:textId="77777777" w:rsidR="006F6193" w:rsidRPr="00AE6DB8" w:rsidRDefault="006F6193">
      <w:pPr>
        <w:spacing w:after="80"/>
        <w:rPr>
          <w:lang w:val="es-EC"/>
        </w:rPr>
      </w:pPr>
    </w:p>
    <w:p w14:paraId="6C7CE9E7" w14:textId="77777777" w:rsidR="006F6193" w:rsidRPr="00AE6DB8" w:rsidRDefault="00000000">
      <w:pPr>
        <w:pBdr>
          <w:left w:val="single" w:sz="14" w:space="8" w:color="2E75B6"/>
        </w:pBdr>
        <w:shd w:val="clear" w:color="auto" w:fill="F0F4F8"/>
        <w:spacing w:before="120" w:after="120"/>
        <w:ind w:left="560"/>
        <w:rPr>
          <w:lang w:val="es-EC"/>
        </w:rPr>
      </w:pP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umbral_score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cae de 700 a 650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  ──► segmento 650–700 entra al portafolio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  ──► PD promedio portafolio sube de 4% a 6.5%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  ──► modelo calibrado con PD=4% produce RAROC inflado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  ──►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backtesting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detecta desviación &gt; 20%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  ──► Comité de Riesgo actúa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RIESGO CRÍTICO: el modelo se reentrena sobre datos que parecen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buenos pero cuyos defaults (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lag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6–12 meses) aún no son visibles.</w:t>
      </w:r>
    </w:p>
    <w:p w14:paraId="4685B511" w14:textId="32E137F4" w:rsidR="006F6193" w:rsidRPr="00AE6DB8" w:rsidRDefault="006F6193">
      <w:pPr>
        <w:rPr>
          <w:lang w:val="es-EC"/>
        </w:rPr>
      </w:pPr>
    </w:p>
    <w:p w14:paraId="1280181B" w14:textId="77777777" w:rsidR="006F6193" w:rsidRPr="00AE6DB8" w:rsidRDefault="00000000">
      <w:pPr>
        <w:pStyle w:val="Ttulo1"/>
        <w:pBdr>
          <w:bottom w:val="single" w:sz="10" w:space="4" w:color="2E75B6"/>
        </w:pBdr>
        <w:spacing w:before="0"/>
        <w:rPr>
          <w:lang w:val="es-EC"/>
        </w:rPr>
      </w:pPr>
      <w:r w:rsidRPr="00AE6DB8">
        <w:rPr>
          <w:lang w:val="es-EC"/>
        </w:rPr>
        <w:t>Paso 5 — Horizonte Temporal y Esquema de Validación</w:t>
      </w:r>
    </w:p>
    <w:p w14:paraId="57298FDC" w14:textId="77777777" w:rsidR="006F6193" w:rsidRPr="00AE6DB8" w:rsidRDefault="006F6193">
      <w:pPr>
        <w:spacing w:after="80"/>
        <w:rPr>
          <w:lang w:val="es-EC"/>
        </w:rPr>
      </w:pP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6F6193" w:rsidRPr="00AE6DB8" w14:paraId="661F5A9B" w14:textId="77777777">
        <w:trPr>
          <w:tblHeader/>
        </w:trPr>
        <w:tc>
          <w:tcPr>
            <w:tcW w:w="38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7080D2C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Dimensión</w:t>
            </w:r>
          </w:p>
        </w:tc>
        <w:tc>
          <w:tcPr>
            <w:tcW w:w="55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1922C65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Decisión</w:t>
            </w:r>
          </w:p>
        </w:tc>
      </w:tr>
      <w:tr w:rsidR="006F6193" w:rsidRPr="00AE6DB8" w14:paraId="3A9A813D" w14:textId="77777777">
        <w:tc>
          <w:tcPr>
            <w:tcW w:w="38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BE3E13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Clientes simulados</w:t>
            </w:r>
          </w:p>
        </w:tc>
        <w:tc>
          <w:tcPr>
            <w:tcW w:w="55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04322C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10,000</w:t>
            </w:r>
          </w:p>
        </w:tc>
      </w:tr>
      <w:tr w:rsidR="006F6193" w:rsidRPr="00AE6DB8" w14:paraId="20C6A769" w14:textId="77777777">
        <w:tc>
          <w:tcPr>
            <w:tcW w:w="38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45CE38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Período total</w:t>
            </w:r>
          </w:p>
        </w:tc>
        <w:tc>
          <w:tcPr>
            <w:tcW w:w="55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A9211EF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25 meses (</w:t>
            </w:r>
            <w:proofErr w:type="gramStart"/>
            <w:r w:rsidRPr="00AE6DB8">
              <w:rPr>
                <w:color w:val="1A1A2E"/>
                <w:sz w:val="20"/>
                <w:szCs w:val="20"/>
                <w:lang w:val="es-EC"/>
              </w:rPr>
              <w:t>Enero</w:t>
            </w:r>
            <w:proofErr w:type="gram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2024 — Enero 2026)</w:t>
            </w:r>
          </w:p>
        </w:tc>
      </w:tr>
      <w:tr w:rsidR="006F6193" w:rsidRPr="00AE6DB8" w14:paraId="3FB07F57" w14:textId="77777777">
        <w:tc>
          <w:tcPr>
            <w:tcW w:w="38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01139B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Entrenamiento</w:t>
            </w:r>
          </w:p>
        </w:tc>
        <w:tc>
          <w:tcPr>
            <w:tcW w:w="55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FE001C4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Meses 1–18 (Ene 2024 — Jun 2025)</w:t>
            </w:r>
          </w:p>
        </w:tc>
      </w:tr>
      <w:tr w:rsidR="006F6193" w:rsidRPr="00AE6DB8" w14:paraId="37A61C7A" w14:textId="77777777">
        <w:tc>
          <w:tcPr>
            <w:tcW w:w="38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1120A7D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Validación</w:t>
            </w:r>
          </w:p>
        </w:tc>
        <w:tc>
          <w:tcPr>
            <w:tcW w:w="55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C294E1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Meses 19–21 (Jul 2025 —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Sep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2025)</w:t>
            </w:r>
          </w:p>
        </w:tc>
      </w:tr>
      <w:tr w:rsidR="006F6193" w:rsidRPr="00AE6DB8" w14:paraId="60D5C191" w14:textId="77777777">
        <w:tc>
          <w:tcPr>
            <w:tcW w:w="38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A9F56C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Test</w:t>
            </w:r>
          </w:p>
        </w:tc>
        <w:tc>
          <w:tcPr>
            <w:tcW w:w="55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DD0DDB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Meses 22–23 (Oct 2025 — Nov 2025)</w:t>
            </w:r>
          </w:p>
        </w:tc>
      </w:tr>
      <w:tr w:rsidR="006F6193" w:rsidRPr="00AE6DB8" w14:paraId="7257CB67" w14:textId="77777777">
        <w:tc>
          <w:tcPr>
            <w:tcW w:w="38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36FB19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Período sin etiqueta</w:t>
            </w:r>
          </w:p>
        </w:tc>
        <w:tc>
          <w:tcPr>
            <w:tcW w:w="55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EFCC67E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Dic 2025 — Ene 2026 (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scoring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producción)</w:t>
            </w:r>
          </w:p>
        </w:tc>
      </w:tr>
      <w:tr w:rsidR="006F6193" w:rsidRPr="00AE6DB8" w14:paraId="62CE32C4" w14:textId="77777777">
        <w:tc>
          <w:tcPr>
            <w:tcW w:w="38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D23238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Frecuencia de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scoring</w:t>
            </w:r>
            <w:proofErr w:type="spellEnd"/>
          </w:p>
        </w:tc>
        <w:tc>
          <w:tcPr>
            <w:tcW w:w="55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816EEA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Mensual</w:t>
            </w:r>
          </w:p>
        </w:tc>
      </w:tr>
      <w:tr w:rsidR="006F6193" w:rsidRPr="00AE6DB8" w14:paraId="37BF0B6C" w14:textId="77777777">
        <w:tc>
          <w:tcPr>
            <w:tcW w:w="38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B7E689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lastRenderedPageBreak/>
              <w:t>Ventana de predicción</w:t>
            </w:r>
          </w:p>
        </w:tc>
        <w:tc>
          <w:tcPr>
            <w:tcW w:w="55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B7F251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30 días</w:t>
            </w:r>
          </w:p>
        </w:tc>
      </w:tr>
      <w:tr w:rsidR="006F6193" w:rsidRPr="00AE6DB8" w14:paraId="2C231144" w14:textId="77777777">
        <w:tc>
          <w:tcPr>
            <w:tcW w:w="38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725F1D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Validación cruzada</w:t>
            </w:r>
          </w:p>
        </w:tc>
        <w:tc>
          <w:tcPr>
            <w:tcW w:w="55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5BAD8FC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PROHIBIDA — solo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split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temporal estricto</w:t>
            </w:r>
          </w:p>
        </w:tc>
      </w:tr>
    </w:tbl>
    <w:p w14:paraId="585A2FC0" w14:textId="77777777" w:rsidR="006F6193" w:rsidRPr="00AE6DB8" w:rsidRDefault="006F6193">
      <w:pPr>
        <w:spacing w:after="160"/>
        <w:rPr>
          <w:lang w:val="es-EC"/>
        </w:rPr>
      </w:pPr>
    </w:p>
    <w:p w14:paraId="16E6AE9F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Esquema de Partición</w:t>
      </w:r>
    </w:p>
    <w:p w14:paraId="2AC5C362" w14:textId="77777777" w:rsidR="006F6193" w:rsidRPr="00AE6DB8" w:rsidRDefault="00000000">
      <w:pPr>
        <w:pBdr>
          <w:left w:val="single" w:sz="14" w:space="8" w:color="2E75B6"/>
        </w:pBdr>
        <w:shd w:val="clear" w:color="auto" w:fill="F0F4F8"/>
        <w:spacing w:before="120" w:after="120"/>
        <w:ind w:left="560"/>
        <w:rPr>
          <w:lang w:val="es-EC"/>
        </w:rPr>
      </w:pP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ENE 2024        JUL 2025   OCT </w:t>
      </w:r>
      <w:proofErr w:type="gram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2025  DIC</w:t>
      </w:r>
      <w:proofErr w:type="gram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2025  ENE 2026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    │               │          │         │         │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────┬───────────────┬──────────┬─────────┬─────────┤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    │ ENTRENAMIENTO │VALIDACIÓN│  TEST   │  PROD   │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    │  Mes 1 → 18   │ 19 → 21  │ 22 → 23 │Sin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etiq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.│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────┴───────────────┴──────────┴─────────┴─────────┘</w:t>
      </w:r>
    </w:p>
    <w:p w14:paraId="7FE55439" w14:textId="77777777" w:rsidR="006F6193" w:rsidRPr="00AE6DB8" w:rsidRDefault="006F6193">
      <w:pPr>
        <w:spacing w:after="80"/>
        <w:rPr>
          <w:lang w:val="es-EC"/>
        </w:rPr>
      </w:pPr>
    </w:p>
    <w:p w14:paraId="1BDD15CE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Regla de Etiquetado por Oferta Individual</w:t>
      </w:r>
    </w:p>
    <w:p w14:paraId="0B9A467F" w14:textId="77777777" w:rsidR="006F6193" w:rsidRPr="00AE6DB8" w:rsidRDefault="00000000">
      <w:pPr>
        <w:pBdr>
          <w:left w:val="single" w:sz="14" w:space="8" w:color="2E75B6"/>
        </w:pBdr>
        <w:shd w:val="clear" w:color="auto" w:fill="F0F4F8"/>
        <w:spacing w:before="120" w:after="120"/>
        <w:ind w:left="560"/>
        <w:rPr>
          <w:lang w:val="es-EC"/>
        </w:rPr>
      </w:pP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Si T + 30 días ≤ 2025-11-</w:t>
      </w:r>
      <w:proofErr w:type="gram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30  →</w:t>
      </w:r>
      <w:proofErr w:type="gram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 etiqueta COMPLETA → incluir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Si T + 30 días  &gt; 2025-11-30  →  etiqueta INCOMPLETA → excluir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La exclusión opera oferta por oferta, no por mes completo.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Excluir por mes introduce sesgo hacia clase negativa.</w:t>
      </w:r>
    </w:p>
    <w:p w14:paraId="388F34A1" w14:textId="77777777" w:rsidR="006F6193" w:rsidRPr="00AE6DB8" w:rsidRDefault="006F6193">
      <w:pPr>
        <w:spacing w:after="80"/>
        <w:rPr>
          <w:lang w:val="es-EC"/>
        </w:rPr>
      </w:pPr>
    </w:p>
    <w:p w14:paraId="68E2CAB2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Régimen Macro por Período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601"/>
        <w:gridCol w:w="1400"/>
        <w:gridCol w:w="2200"/>
        <w:gridCol w:w="3159"/>
      </w:tblGrid>
      <w:tr w:rsidR="006F6193" w:rsidRPr="00AE6DB8" w14:paraId="6B18FF5B" w14:textId="77777777">
        <w:trPr>
          <w:tblHeader/>
        </w:trPr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5F86F01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Período</w:t>
            </w:r>
          </w:p>
        </w:tc>
        <w:tc>
          <w:tcPr>
            <w:tcW w:w="14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56B4C17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Meses</w:t>
            </w:r>
          </w:p>
        </w:tc>
        <w:tc>
          <w:tcPr>
            <w:tcW w:w="2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6F6F1E1D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Régimen</w:t>
            </w:r>
          </w:p>
        </w:tc>
        <w:tc>
          <w:tcPr>
            <w:tcW w:w="3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14E3329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En partición</w:t>
            </w:r>
          </w:p>
        </w:tc>
      </w:tr>
      <w:tr w:rsidR="006F6193" w:rsidRPr="00AE6DB8" w14:paraId="72736296" w14:textId="77777777"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90935D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Ene 2024 — Dic 2024</w:t>
            </w:r>
          </w:p>
        </w:tc>
        <w:tc>
          <w:tcPr>
            <w:tcW w:w="14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163C65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1 – 12</w:t>
            </w:r>
          </w:p>
        </w:tc>
        <w:tc>
          <w:tcPr>
            <w:tcW w:w="2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BBC986C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Normal</w:t>
            </w:r>
          </w:p>
        </w:tc>
        <w:tc>
          <w:tcPr>
            <w:tcW w:w="3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D305680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Entrenamiento</w:t>
            </w:r>
          </w:p>
        </w:tc>
      </w:tr>
      <w:tr w:rsidR="006F6193" w:rsidRPr="00AE6DB8" w14:paraId="01C2CF7C" w14:textId="77777777"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F99F88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Ene 2025 — Mar 2025</w:t>
            </w:r>
          </w:p>
        </w:tc>
        <w:tc>
          <w:tcPr>
            <w:tcW w:w="14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0DFF30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13 – 15</w:t>
            </w:r>
          </w:p>
        </w:tc>
        <w:tc>
          <w:tcPr>
            <w:tcW w:w="2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A7B8F9E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Deterioro leve</w:t>
            </w:r>
          </w:p>
        </w:tc>
        <w:tc>
          <w:tcPr>
            <w:tcW w:w="3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14150B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Entrenamiento</w:t>
            </w:r>
          </w:p>
        </w:tc>
      </w:tr>
      <w:tr w:rsidR="006F6193" w:rsidRPr="00AE6DB8" w14:paraId="3FC3AF11" w14:textId="77777777"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99E685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Abr 2025 — Jun 2025</w:t>
            </w:r>
          </w:p>
        </w:tc>
        <w:tc>
          <w:tcPr>
            <w:tcW w:w="14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D15B67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16 – 18</w:t>
            </w:r>
          </w:p>
        </w:tc>
        <w:tc>
          <w:tcPr>
            <w:tcW w:w="2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505AA1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Deterioro moderado</w:t>
            </w:r>
          </w:p>
        </w:tc>
        <w:tc>
          <w:tcPr>
            <w:tcW w:w="3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55A999B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Entrenamiento</w:t>
            </w:r>
          </w:p>
        </w:tc>
      </w:tr>
      <w:tr w:rsidR="006F6193" w:rsidRPr="00AE6DB8" w14:paraId="0B1A1ACC" w14:textId="77777777"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11FFE4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Jul 2025 —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Sep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2025</w:t>
            </w:r>
          </w:p>
        </w:tc>
        <w:tc>
          <w:tcPr>
            <w:tcW w:w="14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36A171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19 – 21</w:t>
            </w:r>
          </w:p>
        </w:tc>
        <w:tc>
          <w:tcPr>
            <w:tcW w:w="2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803F95D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Stress inicial</w:t>
            </w:r>
          </w:p>
        </w:tc>
        <w:tc>
          <w:tcPr>
            <w:tcW w:w="3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B8226DF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Validación</w:t>
            </w:r>
          </w:p>
        </w:tc>
      </w:tr>
      <w:tr w:rsidR="006F6193" w:rsidRPr="00AE6DB8" w14:paraId="6EDB34E8" w14:textId="77777777"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382B92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Oct 2025 — Nov 2025</w:t>
            </w:r>
          </w:p>
        </w:tc>
        <w:tc>
          <w:tcPr>
            <w:tcW w:w="14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9062473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22 – 23</w:t>
            </w:r>
          </w:p>
        </w:tc>
        <w:tc>
          <w:tcPr>
            <w:tcW w:w="2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BB11F5B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Stress + recuperación</w:t>
            </w:r>
          </w:p>
        </w:tc>
        <w:tc>
          <w:tcPr>
            <w:tcW w:w="3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50C95C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Test</w:t>
            </w:r>
          </w:p>
        </w:tc>
      </w:tr>
      <w:tr w:rsidR="006F6193" w:rsidRPr="00AE6DB8" w14:paraId="70391F2D" w14:textId="77777777"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A898FE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Dic 2025 — Ene 2026</w:t>
            </w:r>
          </w:p>
        </w:tc>
        <w:tc>
          <w:tcPr>
            <w:tcW w:w="14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A62993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24 – 25</w:t>
            </w:r>
          </w:p>
        </w:tc>
        <w:tc>
          <w:tcPr>
            <w:tcW w:w="2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39C95F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Recuperación</w:t>
            </w:r>
          </w:p>
        </w:tc>
        <w:tc>
          <w:tcPr>
            <w:tcW w:w="3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9320D6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Producción sin etiqueta</w:t>
            </w:r>
          </w:p>
        </w:tc>
      </w:tr>
    </w:tbl>
    <w:p w14:paraId="5A6DFDBA" w14:textId="77777777" w:rsidR="006F6193" w:rsidRPr="00AE6DB8" w:rsidRDefault="006F6193">
      <w:pPr>
        <w:spacing w:after="160"/>
        <w:rPr>
          <w:lang w:val="es-EC"/>
        </w:rPr>
      </w:pPr>
    </w:p>
    <w:p w14:paraId="48ABB67D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Estrategia de Reentrenamiento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6F6193" w:rsidRPr="00AE6DB8" w14:paraId="4CD07C2E" w14:textId="77777777">
        <w:trPr>
          <w:tblHeader/>
        </w:trPr>
        <w:tc>
          <w:tcPr>
            <w:tcW w:w="20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7E84C52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Estado</w:t>
            </w:r>
          </w:p>
        </w:tc>
        <w:tc>
          <w:tcPr>
            <w:tcW w:w="30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468C7103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Condición</w:t>
            </w:r>
          </w:p>
        </w:tc>
        <w:tc>
          <w:tcPr>
            <w:tcW w:w="43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14D8661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Acción</w:t>
            </w:r>
          </w:p>
        </w:tc>
      </w:tr>
      <w:tr w:rsidR="006F6193" w:rsidRPr="00AE6DB8" w14:paraId="6A3214EC" w14:textId="77777777">
        <w:tc>
          <w:tcPr>
            <w:tcW w:w="20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538E10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Normal</w:t>
            </w:r>
          </w:p>
        </w:tc>
        <w:tc>
          <w:tcPr>
            <w:tcW w:w="30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21DAE1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PSI &lt; 0.10</w:t>
            </w:r>
          </w:p>
        </w:tc>
        <w:tc>
          <w:tcPr>
            <w:tcW w:w="43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7ACC5ED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Modelo fijo, monitoreo estándar</w:t>
            </w:r>
          </w:p>
        </w:tc>
      </w:tr>
      <w:tr w:rsidR="006F6193" w:rsidRPr="00AE6DB8" w14:paraId="60C578CA" w14:textId="77777777">
        <w:tc>
          <w:tcPr>
            <w:tcW w:w="20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E599D4B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Alerta</w:t>
            </w:r>
          </w:p>
        </w:tc>
        <w:tc>
          <w:tcPr>
            <w:tcW w:w="30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EF40DE0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PSI 0.10–0.20</w:t>
            </w:r>
          </w:p>
        </w:tc>
        <w:tc>
          <w:tcPr>
            <w:tcW w:w="43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3C53D1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Monitoreo intensivo, sin cambio aún</w:t>
            </w:r>
          </w:p>
        </w:tc>
      </w:tr>
      <w:tr w:rsidR="006F6193" w:rsidRPr="00AE6DB8" w14:paraId="41187C3B" w14:textId="77777777">
        <w:tc>
          <w:tcPr>
            <w:tcW w:w="20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2B7CAA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Recalibración</w:t>
            </w:r>
          </w:p>
        </w:tc>
        <w:tc>
          <w:tcPr>
            <w:tcW w:w="30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FE555E3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PSI &gt; 0.20 o AUC cae &gt; 5pp</w:t>
            </w:r>
          </w:p>
        </w:tc>
        <w:tc>
          <w:tcPr>
            <w:tcW w:w="43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C1C9F50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Recalibrar Platt/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Isotonic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sin reentrenar</w:t>
            </w:r>
          </w:p>
        </w:tc>
      </w:tr>
      <w:tr w:rsidR="006F6193" w:rsidRPr="00AE6DB8" w14:paraId="42E8BF2A" w14:textId="77777777">
        <w:tc>
          <w:tcPr>
            <w:tcW w:w="20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362B7CD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lastRenderedPageBreak/>
              <w:t>Reentrenamiento</w:t>
            </w:r>
          </w:p>
        </w:tc>
        <w:tc>
          <w:tcPr>
            <w:tcW w:w="30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D32218A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Backtesting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profit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desviación &gt; 20% sostenida</w:t>
            </w:r>
          </w:p>
        </w:tc>
        <w:tc>
          <w:tcPr>
            <w:tcW w:w="43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73DA4D0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Champion-Challenger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>: nuevo modelo en 20% del tráfico</w:t>
            </w:r>
          </w:p>
        </w:tc>
      </w:tr>
    </w:tbl>
    <w:p w14:paraId="292F82A4" w14:textId="052C4AA9" w:rsidR="006F6193" w:rsidRPr="00AE6DB8" w:rsidRDefault="006F6193">
      <w:pPr>
        <w:rPr>
          <w:lang w:val="es-EC"/>
        </w:rPr>
      </w:pPr>
    </w:p>
    <w:p w14:paraId="1EB398E2" w14:textId="77777777" w:rsidR="006F6193" w:rsidRPr="00AE6DB8" w:rsidRDefault="00000000">
      <w:pPr>
        <w:pStyle w:val="Ttulo1"/>
        <w:pBdr>
          <w:bottom w:val="single" w:sz="10" w:space="4" w:color="2E75B6"/>
        </w:pBdr>
        <w:spacing w:before="0"/>
        <w:rPr>
          <w:lang w:val="es-EC"/>
        </w:rPr>
      </w:pPr>
      <w:r w:rsidRPr="00AE6DB8">
        <w:rPr>
          <w:lang w:val="es-EC"/>
        </w:rPr>
        <w:t>Paso 6 — Motor de Recomendación por Propensión</w:t>
      </w:r>
    </w:p>
    <w:p w14:paraId="6AFCDEA1" w14:textId="77777777" w:rsidR="006F6193" w:rsidRPr="00AE6DB8" w:rsidRDefault="00000000">
      <w:pPr>
        <w:spacing w:before="60" w:after="120"/>
        <w:rPr>
          <w:lang w:val="es-EC"/>
        </w:rPr>
      </w:pPr>
      <w:r w:rsidRPr="00AE6DB8">
        <w:rPr>
          <w:color w:val="1A1A2E"/>
          <w:lang w:val="es-EC"/>
        </w:rPr>
        <w:t xml:space="preserve">Objetivo de esta fase: determinar qué producto tiene mayor probabilidad de ser aceptado. Función objetivo: </w:t>
      </w:r>
      <w:proofErr w:type="spellStart"/>
      <w:r w:rsidRPr="00AE6DB8">
        <w:rPr>
          <w:color w:val="1A1A2E"/>
          <w:lang w:val="es-EC"/>
        </w:rPr>
        <w:t>argmax</w:t>
      </w:r>
      <w:proofErr w:type="spellEnd"/>
      <w:r w:rsidRPr="00AE6DB8">
        <w:rPr>
          <w:color w:val="1A1A2E"/>
          <w:lang w:val="es-EC"/>
        </w:rPr>
        <w:t xml:space="preserve"> P(conversión | cliente, producto). Nada más en Fase 1.</w:t>
      </w:r>
    </w:p>
    <w:p w14:paraId="01F5C01A" w14:textId="77777777" w:rsidR="006F6193" w:rsidRPr="00AE6DB8" w:rsidRDefault="006F6193">
      <w:pPr>
        <w:spacing w:after="80"/>
        <w:rPr>
          <w:lang w:val="es-EC"/>
        </w:rPr>
      </w:pPr>
    </w:p>
    <w:p w14:paraId="4BD7516E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Definición de Conversión</w:t>
      </w:r>
    </w:p>
    <w:p w14:paraId="1E5BB458" w14:textId="77777777" w:rsidR="006F6193" w:rsidRPr="00AE6DB8" w:rsidRDefault="00000000">
      <w:pPr>
        <w:pBdr>
          <w:left w:val="single" w:sz="14" w:space="8" w:color="2E75B6"/>
        </w:pBdr>
        <w:shd w:val="clear" w:color="auto" w:fill="F0F4F8"/>
        <w:spacing w:before="120" w:after="120"/>
        <w:ind w:left="560"/>
        <w:rPr>
          <w:lang w:val="es-EC"/>
        </w:rPr>
      </w:pP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conversión(i, producto, t) = 1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    si el cliente adoptó el producto dentro de los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    30 días calendario siguientes al corte mensual t.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conversión(i, producto, t) = 0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    si no adoptó en esa ventana.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7 </w:t>
      </w:r>
      <w:proofErr w:type="gram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días  →</w:t>
      </w:r>
      <w:proofErr w:type="gram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captura solo decisiones previas a la oferta.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30 días → estándar NBO, alineado con ciclo de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scoring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.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60 días → introduce ruido de conversiones orgánicas.</w:t>
      </w:r>
    </w:p>
    <w:p w14:paraId="3F22541C" w14:textId="77777777" w:rsidR="006F6193" w:rsidRPr="00AE6DB8" w:rsidRDefault="006F6193">
      <w:pPr>
        <w:spacing w:after="80"/>
        <w:rPr>
          <w:lang w:val="es-EC"/>
        </w:rPr>
      </w:pPr>
    </w:p>
    <w:p w14:paraId="23017C3B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 xml:space="preserve">Control de </w:t>
      </w:r>
      <w:proofErr w:type="spellStart"/>
      <w:r w:rsidRPr="00AE6DB8">
        <w:rPr>
          <w:lang w:val="es-EC"/>
        </w:rPr>
        <w:t>Leakage</w:t>
      </w:r>
      <w:proofErr w:type="spellEnd"/>
    </w:p>
    <w:tbl>
      <w:tblPr>
        <w:tblW w:w="936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6F6193" w:rsidRPr="00AE6DB8" w14:paraId="4200A318" w14:textId="77777777">
        <w:tc>
          <w:tcPr>
            <w:tcW w:w="9360" w:type="dxa"/>
            <w:shd w:val="clear" w:color="auto" w:fill="FCE4D6"/>
          </w:tcPr>
          <w:p w14:paraId="0B07B6E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C00000"/>
                <w:lang w:val="es-EC"/>
              </w:rPr>
              <w:t xml:space="preserve">REGLA ABSOLUTA: </w:t>
            </w:r>
            <w:r w:rsidRPr="00AE6DB8">
              <w:rPr>
                <w:color w:val="C00000"/>
                <w:lang w:val="es-EC"/>
              </w:rPr>
              <w:t xml:space="preserve">Ninguna </w:t>
            </w:r>
            <w:proofErr w:type="spellStart"/>
            <w:r w:rsidRPr="00AE6DB8">
              <w:rPr>
                <w:color w:val="C00000"/>
                <w:lang w:val="es-EC"/>
              </w:rPr>
              <w:t>feature</w:t>
            </w:r>
            <w:proofErr w:type="spellEnd"/>
            <w:r w:rsidRPr="00AE6DB8">
              <w:rPr>
                <w:color w:val="C00000"/>
                <w:lang w:val="es-EC"/>
              </w:rPr>
              <w:t xml:space="preserve"> puede usar información posterior al momento de decisión del mes t. Todo dato con fecha ≥ </w:t>
            </w:r>
            <w:proofErr w:type="spellStart"/>
            <w:r w:rsidRPr="00AE6DB8">
              <w:rPr>
                <w:color w:val="C00000"/>
                <w:lang w:val="es-EC"/>
              </w:rPr>
              <w:t>corte_mensual</w:t>
            </w:r>
            <w:proofErr w:type="spellEnd"/>
            <w:r w:rsidRPr="00AE6DB8">
              <w:rPr>
                <w:color w:val="C00000"/>
                <w:lang w:val="es-EC"/>
              </w:rPr>
              <w:t xml:space="preserve"> está prohibido como input del modelo.</w:t>
            </w:r>
          </w:p>
        </w:tc>
      </w:tr>
    </w:tbl>
    <w:p w14:paraId="2D7DAE21" w14:textId="77777777" w:rsidR="006F6193" w:rsidRPr="00AE6DB8" w:rsidRDefault="006F6193">
      <w:pPr>
        <w:spacing w:after="80"/>
        <w:rPr>
          <w:lang w:val="es-EC"/>
        </w:rPr>
      </w:pPr>
    </w:p>
    <w:p w14:paraId="498DFCBB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Paso 1 — Elegibilidad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4199"/>
        <w:gridCol w:w="5161"/>
      </w:tblGrid>
      <w:tr w:rsidR="006F6193" w:rsidRPr="00AE6DB8" w14:paraId="48D796F4" w14:textId="77777777">
        <w:trPr>
          <w:tblHeader/>
        </w:trPr>
        <w:tc>
          <w:tcPr>
            <w:tcW w:w="41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67257C7B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Condición</w:t>
            </w:r>
          </w:p>
        </w:tc>
        <w:tc>
          <w:tcPr>
            <w:tcW w:w="51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24255FC4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Aplica a</w:t>
            </w:r>
          </w:p>
        </w:tc>
      </w:tr>
      <w:tr w:rsidR="006F6193" w:rsidRPr="00AE6DB8" w14:paraId="6DCE6B71" w14:textId="77777777">
        <w:tc>
          <w:tcPr>
            <w:tcW w:w="41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1C6E3B0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score_crediticio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&gt;= 650</w:t>
            </w:r>
          </w:p>
        </w:tc>
        <w:tc>
          <w:tcPr>
            <w:tcW w:w="51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61990A3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Todos los productos crediticios</w:t>
            </w:r>
          </w:p>
        </w:tc>
      </w:tr>
      <w:tr w:rsidR="006F6193" w:rsidRPr="00AE6DB8" w14:paraId="0A44C8DE" w14:textId="77777777">
        <w:tc>
          <w:tcPr>
            <w:tcW w:w="41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2FCD107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en_mora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== 0</w:t>
            </w:r>
          </w:p>
        </w:tc>
        <w:tc>
          <w:tcPr>
            <w:tcW w:w="51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7EBC080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Todos</w:t>
            </w:r>
          </w:p>
        </w:tc>
      </w:tr>
      <w:tr w:rsidR="006F6193" w:rsidRPr="00AE6DB8" w14:paraId="10D44EB9" w14:textId="77777777">
        <w:tc>
          <w:tcPr>
            <w:tcW w:w="41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BDAA260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antiguedad_meses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&gt;= 3</w:t>
            </w:r>
          </w:p>
        </w:tc>
        <w:tc>
          <w:tcPr>
            <w:tcW w:w="51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D93F96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Todos</w:t>
            </w:r>
          </w:p>
        </w:tc>
      </w:tr>
      <w:tr w:rsidR="006F6193" w:rsidRPr="00AE6DB8" w14:paraId="561589D2" w14:textId="77777777">
        <w:tc>
          <w:tcPr>
            <w:tcW w:w="41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BDCC24F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dias_desde_ult_contacto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&gt;= 30</w:t>
            </w:r>
          </w:p>
        </w:tc>
        <w:tc>
          <w:tcPr>
            <w:tcW w:w="51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F1725E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Todos (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cooling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period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>)</w:t>
            </w:r>
          </w:p>
        </w:tc>
      </w:tr>
      <w:tr w:rsidR="006F6193" w:rsidRPr="00AE6DB8" w14:paraId="3FA7667C" w14:textId="77777777">
        <w:tc>
          <w:tcPr>
            <w:tcW w:w="41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3553002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opt_out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== 0</w:t>
            </w:r>
          </w:p>
        </w:tc>
        <w:tc>
          <w:tcPr>
            <w:tcW w:w="51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61F73B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Todos</w:t>
            </w:r>
          </w:p>
        </w:tc>
      </w:tr>
      <w:tr w:rsidR="006F6193" w:rsidRPr="00AE6DB8" w14:paraId="3E2B5F7F" w14:textId="77777777">
        <w:tc>
          <w:tcPr>
            <w:tcW w:w="41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4137A91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ratio_cuota_ingreso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&lt; 0.40</w:t>
            </w:r>
          </w:p>
        </w:tc>
        <w:tc>
          <w:tcPr>
            <w:tcW w:w="51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A51C62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Crédito y Tarjeta</w:t>
            </w:r>
          </w:p>
        </w:tc>
      </w:tr>
      <w:tr w:rsidR="006F6193" w:rsidRPr="00AE6DB8" w14:paraId="04052D10" w14:textId="77777777">
        <w:tc>
          <w:tcPr>
            <w:tcW w:w="41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0FB4DC0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sin producto activo del mismo tipo</w:t>
            </w:r>
          </w:p>
        </w:tc>
        <w:tc>
          <w:tcPr>
            <w:tcW w:w="51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3E2849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Por producto</w:t>
            </w:r>
          </w:p>
        </w:tc>
      </w:tr>
    </w:tbl>
    <w:p w14:paraId="559E65A0" w14:textId="77777777" w:rsidR="006F6193" w:rsidRPr="00AE6DB8" w:rsidRDefault="006F6193">
      <w:pPr>
        <w:spacing w:after="80"/>
        <w:rPr>
          <w:lang w:val="es-EC"/>
        </w:rPr>
      </w:pPr>
    </w:p>
    <w:p w14:paraId="38AD8869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lastRenderedPageBreak/>
        <w:t>Paso 2 — Modelo de Propensión Calibrado</w:t>
      </w:r>
    </w:p>
    <w:p w14:paraId="74570373" w14:textId="77777777" w:rsidR="006F6193" w:rsidRPr="00AE6DB8" w:rsidRDefault="00000000">
      <w:pPr>
        <w:pBdr>
          <w:left w:val="single" w:sz="14" w:space="8" w:color="2E75B6"/>
        </w:pBdr>
        <w:shd w:val="clear" w:color="auto" w:fill="F0F4F8"/>
        <w:spacing w:before="120" w:after="120"/>
        <w:ind w:left="560"/>
        <w:rPr>
          <w:lang w:val="es-EC"/>
        </w:rPr>
      </w:pP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P_conv_credito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(i)      =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modelo_credito.predict_proba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(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features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(i))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P_conv_tarjeta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(i)      =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modelo_tarjeta.predict_proba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(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features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(i))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P_conv_seguro_vida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(i)  =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modelo_seguro_vida.predict_proba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(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features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(i))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P_conv_seguro_salud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(i) =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modelo_seguro_salud.predict_proba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(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features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(i))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P_conv_inversion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(i)    =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modelo_inversion.predict_proba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(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features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(i))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# Calibración obligatoria sobre set de validación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from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sklearn.calibration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import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CalibratedClassifierCV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modelo_calibrado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=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CalibratedClassifierCV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(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   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modelo_base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,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method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='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sigmoid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',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cv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='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prefit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'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modelo_calibrado.fit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(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X_validacion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,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y_validacion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)</w:t>
      </w:r>
    </w:p>
    <w:p w14:paraId="492C54C7" w14:textId="77777777" w:rsidR="006F6193" w:rsidRPr="00AE6DB8" w:rsidRDefault="006F6193">
      <w:pPr>
        <w:spacing w:after="80"/>
        <w:rPr>
          <w:lang w:val="es-EC"/>
        </w:rPr>
      </w:pPr>
    </w:p>
    <w:tbl>
      <w:tblPr>
        <w:tblW w:w="936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6F6193" w:rsidRPr="00AE6DB8" w14:paraId="29C6D032" w14:textId="77777777">
        <w:tc>
          <w:tcPr>
            <w:tcW w:w="9360" w:type="dxa"/>
            <w:shd w:val="clear" w:color="auto" w:fill="FFF2CC"/>
          </w:tcPr>
          <w:p w14:paraId="44BD35D4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7F6000"/>
                <w:lang w:val="es-EC"/>
              </w:rPr>
              <w:t xml:space="preserve">POR QUÉ CALIBRAR: </w:t>
            </w:r>
            <w:r w:rsidRPr="00AE6DB8">
              <w:rPr>
                <w:color w:val="7F6000"/>
                <w:lang w:val="es-EC"/>
              </w:rPr>
              <w:t>Sin calibración, P=0.35 no significa que el 35% de los clientes conviertan. El umbral de activación pierde toda interpretación económica.</w:t>
            </w:r>
          </w:p>
        </w:tc>
      </w:tr>
    </w:tbl>
    <w:p w14:paraId="4B2DE142" w14:textId="77777777" w:rsidR="006F6193" w:rsidRPr="00AE6DB8" w:rsidRDefault="006F6193">
      <w:pPr>
        <w:spacing w:after="80"/>
        <w:rPr>
          <w:lang w:val="es-EC"/>
        </w:rPr>
      </w:pPr>
    </w:p>
    <w:p w14:paraId="3A278BAD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Paso 3 — Ranking y Manejo de Empates</w:t>
      </w:r>
    </w:p>
    <w:p w14:paraId="1A263880" w14:textId="77777777" w:rsidR="006F6193" w:rsidRPr="00AE6DB8" w:rsidRDefault="00000000">
      <w:pPr>
        <w:pBdr>
          <w:left w:val="single" w:sz="14" w:space="8" w:color="2E75B6"/>
        </w:pBdr>
        <w:shd w:val="clear" w:color="auto" w:fill="F0F4F8"/>
        <w:spacing w:before="120" w:after="120"/>
        <w:ind w:left="560"/>
        <w:rPr>
          <w:lang w:val="es-EC"/>
        </w:rPr>
      </w:pP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best_product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(i) =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argmax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(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P_conv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por producto)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En caso de empate, aplicar en orden: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1. Prioridad estratégica: [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seguro_vida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,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seguro_salud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,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                           tarjeta,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credito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,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inversion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]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2. Mayor margen histórico neto del producto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3.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random.seed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(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id_cliente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) → desempate reproducible y auditable</w:t>
      </w:r>
    </w:p>
    <w:p w14:paraId="4752595F" w14:textId="77777777" w:rsidR="006F6193" w:rsidRPr="00AE6DB8" w:rsidRDefault="006F6193">
      <w:pPr>
        <w:spacing w:after="80"/>
        <w:rPr>
          <w:lang w:val="es-EC"/>
        </w:rPr>
      </w:pPr>
    </w:p>
    <w:p w14:paraId="3D3B674E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Paso 4 — Umbral de Activación</w:t>
      </w:r>
    </w:p>
    <w:p w14:paraId="2AF6F45A" w14:textId="77777777" w:rsidR="006F6193" w:rsidRPr="00AE6DB8" w:rsidRDefault="00000000">
      <w:pPr>
        <w:pBdr>
          <w:left w:val="single" w:sz="14" w:space="8" w:color="2E75B6"/>
        </w:pBdr>
        <w:shd w:val="clear" w:color="auto" w:fill="F0F4F8"/>
        <w:spacing w:before="120" w:after="120"/>
        <w:ind w:left="560"/>
        <w:rPr>
          <w:lang w:val="es-EC"/>
        </w:rPr>
      </w:pP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UMBRAL = 0.35   # calibrado sobre set de validación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if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score_recomendacion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(i) &gt;= UMBRAL: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    recomendar = 1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else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: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    recomendar = 0   # motivo = '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bajo_umbral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'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Se revisa trimestralmente. No es un número fijo para siempre.</w:t>
      </w:r>
    </w:p>
    <w:p w14:paraId="5F08F271" w14:textId="77777777" w:rsidR="006F6193" w:rsidRPr="00AE6DB8" w:rsidRDefault="006F6193">
      <w:pPr>
        <w:spacing w:after="80"/>
        <w:rPr>
          <w:lang w:val="es-EC"/>
        </w:rPr>
      </w:pPr>
    </w:p>
    <w:p w14:paraId="7549B968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Métricas de Evaluación — Set de Test (meses 22–23)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200"/>
        <w:gridCol w:w="2199"/>
        <w:gridCol w:w="3961"/>
      </w:tblGrid>
      <w:tr w:rsidR="006F6193" w:rsidRPr="00AE6DB8" w14:paraId="65E8B1D4" w14:textId="77777777">
        <w:trPr>
          <w:tblHeader/>
        </w:trPr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285ABB40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Métrica</w:t>
            </w:r>
          </w:p>
        </w:tc>
        <w:tc>
          <w:tcPr>
            <w:tcW w:w="21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3BCE5274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Umbral mínimo</w:t>
            </w:r>
          </w:p>
        </w:tc>
        <w:tc>
          <w:tcPr>
            <w:tcW w:w="396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753DFB90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Acción si no se cumple</w:t>
            </w:r>
          </w:p>
        </w:tc>
      </w:tr>
      <w:tr w:rsidR="006F6193" w:rsidRPr="00AE6DB8" w14:paraId="738BCEA8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AFB0F3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AUC-ROC</w:t>
            </w:r>
          </w:p>
        </w:tc>
        <w:tc>
          <w:tcPr>
            <w:tcW w:w="21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C83C52F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≥ 0.72</w:t>
            </w:r>
          </w:p>
        </w:tc>
        <w:tc>
          <w:tcPr>
            <w:tcW w:w="396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630A73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No pasa a producción</w:t>
            </w:r>
          </w:p>
        </w:tc>
      </w:tr>
      <w:tr w:rsidR="006F6193" w:rsidRPr="00AE6DB8" w14:paraId="3B55C672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583EF8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KS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Statistic</w:t>
            </w:r>
            <w:proofErr w:type="spellEnd"/>
          </w:p>
        </w:tc>
        <w:tc>
          <w:tcPr>
            <w:tcW w:w="21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188E87B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≥ 0.30</w:t>
            </w:r>
          </w:p>
        </w:tc>
        <w:tc>
          <w:tcPr>
            <w:tcW w:w="396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C4B99BD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No pasa a producción</w:t>
            </w:r>
          </w:p>
        </w:tc>
      </w:tr>
      <w:tr w:rsidR="006F6193" w:rsidRPr="00AE6DB8" w14:paraId="37A94E8D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4AAD4A2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Lift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@ decil 1</w:t>
            </w:r>
          </w:p>
        </w:tc>
        <w:tc>
          <w:tcPr>
            <w:tcW w:w="21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8AC472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≥ 2.5x</w:t>
            </w:r>
          </w:p>
        </w:tc>
        <w:tc>
          <w:tcPr>
            <w:tcW w:w="396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432B07B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No pasa a producción</w:t>
            </w:r>
          </w:p>
        </w:tc>
      </w:tr>
      <w:tr w:rsidR="006F6193" w:rsidRPr="00AE6DB8" w14:paraId="27B39474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5375854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Precision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@ umbral</w:t>
            </w:r>
          </w:p>
        </w:tc>
        <w:tc>
          <w:tcPr>
            <w:tcW w:w="21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74477F0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≥ 0.50</w:t>
            </w:r>
          </w:p>
        </w:tc>
        <w:tc>
          <w:tcPr>
            <w:tcW w:w="396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8BA21E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Ajustar umbral o revisar modelo</w:t>
            </w:r>
          </w:p>
        </w:tc>
      </w:tr>
      <w:tr w:rsidR="006F6193" w:rsidRPr="00AE6DB8" w14:paraId="5AD48C2A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F52F17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lastRenderedPageBreak/>
              <w:t>PSI mensual</w:t>
            </w:r>
          </w:p>
        </w:tc>
        <w:tc>
          <w:tcPr>
            <w:tcW w:w="21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C056AF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&lt; 0.10</w:t>
            </w:r>
          </w:p>
        </w:tc>
        <w:tc>
          <w:tcPr>
            <w:tcW w:w="396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6E4992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Monitoreo normal</w:t>
            </w:r>
          </w:p>
        </w:tc>
      </w:tr>
      <w:tr w:rsidR="006F6193" w:rsidRPr="00AE6DB8" w14:paraId="275C96FE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712120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PSI mensual</w:t>
            </w:r>
          </w:p>
        </w:tc>
        <w:tc>
          <w:tcPr>
            <w:tcW w:w="21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B4A908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0.10 – 0.20</w:t>
            </w:r>
          </w:p>
        </w:tc>
        <w:tc>
          <w:tcPr>
            <w:tcW w:w="396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69759C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Alerta — monitoreo intensivo</w:t>
            </w:r>
          </w:p>
        </w:tc>
      </w:tr>
      <w:tr w:rsidR="006F6193" w:rsidRPr="00AE6DB8" w14:paraId="7804CBA6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6194473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PSI mensual</w:t>
            </w:r>
          </w:p>
        </w:tc>
        <w:tc>
          <w:tcPr>
            <w:tcW w:w="21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263AFC4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&gt; 0.20</w:t>
            </w:r>
          </w:p>
        </w:tc>
        <w:tc>
          <w:tcPr>
            <w:tcW w:w="396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55AD0B0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Recalibración o reentrenamiento</w:t>
            </w:r>
          </w:p>
        </w:tc>
      </w:tr>
    </w:tbl>
    <w:p w14:paraId="6B0585BB" w14:textId="77777777" w:rsidR="006F6193" w:rsidRPr="00AE6DB8" w:rsidRDefault="006F6193">
      <w:pPr>
        <w:spacing w:after="80"/>
        <w:rPr>
          <w:lang w:val="es-EC"/>
        </w:rPr>
      </w:pPr>
    </w:p>
    <w:p w14:paraId="4DE83C76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Output Final por Cliente por Mes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F6193" w:rsidRPr="00AE6DB8" w14:paraId="2DCA28FE" w14:textId="77777777">
        <w:trPr>
          <w:tblHeader/>
        </w:trPr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61645980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Campo</w:t>
            </w:r>
          </w:p>
        </w:tc>
        <w:tc>
          <w:tcPr>
            <w:tcW w:w="6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61CA6D2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Descripción</w:t>
            </w:r>
          </w:p>
        </w:tc>
      </w:tr>
      <w:tr w:rsidR="006F6193" w:rsidRPr="00AE6DB8" w14:paraId="570A0695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F93581D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id_cliente</w:t>
            </w:r>
            <w:proofErr w:type="spellEnd"/>
          </w:p>
        </w:tc>
        <w:tc>
          <w:tcPr>
            <w:tcW w:w="6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2A8211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Identificador del cliente</w:t>
            </w:r>
          </w:p>
        </w:tc>
      </w:tr>
      <w:tr w:rsidR="006F6193" w:rsidRPr="00AE6DB8" w14:paraId="4AC33551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6AB67CF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P_credito</w:t>
            </w:r>
            <w:proofErr w:type="spellEnd"/>
          </w:p>
        </w:tc>
        <w:tc>
          <w:tcPr>
            <w:tcW w:w="6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8BA3654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Probabilidad calibrada de conversión en crédito</w:t>
            </w:r>
          </w:p>
        </w:tc>
      </w:tr>
      <w:tr w:rsidR="006F6193" w:rsidRPr="00AE6DB8" w14:paraId="7B3784D0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DE1477B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P_tarjeta</w:t>
            </w:r>
            <w:proofErr w:type="spellEnd"/>
          </w:p>
        </w:tc>
        <w:tc>
          <w:tcPr>
            <w:tcW w:w="6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680187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Probabilidad calibrada de conversión en tarjeta</w:t>
            </w:r>
          </w:p>
        </w:tc>
      </w:tr>
      <w:tr w:rsidR="006F6193" w:rsidRPr="00AE6DB8" w14:paraId="6FF98F51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BEF1BDF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P_seguro_vida</w:t>
            </w:r>
            <w:proofErr w:type="spellEnd"/>
          </w:p>
        </w:tc>
        <w:tc>
          <w:tcPr>
            <w:tcW w:w="6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F0CFAAD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Probabilidad calibrada de conversión en seguro vida</w:t>
            </w:r>
          </w:p>
        </w:tc>
      </w:tr>
      <w:tr w:rsidR="006F6193" w:rsidRPr="00AE6DB8" w14:paraId="02266D91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3FC19C6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P_seguro_salud</w:t>
            </w:r>
            <w:proofErr w:type="spellEnd"/>
          </w:p>
        </w:tc>
        <w:tc>
          <w:tcPr>
            <w:tcW w:w="6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975AACF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Probabilidad calibrada de conversión en seguro salud</w:t>
            </w:r>
          </w:p>
        </w:tc>
      </w:tr>
      <w:tr w:rsidR="006F6193" w:rsidRPr="00AE6DB8" w14:paraId="68310C7F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7460728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P_inversion</w:t>
            </w:r>
            <w:proofErr w:type="spellEnd"/>
          </w:p>
        </w:tc>
        <w:tc>
          <w:tcPr>
            <w:tcW w:w="6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48D34D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Probabilidad calibrada de conversión en inversión</w:t>
            </w:r>
          </w:p>
        </w:tc>
      </w:tr>
      <w:tr w:rsidR="006F6193" w:rsidRPr="00AE6DB8" w14:paraId="0E77665D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CB94FA9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producto_recomendado</w:t>
            </w:r>
            <w:proofErr w:type="spellEnd"/>
          </w:p>
        </w:tc>
        <w:tc>
          <w:tcPr>
            <w:tcW w:w="6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C31D2F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Producto con mayor P(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conv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>) que supera el umbral</w:t>
            </w:r>
          </w:p>
        </w:tc>
      </w:tr>
      <w:tr w:rsidR="006F6193" w:rsidRPr="00AE6DB8" w14:paraId="768F9B5E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59EB15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score</w:t>
            </w:r>
          </w:p>
        </w:tc>
        <w:tc>
          <w:tcPr>
            <w:tcW w:w="6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40608E3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Valor máximo de P entre todos los productos</w:t>
            </w:r>
          </w:p>
        </w:tc>
      </w:tr>
      <w:tr w:rsidR="006F6193" w:rsidRPr="00AE6DB8" w14:paraId="326666E3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E485A1C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recomendar</w:t>
            </w:r>
          </w:p>
        </w:tc>
        <w:tc>
          <w:tcPr>
            <w:tcW w:w="6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8B5D2D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1 = sí recomendar / 0 = no recomendar</w:t>
            </w:r>
          </w:p>
        </w:tc>
      </w:tr>
      <w:tr w:rsidR="006F6193" w:rsidRPr="00AE6DB8" w14:paraId="4BFDD4EE" w14:textId="77777777">
        <w:tc>
          <w:tcPr>
            <w:tcW w:w="3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D85D1B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motivo</w:t>
            </w:r>
          </w:p>
        </w:tc>
        <w:tc>
          <w:tcPr>
            <w:tcW w:w="61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1CACBEB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NULL /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no_elegible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/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bajo_umbral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/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empate→prioridad</w:t>
            </w:r>
            <w:proofErr w:type="spellEnd"/>
          </w:p>
        </w:tc>
      </w:tr>
    </w:tbl>
    <w:p w14:paraId="6C72F462" w14:textId="64E48D6C" w:rsidR="006F6193" w:rsidRPr="00AE6DB8" w:rsidRDefault="006F6193">
      <w:pPr>
        <w:rPr>
          <w:lang w:val="es-EC"/>
        </w:rPr>
      </w:pPr>
    </w:p>
    <w:p w14:paraId="1116396F" w14:textId="77777777" w:rsidR="006F6193" w:rsidRPr="00AE6DB8" w:rsidRDefault="00000000">
      <w:pPr>
        <w:pStyle w:val="Ttulo1"/>
        <w:pBdr>
          <w:bottom w:val="single" w:sz="10" w:space="4" w:color="2E75B6"/>
        </w:pBdr>
        <w:spacing w:before="0"/>
        <w:rPr>
          <w:lang w:val="es-EC"/>
        </w:rPr>
      </w:pPr>
      <w:r w:rsidRPr="00AE6DB8">
        <w:rPr>
          <w:lang w:val="es-EC"/>
        </w:rPr>
        <w:t>Paso 7 — Límites del Sistema en Fase 1</w:t>
      </w:r>
    </w:p>
    <w:p w14:paraId="1CA6051C" w14:textId="77777777" w:rsidR="006F6193" w:rsidRPr="00AE6DB8" w:rsidRDefault="00000000">
      <w:pPr>
        <w:spacing w:before="60" w:after="120"/>
        <w:rPr>
          <w:lang w:val="es-EC"/>
        </w:rPr>
      </w:pPr>
      <w:r w:rsidRPr="00AE6DB8">
        <w:rPr>
          <w:color w:val="1A1A2E"/>
          <w:lang w:val="es-EC"/>
        </w:rPr>
        <w:t xml:space="preserve">Definir qué no se hace es tan importante como definir qué sí se hace. Protege el cronograma, obliga a priorizar lo que genera valor primero y hace el documento defendible ante cualquier </w:t>
      </w:r>
      <w:proofErr w:type="spellStart"/>
      <w:r w:rsidRPr="00AE6DB8">
        <w:rPr>
          <w:color w:val="1A1A2E"/>
          <w:lang w:val="es-EC"/>
        </w:rPr>
        <w:t>stakeholder</w:t>
      </w:r>
      <w:proofErr w:type="spellEnd"/>
      <w:r w:rsidRPr="00AE6DB8">
        <w:rPr>
          <w:color w:val="1A1A2E"/>
          <w:lang w:val="es-EC"/>
        </w:rPr>
        <w:t xml:space="preserve"> que quiera agregar alcance en el camino.</w:t>
      </w:r>
    </w:p>
    <w:p w14:paraId="281EB5FA" w14:textId="77777777" w:rsidR="006F6193" w:rsidRPr="00AE6DB8" w:rsidRDefault="006F6193">
      <w:pPr>
        <w:spacing w:after="80"/>
        <w:rPr>
          <w:lang w:val="es-EC"/>
        </w:rPr>
      </w:pP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560"/>
      </w:tblGrid>
      <w:tr w:rsidR="006F6193" w:rsidRPr="00AE6DB8" w14:paraId="38FCA3E7" w14:textId="77777777">
        <w:trPr>
          <w:tblHeader/>
        </w:trPr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3D37F124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Qué no se hace</w:t>
            </w:r>
          </w:p>
        </w:tc>
        <w:tc>
          <w:tcPr>
            <w:tcW w:w="4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262ACA3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Por qué</w:t>
            </w:r>
          </w:p>
        </w:tc>
        <w:tc>
          <w:tcPr>
            <w:tcW w:w="25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529BAB04" w14:textId="77777777" w:rsidR="006F6193" w:rsidRPr="00AE6DB8" w:rsidRDefault="00000000">
            <w:pPr>
              <w:rPr>
                <w:lang w:val="es-EC"/>
              </w:rPr>
            </w:pPr>
            <w:proofErr w:type="gramStart"/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Cuándo</w:t>
            </w:r>
            <w:proofErr w:type="gramEnd"/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 xml:space="preserve"> entra</w:t>
            </w:r>
          </w:p>
        </w:tc>
      </w:tr>
      <w:tr w:rsidR="006F6193" w:rsidRPr="00AE6DB8" w14:paraId="51E99EA4" w14:textId="77777777"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F289A8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Modelar riesgo de default (PD/LGD)</w:t>
            </w:r>
          </w:p>
        </w:tc>
        <w:tc>
          <w:tcPr>
            <w:tcW w:w="4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3BCFD11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Fase 1 responde '¿lo aceptará?'. Mezclar con riesgo produce modelo que intenta responder dos preguntas con una arquitectura. Ninguna queda bien.</w:t>
            </w:r>
          </w:p>
        </w:tc>
        <w:tc>
          <w:tcPr>
            <w:tcW w:w="25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4454EB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Fase 2</w:t>
            </w:r>
          </w:p>
        </w:tc>
      </w:tr>
      <w:tr w:rsidR="006F6193" w:rsidRPr="00AE6DB8" w14:paraId="2EAC0015" w14:textId="77777777"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A77E37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Modelar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churn</w:t>
            </w:r>
            <w:proofErr w:type="spellEnd"/>
          </w:p>
        </w:tc>
        <w:tc>
          <w:tcPr>
            <w:tcW w:w="4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45DA5DE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Problema con variable objetivo distinta, horizonte distinto y acción comercial distinta. No es el mismo problema.</w:t>
            </w:r>
          </w:p>
        </w:tc>
        <w:tc>
          <w:tcPr>
            <w:tcW w:w="25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7B10F7E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Proyecto separado</w:t>
            </w:r>
          </w:p>
        </w:tc>
      </w:tr>
      <w:tr w:rsidR="006F6193" w:rsidRPr="00AE6DB8" w14:paraId="479D17CD" w14:textId="77777777"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78BFF0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Comportamiento digital /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clickstream</w:t>
            </w:r>
            <w:proofErr w:type="spellEnd"/>
          </w:p>
        </w:tc>
        <w:tc>
          <w:tcPr>
            <w:tcW w:w="4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0C3310A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Requiere arquitectura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streaming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. En pipeline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batch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mensual, los datos de navegación llegan desactualizados y degradan el modelo.</w:t>
            </w:r>
          </w:p>
        </w:tc>
        <w:tc>
          <w:tcPr>
            <w:tcW w:w="25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B3D3EC1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Fase 4</w:t>
            </w:r>
          </w:p>
        </w:tc>
      </w:tr>
      <w:tr w:rsidR="006F6193" w:rsidRPr="00AE6DB8" w14:paraId="3487D3F4" w14:textId="77777777"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0A6FB5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lastRenderedPageBreak/>
              <w:t xml:space="preserve">Deep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learning</w:t>
            </w:r>
            <w:proofErr w:type="spellEnd"/>
          </w:p>
        </w:tc>
        <w:tc>
          <w:tcPr>
            <w:tcW w:w="4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1046F8D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Con este volumen,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XGBoost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supera a redes neuronales en AUC, velocidad y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explicabilidad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regulatoria. La complejidad no está justificada por el problema.</w:t>
            </w:r>
          </w:p>
        </w:tc>
        <w:tc>
          <w:tcPr>
            <w:tcW w:w="25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2384A51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Ver criterio de entrada</w:t>
            </w:r>
          </w:p>
        </w:tc>
      </w:tr>
      <w:tr w:rsidR="006F6193" w:rsidRPr="00AE6DB8" w14:paraId="2FB6E87F" w14:textId="77777777"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9DAF8E7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Scoring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en tiempo real</w:t>
            </w:r>
          </w:p>
        </w:tc>
        <w:tc>
          <w:tcPr>
            <w:tcW w:w="4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08B97C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Requiere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Feature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Store con actualizaciones por evento y SLA de milisegundos. Construirlo antes de validar el modelo en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batch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es inversión sin retorno probado.</w:t>
            </w:r>
          </w:p>
        </w:tc>
        <w:tc>
          <w:tcPr>
            <w:tcW w:w="25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64A694F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Fase 4</w:t>
            </w:r>
          </w:p>
        </w:tc>
      </w:tr>
      <w:tr w:rsidR="006F6193" w:rsidRPr="00AE6DB8" w14:paraId="17B802B8" w14:textId="77777777">
        <w:tc>
          <w:tcPr>
            <w:tcW w:w="26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702201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Optimización RAROC y capital</w:t>
            </w:r>
          </w:p>
        </w:tc>
        <w:tc>
          <w:tcPr>
            <w:tcW w:w="42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795BE90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Requiere propensión bien calibrada primero. Si P(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conv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) está mal calibrada, el RAROC es matemáticamente </w:t>
            </w:r>
            <w:proofErr w:type="gramStart"/>
            <w:r w:rsidRPr="00AE6DB8">
              <w:rPr>
                <w:color w:val="1A1A2E"/>
                <w:sz w:val="20"/>
                <w:szCs w:val="20"/>
                <w:lang w:val="es-EC"/>
              </w:rPr>
              <w:t>correcto</w:t>
            </w:r>
            <w:proofErr w:type="gram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pero económicamente inválido.</w:t>
            </w:r>
          </w:p>
        </w:tc>
        <w:tc>
          <w:tcPr>
            <w:tcW w:w="25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6BC7A9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Fase 2</w:t>
            </w:r>
          </w:p>
        </w:tc>
      </w:tr>
    </w:tbl>
    <w:p w14:paraId="094D1D18" w14:textId="77777777" w:rsidR="006F6193" w:rsidRPr="00AE6DB8" w:rsidRDefault="006F6193">
      <w:pPr>
        <w:spacing w:after="160"/>
        <w:rPr>
          <w:lang w:val="es-EC"/>
        </w:rPr>
      </w:pPr>
    </w:p>
    <w:p w14:paraId="6E61E9CC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Criterio de Entrada para Deep Learning</w:t>
      </w:r>
    </w:p>
    <w:p w14:paraId="3D532D46" w14:textId="77777777" w:rsidR="006F6193" w:rsidRPr="00AE6DB8" w:rsidRDefault="00000000">
      <w:pPr>
        <w:spacing w:before="60" w:after="120"/>
        <w:rPr>
          <w:lang w:val="es-EC"/>
        </w:rPr>
      </w:pPr>
      <w:r w:rsidRPr="00AE6DB8">
        <w:rPr>
          <w:color w:val="1A1A2E"/>
          <w:lang w:val="es-EC"/>
        </w:rPr>
        <w:t>No se define por volumen de clientes — ese número sería arbitrario. Se define por evidencia empírica controlada.</w:t>
      </w:r>
    </w:p>
    <w:p w14:paraId="3AFC9B24" w14:textId="77777777" w:rsidR="006F6193" w:rsidRPr="00AE6DB8" w:rsidRDefault="006F6193">
      <w:pPr>
        <w:spacing w:after="80"/>
        <w:rPr>
          <w:lang w:val="es-EC"/>
        </w:rPr>
      </w:pPr>
    </w:p>
    <w:p w14:paraId="07D87D36" w14:textId="77777777" w:rsidR="006F6193" w:rsidRPr="00AE6DB8" w:rsidRDefault="00000000">
      <w:pPr>
        <w:pBdr>
          <w:left w:val="single" w:sz="14" w:space="8" w:color="2E75B6"/>
        </w:pBdr>
        <w:shd w:val="clear" w:color="auto" w:fill="F0F4F8"/>
        <w:spacing w:before="120" w:after="120"/>
        <w:ind w:left="560"/>
        <w:rPr>
          <w:lang w:val="es-EC"/>
        </w:rPr>
      </w:pP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Deep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learning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se evalúa únicamente cuando se cumplan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las tres condiciones SIMULTÁNEAMENTE: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1. El modelo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baseline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(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LogReg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/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XGBoost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) se haya estabilizado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   con al menos dos trimestres de métricas consistentes.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2. Un experimento controlado demuestre mejora &gt; 3pp en AUC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   sobre el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baseline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, en el mismo set de test temporal.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3. La ganancia en AUC no venga acompañada de deterioro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   significativo en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explicabilidad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para auditoría.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>Si las tres condiciones no se cumplen simultáneamente,</w:t>
      </w:r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br/>
        <w:t xml:space="preserve">el </w:t>
      </w:r>
      <w:proofErr w:type="spellStart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>baseline</w:t>
      </w:r>
      <w:proofErr w:type="spellEnd"/>
      <w:r w:rsidRPr="00AE6DB8">
        <w:rPr>
          <w:rFonts w:ascii="Courier New" w:eastAsia="Courier New" w:hAnsi="Courier New" w:cs="Courier New"/>
          <w:color w:val="1A3A5C"/>
          <w:sz w:val="18"/>
          <w:szCs w:val="18"/>
          <w:lang w:val="es-EC"/>
        </w:rPr>
        <w:t xml:space="preserve"> permanece como modelo de producción.</w:t>
      </w:r>
    </w:p>
    <w:p w14:paraId="17483EE3" w14:textId="77777777" w:rsidR="006F6193" w:rsidRPr="00AE6DB8" w:rsidRDefault="006F6193">
      <w:pPr>
        <w:spacing w:after="160"/>
        <w:rPr>
          <w:lang w:val="es-EC"/>
        </w:rPr>
      </w:pPr>
    </w:p>
    <w:p w14:paraId="49A13BC4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Lo que SÍ se entrega en Fase 1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6401"/>
        <w:gridCol w:w="2959"/>
      </w:tblGrid>
      <w:tr w:rsidR="006F6193" w:rsidRPr="00AE6DB8" w14:paraId="38B5A36D" w14:textId="77777777">
        <w:trPr>
          <w:tblHeader/>
        </w:trPr>
        <w:tc>
          <w:tcPr>
            <w:tcW w:w="64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497EBBF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Entregable</w:t>
            </w:r>
          </w:p>
        </w:tc>
        <w:tc>
          <w:tcPr>
            <w:tcW w:w="29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1DFE1D4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Estado</w:t>
            </w:r>
          </w:p>
        </w:tc>
      </w:tr>
      <w:tr w:rsidR="006F6193" w:rsidRPr="00AE6DB8" w14:paraId="27C1204E" w14:textId="77777777">
        <w:tc>
          <w:tcPr>
            <w:tcW w:w="64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B4B71C1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Modelo de propensión por producto calibrado</w:t>
            </w:r>
          </w:p>
        </w:tc>
        <w:tc>
          <w:tcPr>
            <w:tcW w:w="29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857B4D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Comprometido</w:t>
            </w:r>
          </w:p>
        </w:tc>
      </w:tr>
      <w:tr w:rsidR="006F6193" w:rsidRPr="00AE6DB8" w14:paraId="15D58191" w14:textId="77777777">
        <w:tc>
          <w:tcPr>
            <w:tcW w:w="64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7010A68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Split temporal estricto sin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leakage</w:t>
            </w:r>
            <w:proofErr w:type="spellEnd"/>
          </w:p>
        </w:tc>
        <w:tc>
          <w:tcPr>
            <w:tcW w:w="29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DF908DB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Comprometido</w:t>
            </w:r>
          </w:p>
        </w:tc>
      </w:tr>
      <w:tr w:rsidR="006F6193" w:rsidRPr="00AE6DB8" w14:paraId="52A03C55" w14:textId="77777777">
        <w:tc>
          <w:tcPr>
            <w:tcW w:w="64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AD86082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Métricas de validación: AUC, KS,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Lift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>, PSI</w:t>
            </w:r>
          </w:p>
        </w:tc>
        <w:tc>
          <w:tcPr>
            <w:tcW w:w="29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9FB23FC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Comprometido</w:t>
            </w:r>
          </w:p>
        </w:tc>
      </w:tr>
      <w:tr w:rsidR="006F6193" w:rsidRPr="00AE6DB8" w14:paraId="4424A872" w14:textId="77777777">
        <w:tc>
          <w:tcPr>
            <w:tcW w:w="64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837752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Umbral de activación calibrado sobre validación</w:t>
            </w:r>
          </w:p>
        </w:tc>
        <w:tc>
          <w:tcPr>
            <w:tcW w:w="29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2961EB4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Comprometido</w:t>
            </w:r>
          </w:p>
        </w:tc>
      </w:tr>
      <w:tr w:rsidR="006F6193" w:rsidRPr="00AE6DB8" w14:paraId="6875C455" w14:textId="77777777">
        <w:tc>
          <w:tcPr>
            <w:tcW w:w="64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D5EFB13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Output mensual por cliente listo para canales</w:t>
            </w:r>
          </w:p>
        </w:tc>
        <w:tc>
          <w:tcPr>
            <w:tcW w:w="29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FD2E3B0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Comprometido</w:t>
            </w:r>
          </w:p>
        </w:tc>
      </w:tr>
      <w:tr w:rsidR="006F6193" w:rsidRPr="00AE6DB8" w14:paraId="3767EC69" w14:textId="77777777">
        <w:tc>
          <w:tcPr>
            <w:tcW w:w="64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8F9D23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Monitoreo de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drift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desde el primer mes en producción</w:t>
            </w:r>
          </w:p>
        </w:tc>
        <w:tc>
          <w:tcPr>
            <w:tcW w:w="29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3023995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Comprometido</w:t>
            </w:r>
          </w:p>
        </w:tc>
      </w:tr>
      <w:tr w:rsidR="006F6193" w:rsidRPr="00AE6DB8" w14:paraId="54C44DE2" w14:textId="77777777">
        <w:tc>
          <w:tcPr>
            <w:tcW w:w="640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8E5458C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lastRenderedPageBreak/>
              <w:t>Documentación auditable del pipeline completo</w:t>
            </w:r>
          </w:p>
        </w:tc>
        <w:tc>
          <w:tcPr>
            <w:tcW w:w="295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EA9D7AF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Comprometido</w:t>
            </w:r>
          </w:p>
        </w:tc>
      </w:tr>
    </w:tbl>
    <w:p w14:paraId="09ECB3F1" w14:textId="77777777" w:rsidR="006F6193" w:rsidRPr="00AE6DB8" w:rsidRDefault="006F6193">
      <w:pPr>
        <w:spacing w:after="160"/>
        <w:rPr>
          <w:lang w:val="es-EC"/>
        </w:rPr>
      </w:pPr>
    </w:p>
    <w:p w14:paraId="58BFDA0C" w14:textId="77777777" w:rsidR="006F6193" w:rsidRPr="00AE6DB8" w:rsidRDefault="00000000">
      <w:pPr>
        <w:pStyle w:val="Ttulo2"/>
        <w:rPr>
          <w:lang w:val="es-EC"/>
        </w:rPr>
      </w:pPr>
      <w:r w:rsidRPr="00AE6DB8">
        <w:rPr>
          <w:lang w:val="es-EC"/>
        </w:rPr>
        <w:t>Las Tres Fases del Sistema Completo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799"/>
        <w:gridCol w:w="3801"/>
        <w:gridCol w:w="3760"/>
      </w:tblGrid>
      <w:tr w:rsidR="006F6193" w:rsidRPr="00AE6DB8" w14:paraId="24353461" w14:textId="77777777">
        <w:trPr>
          <w:tblHeader/>
        </w:trPr>
        <w:tc>
          <w:tcPr>
            <w:tcW w:w="17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531CF2B9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Fase</w:t>
            </w:r>
          </w:p>
        </w:tc>
        <w:tc>
          <w:tcPr>
            <w:tcW w:w="38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1898806C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Pregunta que responde</w:t>
            </w:r>
          </w:p>
        </w:tc>
        <w:tc>
          <w:tcPr>
            <w:tcW w:w="37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1F3864"/>
          </w:tcPr>
          <w:p w14:paraId="2D83613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b/>
                <w:bCs/>
                <w:color w:val="FFFFFF"/>
                <w:sz w:val="20"/>
                <w:szCs w:val="20"/>
                <w:lang w:val="es-EC"/>
              </w:rPr>
              <w:t>Herramientas</w:t>
            </w:r>
          </w:p>
        </w:tc>
      </w:tr>
      <w:tr w:rsidR="006F6193" w:rsidRPr="00AE6DB8" w14:paraId="2232C55F" w14:textId="77777777">
        <w:tc>
          <w:tcPr>
            <w:tcW w:w="17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82725F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Fase 1 (este documento)</w:t>
            </w:r>
          </w:p>
        </w:tc>
        <w:tc>
          <w:tcPr>
            <w:tcW w:w="38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0E8151B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¿Lo aceptará?</w:t>
            </w:r>
          </w:p>
        </w:tc>
        <w:tc>
          <w:tcPr>
            <w:tcW w:w="37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27E4BE7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Propensión calibrada, ranking, umbral</w:t>
            </w:r>
          </w:p>
        </w:tc>
      </w:tr>
      <w:tr w:rsidR="006F6193" w:rsidRPr="00AE6DB8" w14:paraId="61A38D0E" w14:textId="77777777">
        <w:tc>
          <w:tcPr>
            <w:tcW w:w="17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0CA946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Fase 2</w:t>
            </w:r>
          </w:p>
        </w:tc>
        <w:tc>
          <w:tcPr>
            <w:tcW w:w="38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6ABBA16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¿Es rentable ofrecérselo?</w:t>
            </w:r>
          </w:p>
        </w:tc>
        <w:tc>
          <w:tcPr>
            <w:tcW w:w="37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50EBE33" w14:textId="77777777" w:rsidR="006F6193" w:rsidRPr="00AE6DB8" w:rsidRDefault="00000000">
            <w:pPr>
              <w:rPr>
                <w:lang w:val="es-EC"/>
              </w:rPr>
            </w:pP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Expected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</w:t>
            </w:r>
            <w:proofErr w:type="spellStart"/>
            <w:r w:rsidRPr="00AE6DB8">
              <w:rPr>
                <w:color w:val="1A1A2E"/>
                <w:sz w:val="20"/>
                <w:szCs w:val="20"/>
                <w:lang w:val="es-EC"/>
              </w:rPr>
              <w:t>Value</w:t>
            </w:r>
            <w:proofErr w:type="spellEnd"/>
            <w:r w:rsidRPr="00AE6DB8">
              <w:rPr>
                <w:color w:val="1A1A2E"/>
                <w:sz w:val="20"/>
                <w:szCs w:val="20"/>
                <w:lang w:val="es-EC"/>
              </w:rPr>
              <w:t xml:space="preserve"> + PD + LGD</w:t>
            </w:r>
          </w:p>
        </w:tc>
      </w:tr>
      <w:tr w:rsidR="006F6193" w:rsidRPr="00AE6DB8" w14:paraId="2CB6C83F" w14:textId="77777777">
        <w:tc>
          <w:tcPr>
            <w:tcW w:w="1799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A674CD1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Fase 3</w:t>
            </w:r>
          </w:p>
        </w:tc>
        <w:tc>
          <w:tcPr>
            <w:tcW w:w="3801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7FADBFF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¿Optimiza el capital del banco?</w:t>
            </w:r>
          </w:p>
        </w:tc>
        <w:tc>
          <w:tcPr>
            <w:tcW w:w="3760" w:type="dxa"/>
            <w:tcBorders>
              <w:top w:val="single" w:sz="2" w:space="0" w:color="BBCFE0"/>
              <w:left w:val="single" w:sz="2" w:space="0" w:color="BBCFE0"/>
              <w:bottom w:val="single" w:sz="2" w:space="0" w:color="BBCFE0"/>
              <w:right w:val="single" w:sz="2" w:space="0" w:color="BBCFE0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DD698F4" w14:textId="77777777" w:rsidR="006F6193" w:rsidRPr="00AE6DB8" w:rsidRDefault="00000000">
            <w:pPr>
              <w:rPr>
                <w:lang w:val="es-EC"/>
              </w:rPr>
            </w:pPr>
            <w:r w:rsidRPr="00AE6DB8">
              <w:rPr>
                <w:color w:val="1A1A2E"/>
                <w:sz w:val="20"/>
                <w:szCs w:val="20"/>
                <w:lang w:val="es-EC"/>
              </w:rPr>
              <w:t>RAROC + restricción RWA + MIP</w:t>
            </w:r>
          </w:p>
        </w:tc>
      </w:tr>
    </w:tbl>
    <w:p w14:paraId="7B2CD93F" w14:textId="77777777" w:rsidR="006F6193" w:rsidRPr="00AE6DB8" w:rsidRDefault="006F6193">
      <w:pPr>
        <w:spacing w:after="240"/>
        <w:rPr>
          <w:lang w:val="es-EC"/>
        </w:rPr>
      </w:pPr>
    </w:p>
    <w:tbl>
      <w:tblPr>
        <w:tblW w:w="9360" w:type="dxa"/>
        <w:tblLayout w:type="fixed"/>
        <w:tblCellMar>
          <w:top w:w="300" w:type="dxa"/>
          <w:left w:w="400" w:type="dxa"/>
          <w:bottom w:w="300" w:type="dxa"/>
          <w:right w:w="400" w:type="dxa"/>
        </w:tblCellMar>
        <w:tblLook w:val="04A0" w:firstRow="1" w:lastRow="0" w:firstColumn="1" w:lastColumn="0" w:noHBand="0" w:noVBand="1"/>
      </w:tblPr>
      <w:tblGrid>
        <w:gridCol w:w="9360"/>
      </w:tblGrid>
      <w:tr w:rsidR="006F6193" w:rsidRPr="00AE6DB8" w14:paraId="41A88409" w14:textId="77777777">
        <w:tc>
          <w:tcPr>
            <w:tcW w:w="9360" w:type="dxa"/>
            <w:shd w:val="clear" w:color="auto" w:fill="1F3864"/>
          </w:tcPr>
          <w:p w14:paraId="02974738" w14:textId="77777777" w:rsidR="006F6193" w:rsidRPr="00AE6DB8" w:rsidRDefault="00000000">
            <w:pPr>
              <w:jc w:val="center"/>
              <w:rPr>
                <w:lang w:val="es-EC"/>
              </w:rPr>
            </w:pPr>
            <w:r w:rsidRPr="00AE6DB8">
              <w:rPr>
                <w:color w:val="FFFFFF"/>
                <w:sz w:val="20"/>
                <w:szCs w:val="20"/>
                <w:lang w:val="es-EC"/>
              </w:rPr>
              <w:t>Documento preparado por la Dirección de Analítica y CRM</w:t>
            </w:r>
          </w:p>
          <w:p w14:paraId="0093D03E" w14:textId="1D1AE829" w:rsidR="006F6193" w:rsidRPr="00AE6DB8" w:rsidRDefault="00AE6DB8">
            <w:pPr>
              <w:jc w:val="center"/>
              <w:rPr>
                <w:lang w:val="es-EC"/>
              </w:rPr>
            </w:pPr>
            <w:proofErr w:type="gramStart"/>
            <w:r w:rsidRPr="00AE6DB8">
              <w:rPr>
                <w:color w:val="AECCE8"/>
                <w:sz w:val="18"/>
                <w:szCs w:val="18"/>
                <w:lang w:val="es-EC"/>
              </w:rPr>
              <w:t>RBlJosé</w:t>
            </w:r>
            <w:r w:rsidR="00000000" w:rsidRPr="00AE6DB8">
              <w:rPr>
                <w:color w:val="AECCE8"/>
                <w:sz w:val="18"/>
                <w:szCs w:val="18"/>
                <w:lang w:val="es-EC"/>
              </w:rPr>
              <w:t xml:space="preserve">  —</w:t>
            </w:r>
            <w:proofErr w:type="gramEnd"/>
            <w:r w:rsidR="00000000" w:rsidRPr="00AE6DB8">
              <w:rPr>
                <w:color w:val="AECCE8"/>
                <w:sz w:val="18"/>
                <w:szCs w:val="18"/>
                <w:lang w:val="es-EC"/>
              </w:rPr>
              <w:t xml:space="preserve">  Marzo 2026 </w:t>
            </w:r>
          </w:p>
        </w:tc>
      </w:tr>
    </w:tbl>
    <w:p w14:paraId="78DE2FDE" w14:textId="77777777" w:rsidR="00875FAC" w:rsidRPr="00AE6DB8" w:rsidRDefault="00875FAC">
      <w:pPr>
        <w:rPr>
          <w:lang w:val="es-EC"/>
        </w:rPr>
      </w:pPr>
    </w:p>
    <w:sectPr w:rsidR="00875FAC" w:rsidRPr="00AE6DB8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44470" w14:textId="77777777" w:rsidR="00875FAC" w:rsidRDefault="00875FAC">
      <w:r>
        <w:separator/>
      </w:r>
    </w:p>
  </w:endnote>
  <w:endnote w:type="continuationSeparator" w:id="0">
    <w:p w14:paraId="6F8F9457" w14:textId="77777777" w:rsidR="00875FAC" w:rsidRDefault="00875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E0C94" w14:textId="5D8209D5" w:rsidR="006F6193" w:rsidRPr="00AE6DB8" w:rsidRDefault="00000000">
    <w:pPr>
      <w:pBdr>
        <w:top w:val="single" w:sz="4" w:space="4" w:color="2E75B6"/>
      </w:pBdr>
      <w:tabs>
        <w:tab w:val="right" w:pos="9360"/>
      </w:tabs>
      <w:rPr>
        <w:lang w:val="es-419"/>
      </w:rPr>
    </w:pPr>
    <w:r w:rsidRPr="00AE6DB8">
      <w:rPr>
        <w:color w:val="888888"/>
        <w:sz w:val="16"/>
        <w:szCs w:val="16"/>
        <w:lang w:val="es-419"/>
      </w:rPr>
      <w:t xml:space="preserve">Dirección de Analítica y CRM — </w:t>
    </w:r>
    <w:proofErr w:type="gramStart"/>
    <w:r w:rsidRPr="00AE6DB8">
      <w:rPr>
        <w:color w:val="888888"/>
        <w:sz w:val="16"/>
        <w:szCs w:val="16"/>
        <w:lang w:val="es-419"/>
      </w:rPr>
      <w:t>Marzo</w:t>
    </w:r>
    <w:proofErr w:type="gramEnd"/>
    <w:r w:rsidRPr="00AE6DB8">
      <w:rPr>
        <w:color w:val="888888"/>
        <w:sz w:val="16"/>
        <w:szCs w:val="16"/>
        <w:lang w:val="es-419"/>
      </w:rPr>
      <w:t xml:space="preserve"> 2026</w:t>
    </w:r>
    <w:r w:rsidRPr="00AE6DB8">
      <w:rPr>
        <w:sz w:val="16"/>
        <w:szCs w:val="16"/>
        <w:lang w:val="es-419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11F56" w14:textId="77777777" w:rsidR="006F6193" w:rsidRDefault="00000000">
    <w:pPr>
      <w:pBdr>
        <w:top w:val="single" w:sz="4" w:space="4" w:color="2E75B6"/>
      </w:pBdr>
      <w:tabs>
        <w:tab w:val="right" w:pos="9360"/>
      </w:tabs>
    </w:pPr>
    <w:proofErr w:type="spellStart"/>
    <w:r>
      <w:rPr>
        <w:color w:val="888888"/>
        <w:sz w:val="16"/>
        <w:szCs w:val="16"/>
      </w:rPr>
      <w:t>Dirección</w:t>
    </w:r>
    <w:proofErr w:type="spellEnd"/>
    <w:r>
      <w:rPr>
        <w:color w:val="888888"/>
        <w:sz w:val="16"/>
        <w:szCs w:val="16"/>
      </w:rPr>
      <w:t xml:space="preserve"> de </w:t>
    </w:r>
    <w:proofErr w:type="spellStart"/>
    <w:r>
      <w:rPr>
        <w:color w:val="888888"/>
        <w:sz w:val="16"/>
        <w:szCs w:val="16"/>
      </w:rPr>
      <w:t>Analítica</w:t>
    </w:r>
    <w:proofErr w:type="spellEnd"/>
    <w:r>
      <w:rPr>
        <w:color w:val="888888"/>
        <w:sz w:val="16"/>
        <w:szCs w:val="16"/>
      </w:rPr>
      <w:t xml:space="preserve"> y </w:t>
    </w:r>
    <w:proofErr w:type="gramStart"/>
    <w:r>
      <w:rPr>
        <w:color w:val="888888"/>
        <w:sz w:val="16"/>
        <w:szCs w:val="16"/>
      </w:rPr>
      <w:t>CRM  —</w:t>
    </w:r>
    <w:proofErr w:type="gramEnd"/>
    <w:r>
      <w:rPr>
        <w:color w:val="888888"/>
        <w:sz w:val="16"/>
        <w:szCs w:val="16"/>
      </w:rPr>
      <w:t xml:space="preserve">  Marzo 2026</w:t>
    </w:r>
    <w:r>
      <w:rPr>
        <w:sz w:val="16"/>
        <w:szCs w:val="16"/>
      </w:rPr>
      <w:tab/>
    </w:r>
    <w:r>
      <w:rPr>
        <w:b/>
        <w:bCs/>
        <w:color w:val="888888"/>
        <w:sz w:val="16"/>
        <w:szCs w:val="16"/>
      </w:rPr>
      <w:t>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B27F3" w14:textId="77777777" w:rsidR="00875FAC" w:rsidRDefault="00875FAC">
      <w:r>
        <w:separator/>
      </w:r>
    </w:p>
  </w:footnote>
  <w:footnote w:type="continuationSeparator" w:id="0">
    <w:p w14:paraId="0513C28E" w14:textId="77777777" w:rsidR="00875FAC" w:rsidRDefault="00875F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A259" w14:textId="0096915D" w:rsidR="006F6193" w:rsidRPr="00AE6DB8" w:rsidRDefault="00000000">
    <w:pPr>
      <w:pBdr>
        <w:bottom w:val="single" w:sz="6" w:space="4" w:color="2E75B6"/>
      </w:pBdr>
      <w:rPr>
        <w:lang w:val="es-419"/>
      </w:rPr>
    </w:pPr>
    <w:r w:rsidRPr="00AE6DB8">
      <w:rPr>
        <w:b/>
        <w:bCs/>
        <w:color w:val="2E75B6"/>
        <w:sz w:val="18"/>
        <w:szCs w:val="18"/>
        <w:lang w:val="es-419"/>
      </w:rPr>
      <w:t xml:space="preserve">CONFIDENCIAL — </w:t>
    </w:r>
    <w:r w:rsidR="00AE6DB8" w:rsidRPr="00AE6DB8">
      <w:rPr>
        <w:b/>
        <w:bCs/>
        <w:color w:val="2E75B6"/>
        <w:sz w:val="18"/>
        <w:szCs w:val="18"/>
        <w:lang w:val="es-419"/>
      </w:rPr>
      <w:t>RBlJosé</w:t>
    </w:r>
    <w:r w:rsidRPr="00AE6DB8">
      <w:rPr>
        <w:color w:val="888888"/>
        <w:sz w:val="18"/>
        <w:szCs w:val="18"/>
        <w:lang w:val="es-419"/>
      </w:rPr>
      <w:t>|   Sistema NBO — Diseño Completo Pasos 1–7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B38F7" w14:textId="33C85F34" w:rsidR="006F6193" w:rsidRDefault="00000000">
    <w:pPr>
      <w:pBdr>
        <w:bottom w:val="single" w:sz="6" w:space="4" w:color="2E75B6"/>
      </w:pBdr>
    </w:pPr>
    <w:r>
      <w:rPr>
        <w:b/>
        <w:bCs/>
        <w:color w:val="2E75B6"/>
        <w:sz w:val="18"/>
        <w:szCs w:val="18"/>
      </w:rPr>
      <w:t xml:space="preserve">CONFIDENCIAL — </w:t>
    </w:r>
    <w:r w:rsidR="00AE6DB8">
      <w:rPr>
        <w:b/>
        <w:bCs/>
        <w:color w:val="2E75B6"/>
        <w:sz w:val="18"/>
        <w:szCs w:val="18"/>
      </w:rPr>
      <w:t>RBlJosé</w:t>
    </w:r>
    <w:r>
      <w:rPr>
        <w:color w:val="888888"/>
        <w:sz w:val="18"/>
        <w:szCs w:val="18"/>
      </w:rPr>
      <w:t xml:space="preserve">|   Sistema NBO — </w:t>
    </w:r>
    <w:proofErr w:type="spellStart"/>
    <w:r>
      <w:rPr>
        <w:color w:val="888888"/>
        <w:sz w:val="18"/>
        <w:szCs w:val="18"/>
      </w:rPr>
      <w:t>Diseño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Completo</w:t>
    </w:r>
    <w:proofErr w:type="spellEnd"/>
    <w:r>
      <w:rPr>
        <w:color w:val="888888"/>
        <w:sz w:val="18"/>
        <w:szCs w:val="18"/>
      </w:rPr>
      <w:t xml:space="preserve"> Pasos 1–7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27A16"/>
    <w:multiLevelType w:val="multilevel"/>
    <w:tmpl w:val="CA56CB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122511C"/>
    <w:multiLevelType w:val="multilevel"/>
    <w:tmpl w:val="A7FA92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89619664">
    <w:abstractNumId w:val="0"/>
  </w:num>
  <w:num w:numId="2" w16cid:durableId="1938826881">
    <w:abstractNumId w:val="1"/>
  </w:num>
  <w:num w:numId="3" w16cid:durableId="73937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193"/>
    <w:rsid w:val="006F6193"/>
    <w:rsid w:val="00875FAC"/>
    <w:rsid w:val="00AE6DB8"/>
    <w:rsid w:val="00FD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99E47"/>
  <w15:docId w15:val="{88FAC33C-AB0C-45B9-A861-393385E49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uiPriority w:val="9"/>
    <w:qFormat/>
    <w:pPr>
      <w:spacing w:before="480" w:after="200"/>
      <w:outlineLvl w:val="0"/>
    </w:pPr>
    <w:rPr>
      <w:rFonts w:ascii="Arial" w:eastAsia="Arial" w:hAnsi="Arial" w:cs="Arial"/>
      <w:b/>
      <w:bCs/>
      <w:color w:val="1F3864"/>
      <w:sz w:val="38"/>
      <w:szCs w:val="38"/>
    </w:rPr>
  </w:style>
  <w:style w:type="paragraph" w:styleId="Ttulo2">
    <w:name w:val="heading 2"/>
    <w:basedOn w:val="Heading"/>
    <w:uiPriority w:val="9"/>
    <w:unhideWhenUsed/>
    <w:qFormat/>
    <w:pPr>
      <w:spacing w:before="320" w:after="160"/>
      <w:outlineLvl w:val="1"/>
    </w:pPr>
    <w:rPr>
      <w:rFonts w:ascii="Arial" w:eastAsia="Arial" w:hAnsi="Arial" w:cs="Arial"/>
      <w:b/>
      <w:bCs/>
      <w:color w:val="2E75B6"/>
    </w:rPr>
  </w:style>
  <w:style w:type="paragraph" w:styleId="Ttulo3">
    <w:name w:val="heading 3"/>
    <w:basedOn w:val="Heading"/>
    <w:uiPriority w:val="9"/>
    <w:semiHidden/>
    <w:unhideWhenUsed/>
    <w:qFormat/>
    <w:pPr>
      <w:spacing w:before="220"/>
      <w:outlineLvl w:val="2"/>
    </w:pPr>
    <w:rPr>
      <w:rFonts w:ascii="Arial" w:eastAsia="Arial" w:hAnsi="Arial" w:cs="Arial"/>
      <w:b/>
      <w:bCs/>
      <w:color w:val="1F3864"/>
      <w:sz w:val="24"/>
      <w:szCs w:val="24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rrafodelista">
    <w:name w:val="List Paragraph"/>
    <w:qFormat/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HeaderandFooter"/>
  </w:style>
  <w:style w:type="paragraph" w:styleId="Piedepgina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2751</Words>
  <Characters>15135</Characters>
  <Application>Microsoft Office Word</Application>
  <DocSecurity>0</DocSecurity>
  <Lines>126</Lines>
  <Paragraphs>35</Paragraphs>
  <ScaleCrop>false</ScaleCrop>
  <Company/>
  <LinksUpToDate>false</LinksUpToDate>
  <CharactersWithSpaces>17851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Luis</cp:lastModifiedBy>
  <cp:revision>2</cp:revision>
  <dcterms:created xsi:type="dcterms:W3CDTF">2026-06-16T16:16:00Z</dcterms:created>
  <dcterms:modified xsi:type="dcterms:W3CDTF">2026-06-16T16:21:00Z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2026-03-04T16:12:02Z</dcterms:created>
  <dc:creator>Un-named</dc:creator>
  <dc:description/>
  <dc:language>en-US</dc:language>
  <cp:lastModifiedBy>Un-named</cp:lastModifiedBy>
  <dcterms:modified xsi:type="dcterms:W3CDTF">2026-03-04T16:12:02Z</dcterms:modified>
  <cp:revision>1</cp:revision>
  <dc:subject/>
  <dc:title/>
</cp:coreProperties>
</file>