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before="480" w:after="0"/>
        <w:jc w:val="center"/>
      </w:pPr>
      <w:r>
        <w:rPr>
          <w:rFonts w:ascii="Arial" w:cs="Arial" w:eastAsia="Arial" w:hAnsi="Arial"/>
          <w:b/>
          <w:bCs/>
          <w:color w:val="FFFFFF"/>
          <w:sz w:val="52"/>
          <w:szCs w:val="52"/>
        </w:rPr>
        <w:t xml:space="preserve">INFORME EJECUTIVO</w:t>
      </w:r>
    </w:p>
    <w:p>
      <w:pPr>
        <w:shd w:fill="1A1A2E" w:val="clear"/>
        <w:spacing w:before="0" w:after="0"/>
        <w:jc w:val="center"/>
      </w:pPr>
      <w:r>
        <w:rPr>
          <w:rFonts w:ascii="Arial" w:cs="Arial" w:eastAsia="Arial" w:hAnsi="Arial"/>
          <w:color w:val="C9A227"/>
          <w:sz w:val="36"/>
          <w:szCs w:val="36"/>
        </w:rPr>
        <w:t xml:space="preserve">Comportamiento de Clientes</w:t>
      </w:r>
    </w:p>
    <w:p>
      <w:pPr>
        <w:shd w:fill="1A1A2E" w:val="clear"/>
        <w:spacing w:before="80" w:after="0"/>
        <w:jc w:val="center"/>
      </w:pPr>
      <w:r>
        <w:rPr>
          <w:rFonts w:ascii="Arial" w:cs="Arial" w:eastAsia="Arial" w:hAnsi="Arial"/>
          <w:i/>
          <w:iCs/>
          <w:color w:val="CCCCCC"/>
          <w:sz w:val="22"/>
          <w:szCs w:val="22"/>
        </w:rPr>
        <w:t xml:space="preserve">Retención, Rentabilidad y Segmentación Estratégica</w:t>
      </w:r>
    </w:p>
    <w:p>
      <w:pPr>
        <w:shd w:fill="1A1A2E" w:val="clear"/>
        <w:spacing w:before="0" w:after="0"/>
        <w:jc w:val="center"/>
      </w:pPr>
      <w:r>
        <w:rPr>
          <w:rFonts w:ascii="Arial" w:cs="Arial" w:eastAsia="Arial" w:hAnsi="Arial"/>
          <w:color w:val="1A1A2E"/>
          <w:sz w:val="28"/>
          <w:szCs w:val="2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A1A2E" w:val="clear"/>
            <w:tcMar>
              <w:top w:type="dxa" w:w="80"/>
              <w:left w:type="dxa" w:w="200"/>
              <w:bottom w:type="dxa" w:w="80"/>
              <w:right w:type="dxa" w:w="200"/>
            </w:tcMar>
          </w:tcPr>
          <w:p>
            <w:r>
              <w:rPr>
                <w:rFonts w:ascii="Arial" w:cs="Arial" w:eastAsia="Arial" w:hAnsi="Arial"/>
                <w:color w:val="AAAAAA"/>
                <w:sz w:val="18"/>
                <w:szCs w:val="18"/>
              </w:rPr>
              <w:t xml:space="preserve">Empresa</w:t>
            </w:r>
          </w:p>
          <w:p>
            <w:r>
              <w:rPr>
                <w:rFonts w:ascii="Arial" w:cs="Arial" w:eastAsia="Arial" w:hAnsi="Arial"/>
                <w:b/>
                <w:bCs/>
                <w:color w:val="FFFFFF"/>
                <w:sz w:val="22"/>
                <w:szCs w:val="22"/>
              </w:rPr>
              <w:t xml:space="preserve">RBIJose</w:t>
            </w:r>
          </w:p>
        </w:tc>
        <w:tc>
          <w:tcPr>
            <w:tcW w:type="dxa" w:w="3120"/>
            <w:tcBorders>
              <w:top w:val="none" w:color="FFFFFF" w:sz="0"/>
              <w:left w:val="none" w:color="FFFFFF" w:sz="0"/>
              <w:bottom w:val="none" w:color="FFFFFF" w:sz="0"/>
              <w:right w:val="none" w:color="FFFFFF" w:sz="0"/>
            </w:tcBorders>
            <w:shd w:fill="1A1A2E" w:val="clear"/>
            <w:tcMar>
              <w:top w:type="dxa" w:w="80"/>
              <w:left w:type="dxa" w:w="200"/>
              <w:bottom w:type="dxa" w:w="80"/>
              <w:right w:type="dxa" w:w="200"/>
            </w:tcMar>
          </w:tcPr>
          <w:p>
            <w:r>
              <w:rPr>
                <w:rFonts w:ascii="Arial" w:cs="Arial" w:eastAsia="Arial" w:hAnsi="Arial"/>
                <w:color w:val="AAAAAA"/>
                <w:sz w:val="18"/>
                <w:szCs w:val="18"/>
              </w:rPr>
              <w:t xml:space="preserve">Periodo</w:t>
            </w:r>
          </w:p>
          <w:p>
            <w:r>
              <w:rPr>
                <w:rFonts w:ascii="Arial" w:cs="Arial" w:eastAsia="Arial" w:hAnsi="Arial"/>
                <w:b/>
                <w:bCs/>
                <w:color w:val="FFFFFF"/>
                <w:sz w:val="22"/>
                <w:szCs w:val="22"/>
              </w:rPr>
              <w:t xml:space="preserve">Año Completo</w:t>
            </w:r>
          </w:p>
        </w:tc>
        <w:tc>
          <w:tcPr>
            <w:tcW w:type="dxa" w:w="3120"/>
            <w:tcBorders>
              <w:top w:val="none" w:color="FFFFFF" w:sz="0"/>
              <w:left w:val="none" w:color="FFFFFF" w:sz="0"/>
              <w:bottom w:val="none" w:color="FFFFFF" w:sz="0"/>
              <w:right w:val="none" w:color="FFFFFF" w:sz="0"/>
            </w:tcBorders>
            <w:shd w:fill="1A1A2E" w:val="clear"/>
            <w:tcMar>
              <w:top w:type="dxa" w:w="80"/>
              <w:left w:type="dxa" w:w="200"/>
              <w:bottom w:type="dxa" w:w="80"/>
              <w:right w:type="dxa" w:w="200"/>
            </w:tcMar>
          </w:tcPr>
          <w:p>
            <w:r>
              <w:rPr>
                <w:rFonts w:ascii="Arial" w:cs="Arial" w:eastAsia="Arial" w:hAnsi="Arial"/>
                <w:color w:val="AAAAAA"/>
                <w:sz w:val="18"/>
                <w:szCs w:val="18"/>
              </w:rPr>
              <w:t xml:space="preserve">Fecha</w:t>
            </w:r>
          </w:p>
          <w:p>
            <w:r>
              <w:rPr>
                <w:rFonts w:ascii="Arial" w:cs="Arial" w:eastAsia="Arial" w:hAnsi="Arial"/>
                <w:b/>
                <w:bCs/>
                <w:color w:val="FFFFFF"/>
                <w:sz w:val="22"/>
                <w:szCs w:val="22"/>
              </w:rPr>
              <w:t xml:space="preserve">Febrero 2026</w:t>
            </w:r>
          </w:p>
        </w:tc>
      </w:tr>
    </w:tbl>
    <w:p>
      <w:pPr>
        <w:shd w:fill="1A1A2E" w:val="clear"/>
        <w:spacing w:before="0" w:after="360"/>
      </w:pPr>
      <w:r>
        <w:rPr>
          <w:rFonts w:ascii="Arial" w:cs="Arial" w:eastAsia="Arial" w:hAnsi="Arial"/>
          <w:sz w:val="28"/>
          <w:szCs w:val="28"/>
        </w:rPr>
        <w:t xml:space="preserve">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2E" w:val="clear"/>
            <w:tcMar>
              <w:top w:type="dxa" w:w="160"/>
              <w:left w:type="dxa" w:w="200"/>
              <w:bottom w:type="dxa" w:w="160"/>
              <w:right w:type="dxa" w:w="200"/>
            </w:tcMar>
          </w:tcPr>
          <w:p>
            <w:pPr>
              <w:jc w:val="center"/>
            </w:pPr>
            <w:r>
              <w:rPr>
                <w:rFonts w:ascii="Arial" w:cs="Arial" w:eastAsia="Arial" w:hAnsi="Arial"/>
                <w:b/>
                <w:bCs/>
                <w:color w:val="C9A227"/>
                <w:sz w:val="52"/>
                <w:szCs w:val="52"/>
              </w:rPr>
              <w:t xml:space="preserve">3,900</w:t>
            </w:r>
          </w:p>
          <w:p>
            <w:pPr>
              <w:jc w:val="center"/>
            </w:pPr>
            <w:r>
              <w:rPr>
                <w:rFonts w:ascii="Arial" w:cs="Arial" w:eastAsia="Arial" w:hAnsi="Arial"/>
                <w:color w:val="FFFFFF"/>
                <w:sz w:val="18"/>
                <w:szCs w:val="18"/>
              </w:rPr>
              <w:t xml:space="preserve">Clientes Totales</w:t>
            </w:r>
          </w:p>
        </w:tc>
        <w:tc>
          <w:tcPr>
            <w:tcW w:type="dxa" w:w="2340"/>
            <w:tcBorders>
              <w:top w:val="single" w:color="DDDDDD" w:sz="1"/>
              <w:left w:val="single" w:color="DDDDDD" w:sz="1"/>
              <w:bottom w:val="single" w:color="DDDDDD" w:sz="1"/>
              <w:right w:val="single" w:color="DDDDDD" w:sz="1"/>
            </w:tcBorders>
            <w:shd w:fill="1A1A2E" w:val="clear"/>
            <w:tcMar>
              <w:top w:type="dxa" w:w="160"/>
              <w:left w:type="dxa" w:w="200"/>
              <w:bottom w:type="dxa" w:w="160"/>
              <w:right w:type="dxa" w:w="200"/>
            </w:tcMar>
          </w:tcPr>
          <w:p>
            <w:pPr>
              <w:jc w:val="center"/>
            </w:pPr>
            <w:r>
              <w:rPr>
                <w:rFonts w:ascii="Arial" w:cs="Arial" w:eastAsia="Arial" w:hAnsi="Arial"/>
                <w:b/>
                <w:bCs/>
                <w:color w:val="C9A227"/>
                <w:sz w:val="52"/>
                <w:szCs w:val="52"/>
              </w:rPr>
              <w:t xml:space="preserve">$233K</w:t>
            </w:r>
          </w:p>
          <w:p>
            <w:pPr>
              <w:jc w:val="center"/>
            </w:pPr>
            <w:r>
              <w:rPr>
                <w:rFonts w:ascii="Arial" w:cs="Arial" w:eastAsia="Arial" w:hAnsi="Arial"/>
                <w:color w:val="FFFFFF"/>
                <w:sz w:val="18"/>
                <w:szCs w:val="18"/>
              </w:rPr>
              <w:t xml:space="preserve">Ingresos Totales</w:t>
            </w:r>
          </w:p>
          <w:p>
            <w:pPr>
              <w:jc w:val="center"/>
            </w:pPr>
            <w:r>
              <w:rPr>
                <w:rFonts w:ascii="Arial" w:cs="Arial" w:eastAsia="Arial" w:hAnsi="Arial"/>
                <w:color w:val="AAAAAA"/>
                <w:sz w:val="16"/>
                <w:szCs w:val="16"/>
              </w:rPr>
              <w:t xml:space="preserve">$59,76 ticket promedio</w:t>
            </w:r>
          </w:p>
        </w:tc>
        <w:tc>
          <w:tcPr>
            <w:tcW w:type="dxa" w:w="2340"/>
            <w:tcBorders>
              <w:top w:val="single" w:color="DDDDDD" w:sz="1"/>
              <w:left w:val="single" w:color="DDDDDD" w:sz="1"/>
              <w:bottom w:val="single" w:color="DDDDDD" w:sz="1"/>
              <w:right w:val="single" w:color="DDDDDD" w:sz="1"/>
            </w:tcBorders>
            <w:shd w:fill="1A1A2E" w:val="clear"/>
            <w:tcMar>
              <w:top w:type="dxa" w:w="160"/>
              <w:left w:type="dxa" w:w="200"/>
              <w:bottom w:type="dxa" w:w="160"/>
              <w:right w:type="dxa" w:w="200"/>
            </w:tcMar>
          </w:tcPr>
          <w:p>
            <w:pPr>
              <w:jc w:val="center"/>
            </w:pPr>
            <w:r>
              <w:rPr>
                <w:rFonts w:ascii="Arial" w:cs="Arial" w:eastAsia="Arial" w:hAnsi="Arial"/>
                <w:b/>
                <w:bCs/>
                <w:color w:val="C9A227"/>
                <w:sz w:val="52"/>
                <w:szCs w:val="52"/>
              </w:rPr>
              <w:t xml:space="preserve">27%</w:t>
            </w:r>
          </w:p>
          <w:p>
            <w:pPr>
              <w:jc w:val="center"/>
            </w:pPr>
            <w:r>
              <w:rPr>
                <w:rFonts w:ascii="Arial" w:cs="Arial" w:eastAsia="Arial" w:hAnsi="Arial"/>
                <w:color w:val="FFFFFF"/>
                <w:sz w:val="18"/>
                <w:szCs w:val="18"/>
              </w:rPr>
              <w:t xml:space="preserve">Clientes Suscritos</w:t>
            </w:r>
          </w:p>
          <w:p>
            <w:pPr>
              <w:jc w:val="center"/>
            </w:pPr>
            <w:r>
              <w:rPr>
                <w:rFonts w:ascii="Arial" w:cs="Arial" w:eastAsia="Arial" w:hAnsi="Arial"/>
                <w:color w:val="AAAAAA"/>
                <w:sz w:val="16"/>
                <w:szCs w:val="16"/>
              </w:rPr>
              <w:t xml:space="preserve">Solo segmento masculino</w:t>
            </w:r>
          </w:p>
        </w:tc>
        <w:tc>
          <w:tcPr>
            <w:tcW w:type="dxa" w:w="2340"/>
            <w:tcBorders>
              <w:top w:val="single" w:color="DDDDDD" w:sz="1"/>
              <w:left w:val="single" w:color="DDDDDD" w:sz="1"/>
              <w:bottom w:val="single" w:color="DDDDDD" w:sz="1"/>
              <w:right w:val="single" w:color="DDDDDD" w:sz="1"/>
            </w:tcBorders>
            <w:shd w:fill="1A1A2E" w:val="clear"/>
            <w:tcMar>
              <w:top w:type="dxa" w:w="160"/>
              <w:left w:type="dxa" w:w="200"/>
              <w:bottom w:type="dxa" w:w="160"/>
              <w:right w:type="dxa" w:w="200"/>
            </w:tcMar>
          </w:tcPr>
          <w:p>
            <w:pPr>
              <w:jc w:val="center"/>
            </w:pPr>
            <w:r>
              <w:rPr>
                <w:rFonts w:ascii="Arial" w:cs="Arial" w:eastAsia="Arial" w:hAnsi="Arial"/>
                <w:b/>
                <w:bCs/>
                <w:color w:val="C9A227"/>
                <w:sz w:val="52"/>
                <w:szCs w:val="52"/>
              </w:rPr>
              <w:t xml:space="preserve">3.75</w:t>
            </w:r>
          </w:p>
          <w:p>
            <w:pPr>
              <w:jc w:val="center"/>
            </w:pPr>
            <w:r>
              <w:rPr>
                <w:rFonts w:ascii="Arial" w:cs="Arial" w:eastAsia="Arial" w:hAnsi="Arial"/>
                <w:color w:val="FFFFFF"/>
                <w:sz w:val="18"/>
                <w:szCs w:val="18"/>
              </w:rPr>
              <w:t xml:space="preserve">Calificación Promedio</w:t>
            </w:r>
          </w:p>
          <w:p>
            <w:pPr>
              <w:jc w:val="center"/>
            </w:pPr>
            <w:r>
              <w:rPr>
                <w:rFonts w:ascii="Arial" w:cs="Arial" w:eastAsia="Arial" w:hAnsi="Arial"/>
                <w:color w:val="AAAAAA"/>
                <w:sz w:val="16"/>
                <w:szCs w:val="16"/>
              </w:rPr>
              <w:t xml:space="preserve">Sobre 5.0</w:t>
            </w:r>
          </w:p>
        </w:tc>
      </w:tr>
    </w:tbl>
    <w:p>
      <w:pPr>
        <w:spacing w:before="80" w:after="80"/>
      </w:pPr>
      <w:r>
        <w:t xml:space="preserve"/>
      </w:r>
    </w:p>
    <w:p>
      <w:pPr>
        <w:pStyle w:val="Heading1"/>
        <w:pBdr>
          <w:bottom w:val="single" w:color="C9A227" w:sz="8" w:space="4"/>
        </w:pBdr>
        <w:spacing w:before="360" w:after="160"/>
      </w:pPr>
      <w:r>
        <w:rPr>
          <w:rFonts w:ascii="Arial" w:cs="Arial" w:eastAsia="Arial" w:hAnsi="Arial"/>
          <w:b/>
          <w:bCs/>
          <w:color w:val="1A1A2E"/>
          <w:sz w:val="28"/>
          <w:szCs w:val="28"/>
        </w:rPr>
        <w:t xml:space="preserve">1. Resumen Ejecutivo</w:t>
      </w:r>
    </w:p>
    <w:p>
      <w:pPr>
        <w:spacing w:before="80" w:after="80"/>
        <w:jc w:val="both"/>
      </w:pPr>
      <w:r>
        <w:rPr>
          <w:rFonts w:ascii="Arial" w:cs="Arial" w:eastAsia="Arial" w:hAnsi="Arial"/>
          <w:color w:val="333333"/>
          <w:sz w:val="22"/>
          <w:szCs w:val="22"/>
        </w:rPr>
        <w:t xml:space="preserve">RBIJose opera una base de 3,900 clientes con ingresos totales de $233,080, un ticket promedio de $59.76 y una calificación de satisfacción de 3.75/5. Si bien la empresa demuestra solidez en volumen de ventas, este análisis revela una estructura de retención frágil y una segmentación de género profundamente desequilibrada que, de no corregirse, representa un riesgo latente sobre la sostenibilidad del negocio.</w:t>
      </w:r>
    </w:p>
    <w:p>
      <w:pPr>
        <w:spacing w:before="80" w:after="80"/>
      </w:pPr>
      <w:r>
        <w:t xml:space="preserve"/>
      </w:r>
    </w:p>
    <w:p>
      <w:pPr>
        <w:spacing w:before="80" w:after="80"/>
        <w:jc w:val="both"/>
      </w:pPr>
      <w:r>
        <w:rPr>
          <w:rFonts w:ascii="Arial" w:cs="Arial" w:eastAsia="Arial" w:hAnsi="Arial"/>
          <w:color w:val="333333"/>
          <w:sz w:val="22"/>
          <w:szCs w:val="22"/>
        </w:rPr>
        <w:t xml:space="preserve">El hallazgo más crítico: el 80% de los clientes corresponde a clientes leales y recurrentes, lo que evidencia una dependencia peligrosa en una base activa reducida. Al mismo tiempo, la ausencia total de suscripciones en el segmento femenino —que potencialmente representa el 50% del mercado— señala una oportunidad de crecimiento no capturada de primer orden. La Gerencia General debe priorizar acciones de conversión, retención femenina y optimización del portafolio de descuentos como ejes estratégicos para el próximo ciclo.</w:t>
      </w:r>
    </w:p>
    <w:p>
      <w:pPr>
        <w:pStyle w:val="Heading1"/>
        <w:pBdr>
          <w:bottom w:val="single" w:color="C9A227" w:sz="8" w:space="4"/>
        </w:pBdr>
        <w:spacing w:before="360" w:after="160"/>
      </w:pPr>
      <w:r>
        <w:rPr>
          <w:rFonts w:ascii="Arial" w:cs="Arial" w:eastAsia="Arial" w:hAnsi="Arial"/>
          <w:b/>
          <w:bCs/>
          <w:color w:val="1A1A2E"/>
          <w:sz w:val="28"/>
          <w:szCs w:val="28"/>
        </w:rPr>
        <w:t xml:space="preserve">2. Principales Hallazgos e Interpretación Estratégica</w:t>
      </w:r>
    </w:p>
    <w:p>
      <w:pPr>
        <w:pStyle w:val="Heading2"/>
        <w:spacing w:before="280" w:after="120"/>
      </w:pPr>
      <w:r>
        <w:rPr>
          <w:rFonts w:ascii="Arial" w:cs="Arial" w:eastAsia="Arial" w:hAnsi="Arial"/>
          <w:b/>
          <w:bCs/>
          <w:color w:val="1A1A2E"/>
          <w:sz w:val="24"/>
          <w:szCs w:val="24"/>
        </w:rPr>
        <w:t xml:space="preserve">2.1 Estructura de la Base de Clientes</w:t>
      </w:r>
    </w:p>
    <w:p>
      <w:pPr>
        <w:spacing w:before="80" w:after="80"/>
        <w:jc w:val="both"/>
      </w:pPr>
      <w:r>
        <w:rPr>
          <w:rFonts w:ascii="Arial" w:cs="Arial" w:eastAsia="Arial" w:hAnsi="Arial"/>
          <w:color w:val="333333"/>
          <w:sz w:val="22"/>
          <w:szCs w:val="22"/>
        </w:rPr>
        <w:t xml:space="preserve">De 3,900 clientes, 3,116 son leales, 701 recurrentes y solo 83 son nuevos. Esta distribución evidencia que la empresa es altamente eficiente en retener a quienes ya compran, pero prácticamente nula en adquisición. La tasa de clientes nuevos representa apenas el 2.1% de la base total, lo que implica que sin un flujo constante de captación, la base activa se erosionará en el mediano plazo por desgaste natural.</w:t>
      </w:r>
    </w:p>
    <w:p>
      <w:pPr>
        <w:spacing w:before="80" w:after="80"/>
      </w:pPr>
      <w:r>
        <w:t xml:space="preserve"/>
      </w:r>
    </w:p>
    <w:p>
      <w:pPr>
        <w:pBdr>
          <w:left w:val="single" w:color="C9A227" w:sz="12" w:space="8"/>
        </w:pBdr>
        <w:shd w:fill="FFF3CC" w:val="clear"/>
        <w:spacing w:before="120" w:after="120"/>
        <w:ind w:left="360" w:right="360"/>
      </w:pPr>
      <w:r>
        <w:rPr>
          <w:rFonts w:ascii="Arial" w:cs="Arial" w:eastAsia="Arial" w:hAnsi="Arial"/>
          <w:i/>
          <w:iCs/>
          <w:color w:val="1A1A2E"/>
          <w:sz w:val="21"/>
          <w:szCs w:val="21"/>
        </w:rPr>
        <w:t xml:space="preserve">Escenario de impacto estimado: Si la tasa de deserción natural es del 10% anual y el ingreso de nuevos clientes se mantiene en su nivel actual (~83 clientes/ciclo), la base activa podría reducirse un 8% en 12 meses, equivalente a una pérdida potencial de $18,600 en ingresos anualizados.</w:t>
      </w:r>
    </w:p>
    <w:p>
      <w:pPr>
        <w:pStyle w:val="Heading2"/>
        <w:spacing w:before="280" w:after="120"/>
      </w:pPr>
      <w:r>
        <w:rPr>
          <w:rFonts w:ascii="Arial" w:cs="Arial" w:eastAsia="Arial" w:hAnsi="Arial"/>
          <w:b/>
          <w:bCs/>
          <w:color w:val="1A1A2E"/>
          <w:sz w:val="24"/>
          <w:szCs w:val="24"/>
        </w:rPr>
        <w:t xml:space="preserve">2.2 Suscripciones: Brecha de Género Crítica</w:t>
      </w:r>
    </w:p>
    <w:p>
      <w:pPr>
        <w:spacing w:before="80" w:after="80"/>
        <w:jc w:val="both"/>
      </w:pPr>
      <w:r>
        <w:rPr>
          <w:rFonts w:ascii="Arial" w:cs="Arial" w:eastAsia="Arial" w:hAnsi="Arial"/>
          <w:color w:val="333333"/>
          <w:sz w:val="22"/>
          <w:szCs w:val="22"/>
        </w:rPr>
        <w:t xml:space="preserve">El 27% de los clientes cuenta con suscripción activa —equivalente a aproximadamente 1,053 clientes—, y el análisis por género revela que este porcentaje corresponde íntegramente al segmento masculino (40% de hombres suscritos) mientras que el 0% de mujeres mantiene suscripción activa. Se trata de una anomalía que no puede atribuirse únicamente a una diferencia de preferencia; más bien, indica que la propuesta de valor actual del modelo de suscripción no está comunicada, diseñada, ni adaptada para las necesidades del segmento femenino.</w:t>
      </w:r>
    </w:p>
    <w:p>
      <w:pPr>
        <w:spacing w:before="80" w:after="80"/>
      </w:pPr>
      <w:r>
        <w:t xml:space="preserve"/>
      </w:r>
    </w:p>
    <w:p>
      <w:pPr>
        <w:pBdr>
          <w:left w:val="single" w:color="27AE60" w:sz="12" w:space="8"/>
        </w:pBdr>
        <w:shd w:fill="EAF4EA" w:val="clear"/>
        <w:spacing w:before="120" w:after="120"/>
        <w:ind w:left="360" w:right="360"/>
      </w:pPr>
      <w:r>
        <w:rPr>
          <w:rFonts w:ascii="Arial" w:cs="Arial" w:eastAsia="Arial" w:hAnsi="Arial"/>
          <w:i/>
          <w:iCs/>
          <w:color w:val="1A1A2E"/>
          <w:sz w:val="21"/>
          <w:szCs w:val="21"/>
        </w:rPr>
        <w:t xml:space="preserve">Si se alcanzara una tasa de suscripción femenina equivalente al 20% —la mitad del nivel masculino—, esto representaría aproximadamente 390 nuevas suscripciones. Asumiendo un incremento de frecuencia de compra del 15%, el impacto en ingresos adicionales podría superar los $34,000 por ciclo.</w:t>
      </w:r>
    </w:p>
    <w:p>
      <w:pPr>
        <w:pStyle w:val="Heading2"/>
        <w:spacing w:before="280" w:after="120"/>
      </w:pPr>
      <w:r>
        <w:rPr>
          <w:rFonts w:ascii="Arial" w:cs="Arial" w:eastAsia="Arial" w:hAnsi="Arial"/>
          <w:b/>
          <w:bCs/>
          <w:color w:val="1A1A2E"/>
          <w:sz w:val="24"/>
          <w:szCs w:val="24"/>
        </w:rPr>
        <w:t xml:space="preserve">2.3 Rentabilidad del Portafolio por Categoría</w:t>
      </w:r>
    </w:p>
    <w:p>
      <w:pPr>
        <w:spacing w:before="80" w:after="80"/>
        <w:jc w:val="both"/>
      </w:pPr>
      <w:r>
        <w:rPr>
          <w:rFonts w:ascii="Arial" w:cs="Arial" w:eastAsia="Arial" w:hAnsi="Arial"/>
          <w:color w:val="333333"/>
          <w:sz w:val="22"/>
          <w:szCs w:val="22"/>
        </w:rPr>
        <w:t xml:space="preserve">La categoría Ropa lidera con $104,264 en ingresos y 1,737 clientes únicos, seguida por Accesorios con $74,200. Calzado y Abrigo, con $36,093 y $18,524 respectivamente, representan categorías de menor volumen pero con potencial de expansión. La distribución de clientes por grupo etario es homogénea —oscilando entre 942 y 1,028 clientes— lo que sugiere un producto de alcance transversal, aunque las ventas muestran que los jóvenes adultos generan mayor volumen ($62,000 vs. $56,000 del segmento mayor).</w:t>
      </w:r>
    </w:p>
    <w:p>
      <w:pPr>
        <w:pStyle w:val="Heading2"/>
        <w:spacing w:before="280" w:after="120"/>
      </w:pPr>
      <w:r>
        <w:rPr>
          <w:rFonts w:ascii="Arial" w:cs="Arial" w:eastAsia="Arial" w:hAnsi="Arial"/>
          <w:b/>
          <w:bCs/>
          <w:color w:val="1A1A2E"/>
          <w:sz w:val="24"/>
          <w:szCs w:val="24"/>
        </w:rPr>
        <w:t xml:space="preserve">2.4 Dependencia de Descuentos por Producto</w:t>
      </w:r>
    </w:p>
    <w:p>
      <w:pPr>
        <w:spacing w:before="80" w:after="80"/>
        <w:jc w:val="both"/>
      </w:pPr>
      <w:r>
        <w:rPr>
          <w:rFonts w:ascii="Arial" w:cs="Arial" w:eastAsia="Arial" w:hAnsi="Arial"/>
          <w:color w:val="333333"/>
          <w:sz w:val="22"/>
          <w:szCs w:val="22"/>
        </w:rPr>
        <w:t xml:space="preserve">El 43% de los productos vendidos fue adquirido bajo algún esquema de descuento. El análisis por artículo revela que productos como Sombrero (Hat) y Zapatillas (Sneakers) alcanzan descuentos de aplicación del 50% y 49% respectivamente, mientras que categorías como Blusa, Camisa y Vestido mantienen los mayores ingresos por unidad sin depender desproporcionadamente de reducciones de precio. Esto sugiere una dualidad en el portafolio: productos con valor percibido consolidado que se sostienen solos y productos cuya tracción comercial depende estructuralmente del descuento, erosionando el margen.</w:t>
      </w:r>
    </w:p>
    <w:p>
      <w:pPr>
        <w:spacing w:before="80" w:after="80"/>
      </w:pPr>
      <w:r>
        <w:t xml:space="preserve"/>
      </w:r>
    </w:p>
    <w:p>
      <w:pPr>
        <w:pBdr>
          <w:left w:val="single" w:color="C9A227" w:sz="12" w:space="8"/>
        </w:pBdr>
        <w:shd w:fill="FFF3CC" w:val="clear"/>
        <w:spacing w:before="120" w:after="120"/>
        <w:ind w:left="360" w:right="360"/>
      </w:pPr>
      <w:r>
        <w:rPr>
          <w:rFonts w:ascii="Arial" w:cs="Arial" w:eastAsia="Arial" w:hAnsi="Arial"/>
          <w:i/>
          <w:iCs/>
          <w:color w:val="1A1A2E"/>
          <w:sz w:val="21"/>
          <w:szCs w:val="21"/>
        </w:rPr>
        <w:t xml:space="preserve">Estimación de impacto en margen: Si el 43% de las 3,900 transacciones se realizó con descuento promedio estimado del 15%, la pérdida de margen bruto asociada podría estar en torno a $15,000–$18,000 por ciclo. Reducir la dependencia de descuentos en un 10% en los productos identificados podría recuperar entre $3,500 y $5,000 adicionales.</w:t>
      </w:r>
    </w:p>
    <w:p>
      <w:pPr>
        <w:pStyle w:val="Heading2"/>
        <w:spacing w:before="280" w:after="120"/>
      </w:pPr>
      <w:r>
        <w:rPr>
          <w:rFonts w:ascii="Arial" w:cs="Arial" w:eastAsia="Arial" w:hAnsi="Arial"/>
          <w:b/>
          <w:bCs/>
          <w:color w:val="1A1A2E"/>
          <w:sz w:val="24"/>
          <w:szCs w:val="24"/>
        </w:rPr>
        <w:t xml:space="preserve">2.5 Frecuencia de Compra y Comportamiento Geográfico</w:t>
      </w:r>
    </w:p>
    <w:p>
      <w:pPr>
        <w:spacing w:before="80" w:after="80"/>
        <w:jc w:val="both"/>
      </w:pPr>
      <w:r>
        <w:rPr>
          <w:rFonts w:ascii="Arial" w:cs="Arial" w:eastAsia="Arial" w:hAnsi="Arial"/>
          <w:color w:val="333333"/>
          <w:sz w:val="22"/>
          <w:szCs w:val="22"/>
        </w:rPr>
        <w:t xml:space="preserve">Los clientes leales presentan una frecuencia de recompra promedio de 88.94 días y los recurrentes de 91.23 días —es decir, compran aproximadamente cada tres meses. Este ciclo es consistente con el tipo de producto ofrecido (ropa y accesorios de temporada), pero también indica que los esfuerzos de retención actuales no están acelerando dicho ciclo. Activar programas de incentivo por recompra anticipada podría comprimir este ciclo a 75–80 días, incrementando la frecuencia efectiva anual de 4 a 5 compras por cliente.</w:t>
      </w:r>
    </w:p>
    <w:p>
      <w:pPr>
        <w:spacing w:before="80" w:after="80"/>
      </w:pPr>
      <w:r>
        <w:t xml:space="preserve"/>
      </w:r>
    </w:p>
    <w:p>
      <w:pPr>
        <w:spacing w:before="80" w:after="80"/>
        <w:jc w:val="both"/>
      </w:pPr>
      <w:r>
        <w:rPr>
          <w:rFonts w:ascii="Arial" w:cs="Arial" w:eastAsia="Arial" w:hAnsi="Arial"/>
          <w:color w:val="333333"/>
          <w:sz w:val="22"/>
          <w:szCs w:val="22"/>
        </w:rPr>
        <w:t xml:space="preserve">Geográficamente, Montana lidera la base de clientes leales con 77 clientes fieles sobre 96 totales (80% de lealtad), seguido de Illinois (76) y Nevada (74). La dispersión entre estados es relativamente homogénea, aunque Nevada y Missouri presentan las tasas de suscripción más altas (34% y 33%), lo que los posiciona como mercados modelo para replicar estrategias de conversión.</w:t>
      </w:r>
    </w:p>
    <w:p>
      <w:pPr>
        <w:pStyle w:val="Heading2"/>
        <w:spacing w:before="280" w:after="120"/>
      </w:pPr>
      <w:r>
        <w:rPr>
          <w:rFonts w:ascii="Arial" w:cs="Arial" w:eastAsia="Arial" w:hAnsi="Arial"/>
          <w:b/>
          <w:bCs/>
          <w:color w:val="1A1A2E"/>
          <w:sz w:val="24"/>
          <w:szCs w:val="24"/>
        </w:rPr>
        <w:t xml:space="preserve">2.6 Métodos de Pago y Tipo de Envío</w:t>
      </w:r>
    </w:p>
    <w:p>
      <w:pPr>
        <w:spacing w:before="80" w:after="80"/>
        <w:jc w:val="both"/>
      </w:pPr>
      <w:r>
        <w:rPr>
          <w:rFonts w:ascii="Arial" w:cs="Arial" w:eastAsia="Arial" w:hAnsi="Arial"/>
          <w:color w:val="333333"/>
          <w:sz w:val="22"/>
          <w:szCs w:val="22"/>
        </w:rPr>
        <w:t xml:space="preserve">PayPal lidera como método de pago preferido con 677 transacciones, seguido muy de cerca por tarjeta de crédito (671) y efectivo (670). La distribución altamente uniforme entre los seis métodos disponibles sugiere madurez en la infraestructura de cobro. En cuanto al envío, los clientes que optan por "Envío en 2 días" registran el ticket promedio más alto ($60.73), mientras que el envío Estándar registra el más bajo ($58.46) —una diferencia de $2.27 por transacción que puede aprovecharse como palanca de upselling logístico.</w:t>
      </w:r>
    </w:p>
    <w:p>
      <w:pPr>
        <w:pStyle w:val="Heading1"/>
        <w:pBdr>
          <w:bottom w:val="single" w:color="C9A227" w:sz="8" w:space="4"/>
        </w:pBdr>
        <w:spacing w:before="360" w:after="160"/>
      </w:pPr>
      <w:r>
        <w:rPr>
          <w:rFonts w:ascii="Arial" w:cs="Arial" w:eastAsia="Arial" w:hAnsi="Arial"/>
          <w:b/>
          <w:bCs/>
          <w:color w:val="1A1A2E"/>
          <w:sz w:val="28"/>
          <w:szCs w:val="28"/>
        </w:rPr>
        <w:t xml:space="preserve">3. Riesgos de Negocio Identificados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Riesgo Identificado</w:t>
            </w:r>
          </w:p>
        </w:tc>
        <w:tc>
          <w:tcPr>
            <w:tcW w:type="dxa" w:w="35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Impacto Potencial</w:t>
            </w:r>
          </w:p>
        </w:tc>
        <w:tc>
          <w:tcPr>
            <w:tcW w:type="dxa" w:w="23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Nivel</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Concentración en base estática</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 base de 3,900 clientes con solo 83 nuevos expone a la empresa a una erosión gradual sin fuente de reposición visible.</w:t>
            </w:r>
          </w:p>
        </w:tc>
        <w:tc>
          <w:tcPr>
            <w:tcW w:type="dxa" w:w="236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ALTO</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Exclusión del segmento femenino en suscripciones</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0% de mujeres suscritas implica pérdida de recurrencia en un segmento que puede representar hasta el 50% del mercado potencial.</w:t>
            </w:r>
          </w:p>
        </w:tc>
        <w:tc>
          <w:tcPr>
            <w:tcW w:type="dxa" w:w="236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ALTO</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Dependencia estructural de descuentos en ciertos SKUs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El 43% de ventas con descuento compromete el margen bruto y puede devaluar la percepción de precio justo en productos rentables.</w:t>
            </w:r>
          </w:p>
        </w:tc>
        <w:tc>
          <w:tcPr>
            <w:tcW w:type="dxa" w:w="2360"/>
            <w:tcBorders>
              <w:top w:val="single" w:color="DDDDDD" w:sz="1"/>
              <w:left w:val="single" w:color="DDDDDD" w:sz="1"/>
              <w:bottom w:val="single" w:color="DDDDDD" w:sz="1"/>
              <w:right w:val="single" w:color="DDDDDD" w:sz="1"/>
            </w:tcBorders>
            <w:shd w:fill="FFF3CC" w:val="clear"/>
            <w:tcMar>
              <w:top w:type="dxa" w:w="80"/>
              <w:left w:type="dxa" w:w="120"/>
              <w:bottom w:type="dxa" w:w="80"/>
              <w:right w:type="dxa" w:w="120"/>
            </w:tcMar>
          </w:tcPr>
          <w:p>
            <w:pPr>
              <w:jc w:val="center"/>
            </w:pPr>
            <w:r>
              <w:rPr>
                <w:rFonts w:ascii="Arial" w:cs="Arial" w:eastAsia="Arial" w:hAnsi="Arial"/>
                <w:b/>
                <w:bCs/>
                <w:color w:val="A04000"/>
                <w:sz w:val="20"/>
                <w:szCs w:val="20"/>
              </w:rPr>
              <w:t xml:space="preserve">MEDIO</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Ciclo de recompra largo sin intervención activa</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~89 días entre compras sin acciones de estímulo puede alargar el ciclo a medida que la base envejece o las condiciones del mercado cambian.</w:t>
            </w:r>
          </w:p>
        </w:tc>
        <w:tc>
          <w:tcPr>
            <w:tcW w:type="dxa" w:w="2360"/>
            <w:tcBorders>
              <w:top w:val="single" w:color="DDDDDD" w:sz="1"/>
              <w:left w:val="single" w:color="DDDDDD" w:sz="1"/>
              <w:bottom w:val="single" w:color="DDDDDD" w:sz="1"/>
              <w:right w:val="single" w:color="DDDDDD" w:sz="1"/>
            </w:tcBorders>
            <w:shd w:fill="FFF3CC" w:val="clear"/>
            <w:tcMar>
              <w:top w:type="dxa" w:w="80"/>
              <w:left w:type="dxa" w:w="120"/>
              <w:bottom w:type="dxa" w:w="80"/>
              <w:right w:type="dxa" w:w="120"/>
            </w:tcMar>
          </w:tcPr>
          <w:p>
            <w:pPr>
              <w:jc w:val="center"/>
            </w:pPr>
            <w:r>
              <w:rPr>
                <w:rFonts w:ascii="Arial" w:cs="Arial" w:eastAsia="Arial" w:hAnsi="Arial"/>
                <w:b/>
                <w:bCs/>
                <w:color w:val="A04000"/>
                <w:sz w:val="20"/>
                <w:szCs w:val="20"/>
              </w:rPr>
              <w:t xml:space="preserve">MEDIO</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Baja tasa de suscripción general (27%)</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 mayoría de clientes opera sin compromiso de recurrencia, lo que dificulta la predictibilidad de ingresos.</w:t>
            </w:r>
          </w:p>
        </w:tc>
        <w:tc>
          <w:tcPr>
            <w:tcW w:type="dxa" w:w="2360"/>
            <w:tcBorders>
              <w:top w:val="single" w:color="DDDDDD" w:sz="1"/>
              <w:left w:val="single" w:color="DDDDDD" w:sz="1"/>
              <w:bottom w:val="single" w:color="DDDDDD" w:sz="1"/>
              <w:right w:val="single" w:color="DDDDDD" w:sz="1"/>
            </w:tcBorders>
            <w:shd w:fill="FFF3CC" w:val="clear"/>
            <w:tcMar>
              <w:top w:type="dxa" w:w="80"/>
              <w:left w:type="dxa" w:w="120"/>
              <w:bottom w:type="dxa" w:w="80"/>
              <w:right w:type="dxa" w:w="120"/>
            </w:tcMar>
          </w:tcPr>
          <w:p>
            <w:pPr>
              <w:jc w:val="center"/>
            </w:pPr>
            <w:r>
              <w:rPr>
                <w:rFonts w:ascii="Arial" w:cs="Arial" w:eastAsia="Arial" w:hAnsi="Arial"/>
                <w:b/>
                <w:bCs/>
                <w:color w:val="A04000"/>
                <w:sz w:val="20"/>
                <w:szCs w:val="20"/>
              </w:rPr>
              <w:t xml:space="preserve">MEDIO</w:t>
            </w:r>
          </w:p>
        </w:tc>
      </w:tr>
    </w:tbl>
    <w:p>
      <w:pPr>
        <w:spacing w:before="80" w:after="80"/>
      </w:pPr>
      <w:r>
        <w:t xml:space="preserve"/>
      </w:r>
    </w:p>
    <w:p>
      <w:pPr>
        <w:pStyle w:val="Heading1"/>
        <w:pBdr>
          <w:bottom w:val="single" w:color="C9A227" w:sz="8" w:space="4"/>
        </w:pBdr>
        <w:spacing w:before="360" w:after="160"/>
      </w:pPr>
      <w:r>
        <w:rPr>
          <w:rFonts w:ascii="Arial" w:cs="Arial" w:eastAsia="Arial" w:hAnsi="Arial"/>
          <w:b/>
          <w:bCs/>
          <w:color w:val="1A1A2E"/>
          <w:sz w:val="28"/>
          <w:szCs w:val="28"/>
        </w:rPr>
        <w:t xml:space="preserve">4. Oportunidades de Mejora</w:t>
      </w:r>
    </w:p>
    <w:p>
      <w:pPr>
        <w:spacing w:before="80" w:after="80"/>
        <w:jc w:val="both"/>
      </w:pPr>
      <w:r>
        <w:rPr>
          <w:rFonts w:ascii="Arial" w:cs="Arial" w:eastAsia="Arial" w:hAnsi="Arial"/>
          <w:color w:val="333333"/>
          <w:sz w:val="22"/>
          <w:szCs w:val="22"/>
        </w:rPr>
        <w:t xml:space="preserve">Las oportunidades estratégicas identificadas son claras y cuantificables:</w:t>
      </w:r>
    </w:p>
    <w:p>
      <w:pPr>
        <w:spacing w:before="80" w:after="80"/>
      </w:pPr>
      <w:r>
        <w:t xml:space="preserve"/>
      </w:r>
    </w:p>
    <w:p>
      <w:pPr>
        <w:pStyle w:val="ListParagraph"/>
        <w:numPr>
          <w:ilvl w:val="0"/>
          <w:numId w:val="2"/>
        </w:numPr>
        <w:spacing w:before="60" w:after="60"/>
      </w:pPr>
      <w:r>
        <w:rPr>
          <w:rFonts w:ascii="Arial" w:cs="Arial" w:eastAsia="Arial" w:hAnsi="Arial"/>
          <w:b/>
          <w:bCs/>
          <w:color w:val="1A1A2E"/>
          <w:sz w:val="22"/>
          <w:szCs w:val="22"/>
        </w:rPr>
        <w:t xml:space="preserve">Suscripción femenina: </w:t>
      </w:r>
      <w:r>
        <w:rPr>
          <w:rFonts w:ascii="Arial" w:cs="Arial" w:eastAsia="Arial" w:hAnsi="Arial"/>
          <w:color w:val="333333"/>
          <w:sz w:val="22"/>
          <w:szCs w:val="22"/>
        </w:rPr>
        <w:t xml:space="preserve">Activación del segmento femenino en suscripciones mediante rediseño de la propuesta de valor específica —curación de productos, beneficios exclusivos, comunicación diferenciada— con potencial de generar $30,000–$50,000 adicionales anuales en ingresos recurrentes.</w:t>
      </w:r>
    </w:p>
    <w:p>
      <w:pPr>
        <w:pStyle w:val="ListParagraph"/>
        <w:numPr>
          <w:ilvl w:val="0"/>
          <w:numId w:val="2"/>
        </w:numPr>
        <w:spacing w:before="60" w:after="60"/>
      </w:pPr>
      <w:r>
        <w:rPr>
          <w:rFonts w:ascii="Arial" w:cs="Arial" w:eastAsia="Arial" w:hAnsi="Arial"/>
          <w:b/>
          <w:bCs/>
          <w:color w:val="1A1A2E"/>
          <w:sz w:val="22"/>
          <w:szCs w:val="22"/>
        </w:rPr>
        <w:t xml:space="preserve">Frecuencia de compra: </w:t>
      </w:r>
      <w:r>
        <w:rPr>
          <w:rFonts w:ascii="Arial" w:cs="Arial" w:eastAsia="Arial" w:hAnsi="Arial"/>
          <w:color w:val="333333"/>
          <w:sz w:val="22"/>
          <w:szCs w:val="22"/>
        </w:rPr>
        <w:t xml:space="preserve">Compresión del ciclo de recompra de 89 a 75 días a través de programas de recompensa por recompra anticipada o membresías premium; un ciclo más corto equivale a una compra adicional por año por cliente leal.</w:t>
      </w:r>
    </w:p>
    <w:p>
      <w:pPr>
        <w:pStyle w:val="ListParagraph"/>
        <w:numPr>
          <w:ilvl w:val="0"/>
          <w:numId w:val="2"/>
        </w:numPr>
        <w:spacing w:before="60" w:after="60"/>
      </w:pPr>
      <w:r>
        <w:rPr>
          <w:rFonts w:ascii="Arial" w:cs="Arial" w:eastAsia="Arial" w:hAnsi="Arial"/>
          <w:b/>
          <w:bCs/>
          <w:color w:val="1A1A2E"/>
          <w:sz w:val="22"/>
          <w:szCs w:val="22"/>
        </w:rPr>
        <w:t xml:space="preserve">Optimización del margen: </w:t>
      </w:r>
      <w:r>
        <w:rPr>
          <w:rFonts w:ascii="Arial" w:cs="Arial" w:eastAsia="Arial" w:hAnsi="Arial"/>
          <w:color w:val="333333"/>
          <w:sz w:val="22"/>
          <w:szCs w:val="22"/>
        </w:rPr>
        <w:t xml:space="preserve">Reducción de descuentos en SKUs no estratégicos mediante análisis de elasticidad precio-demanda, con potencial de recuperación de margen de $4,000–$6,000 por ciclo sin impacto significativo en volumen.</w:t>
      </w:r>
    </w:p>
    <w:p>
      <w:pPr>
        <w:pStyle w:val="ListParagraph"/>
        <w:numPr>
          <w:ilvl w:val="0"/>
          <w:numId w:val="2"/>
        </w:numPr>
        <w:spacing w:before="60" w:after="60"/>
      </w:pPr>
      <w:r>
        <w:rPr>
          <w:rFonts w:ascii="Arial" w:cs="Arial" w:eastAsia="Arial" w:hAnsi="Arial"/>
          <w:b/>
          <w:bCs/>
          <w:color w:val="1A1A2E"/>
          <w:sz w:val="22"/>
          <w:szCs w:val="22"/>
        </w:rPr>
        <w:t xml:space="preserve">Expansión geográfica selectiva: </w:t>
      </w:r>
      <w:r>
        <w:rPr>
          <w:rFonts w:ascii="Arial" w:cs="Arial" w:eastAsia="Arial" w:hAnsi="Arial"/>
          <w:color w:val="333333"/>
          <w:sz w:val="22"/>
          <w:szCs w:val="22"/>
        </w:rPr>
        <w:t xml:space="preserve">Replicar el modelo de retención de Montana y Nevada —tasas de lealtad del 80% y suscripción del 26–34%— en estados con menor desempeño como Mississippi, Tennessee y New Mexico.</w:t>
      </w:r>
    </w:p>
    <w:p>
      <w:pPr>
        <w:pStyle w:val="ListParagraph"/>
        <w:numPr>
          <w:ilvl w:val="0"/>
          <w:numId w:val="2"/>
        </w:numPr>
        <w:spacing w:before="60" w:after="60"/>
      </w:pPr>
      <w:r>
        <w:rPr>
          <w:rFonts w:ascii="Arial" w:cs="Arial" w:eastAsia="Arial" w:hAnsi="Arial"/>
          <w:b/>
          <w:bCs/>
          <w:color w:val="1A1A2E"/>
          <w:sz w:val="22"/>
          <w:szCs w:val="22"/>
        </w:rPr>
        <w:t xml:space="preserve">Pipeline de adquisición: </w:t>
      </w:r>
      <w:r>
        <w:rPr>
          <w:rFonts w:ascii="Arial" w:cs="Arial" w:eastAsia="Arial" w:hAnsi="Arial"/>
          <w:color w:val="333333"/>
          <w:sz w:val="22"/>
          <w:szCs w:val="22"/>
        </w:rPr>
        <w:t xml:space="preserve">Convertir el segmento de 83 clientes nuevos en una palanca de crecimiento activa con inversión focalizada en adquisición, aprovechando que la infraestructura de retención ya demuestra ser efectiva.</w:t>
      </w:r>
    </w:p>
    <w:p>
      <w:pPr>
        <w:pStyle w:val="Heading1"/>
        <w:pBdr>
          <w:bottom w:val="single" w:color="C9A227" w:sz="8" w:space="4"/>
        </w:pBdr>
        <w:spacing w:before="360" w:after="160"/>
      </w:pPr>
      <w:r>
        <w:rPr>
          <w:rFonts w:ascii="Arial" w:cs="Arial" w:eastAsia="Arial" w:hAnsi="Arial"/>
          <w:b/>
          <w:bCs/>
          <w:color w:val="1A1A2E"/>
          <w:sz w:val="28"/>
          <w:szCs w:val="28"/>
        </w:rPr>
        <w:t xml:space="preserve">5. Recomendaciones Accionables Priorizadas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400"/>
        <w:gridCol w:w="1680"/>
        <w:gridCol w:w="1880"/>
      </w:tblGrid>
      <w:tr>
        <w:tc>
          <w:tcPr>
            <w:tcW w:type="dxa" w:w="400"/>
            <w:tcBorders>
              <w:top w:val="single" w:color="DDDDDD" w:sz="1"/>
              <w:left w:val="single" w:color="DDDDDD" w:sz="1"/>
              <w:bottom w:val="single" w:color="DDDDDD" w:sz="1"/>
              <w:right w:val="single" w:color="DDDDDD" w:sz="1"/>
            </w:tcBorders>
            <w:shd w:fill="C9A227" w:val="clear"/>
            <w:tcMar>
              <w:top w:type="dxa" w:w="100"/>
              <w:left w:type="dxa" w:w="120"/>
              <w:bottom w:type="dxa" w:w="100"/>
              <w:right w:type="dxa" w:w="120"/>
            </w:tcMar>
          </w:tcPr>
          <w:p>
            <w:pPr>
              <w:jc w:val="center"/>
            </w:pPr>
            <w:r>
              <w:rPr>
                <w:rFonts w:ascii="Arial" w:cs="Arial" w:eastAsia="Arial" w:hAnsi="Arial"/>
                <w:b/>
                <w:bCs/>
                <w:color w:val="1A1A2E"/>
                <w:sz w:val="20"/>
                <w:szCs w:val="20"/>
              </w:rPr>
              <w:t xml:space="preserve">#</w:t>
            </w:r>
          </w:p>
        </w:tc>
        <w:tc>
          <w:tcPr>
            <w:tcW w:type="dxa" w:w="5400"/>
            <w:tcBorders>
              <w:top w:val="single" w:color="DDDDDD" w:sz="1"/>
              <w:left w:val="single" w:color="DDDDDD" w:sz="1"/>
              <w:bottom w:val="single" w:color="DDDDDD" w:sz="1"/>
              <w:right w:val="single" w:color="DDDDDD" w:sz="1"/>
            </w:tcBorders>
            <w:shd w:fill="C9A227" w:val="clear"/>
            <w:tcMar>
              <w:top w:type="dxa" w:w="100"/>
              <w:left w:type="dxa" w:w="120"/>
              <w:bottom w:type="dxa" w:w="100"/>
              <w:right w:type="dxa" w:w="120"/>
            </w:tcMar>
          </w:tcPr>
          <w:p>
            <w:pPr>
              <w:jc w:val="center"/>
            </w:pPr>
            <w:r>
              <w:rPr>
                <w:rFonts w:ascii="Arial" w:cs="Arial" w:eastAsia="Arial" w:hAnsi="Arial"/>
                <w:b/>
                <w:bCs/>
                <w:color w:val="1A1A2E"/>
                <w:sz w:val="20"/>
                <w:szCs w:val="20"/>
              </w:rPr>
              <w:t xml:space="preserve">Recomendación</w:t>
            </w:r>
          </w:p>
        </w:tc>
        <w:tc>
          <w:tcPr>
            <w:tcW w:type="dxa" w:w="1680"/>
            <w:tcBorders>
              <w:top w:val="single" w:color="DDDDDD" w:sz="1"/>
              <w:left w:val="single" w:color="DDDDDD" w:sz="1"/>
              <w:bottom w:val="single" w:color="DDDDDD" w:sz="1"/>
              <w:right w:val="single" w:color="DDDDDD" w:sz="1"/>
            </w:tcBorders>
            <w:shd w:fill="C9A227" w:val="clear"/>
            <w:tcMar>
              <w:top w:type="dxa" w:w="100"/>
              <w:left w:type="dxa" w:w="120"/>
              <w:bottom w:type="dxa" w:w="100"/>
              <w:right w:type="dxa" w:w="120"/>
            </w:tcMar>
          </w:tcPr>
          <w:p>
            <w:pPr>
              <w:jc w:val="center"/>
            </w:pPr>
            <w:r>
              <w:rPr>
                <w:rFonts w:ascii="Arial" w:cs="Arial" w:eastAsia="Arial" w:hAnsi="Arial"/>
                <w:b/>
                <w:bCs/>
                <w:color w:val="1A1A2E"/>
                <w:sz w:val="20"/>
                <w:szCs w:val="20"/>
              </w:rPr>
              <w:t xml:space="preserve">Impacto</w:t>
            </w:r>
          </w:p>
        </w:tc>
        <w:tc>
          <w:tcPr>
            <w:tcW w:type="dxa" w:w="1880"/>
            <w:tcBorders>
              <w:top w:val="single" w:color="DDDDDD" w:sz="1"/>
              <w:left w:val="single" w:color="DDDDDD" w:sz="1"/>
              <w:bottom w:val="single" w:color="DDDDDD" w:sz="1"/>
              <w:right w:val="single" w:color="DDDDDD" w:sz="1"/>
            </w:tcBorders>
            <w:shd w:fill="C9A227" w:val="clear"/>
            <w:tcMar>
              <w:top w:type="dxa" w:w="100"/>
              <w:left w:type="dxa" w:w="120"/>
              <w:bottom w:type="dxa" w:w="100"/>
              <w:right w:type="dxa" w:w="120"/>
            </w:tcMar>
          </w:tcPr>
          <w:p>
            <w:pPr>
              <w:jc w:val="center"/>
            </w:pPr>
            <w:r>
              <w:rPr>
                <w:rFonts w:ascii="Arial" w:cs="Arial" w:eastAsia="Arial" w:hAnsi="Arial"/>
                <w:b/>
                <w:bCs/>
                <w:color w:val="1A1A2E"/>
                <w:sz w:val="20"/>
                <w:szCs w:val="20"/>
              </w:rPr>
              <w:t xml:space="preserve">Plazo</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C9A227"/>
                <w:sz w:val="20"/>
                <w:szCs w:val="20"/>
              </w:rPr>
              <w:t xml:space="preserve">1</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Diseñar y lanzar un programa de suscripción diferenciado para el segmento femenino, con beneficios en categorías de Ropa y Accesorios, que son los de mayor penetración en ese segmento.</w:t>
            </w:r>
          </w:p>
        </w:tc>
        <w:tc>
          <w:tcPr>
            <w:tcW w:type="dxa" w:w="1680"/>
            <w:tcBorders>
              <w:top w:val="single" w:color="DDDDDD" w:sz="1"/>
              <w:left w:val="single" w:color="DDDDDD" w:sz="1"/>
              <w:bottom w:val="single" w:color="DDDDDD" w:sz="1"/>
              <w:right w:val="single" w:color="DDDDDD" w:sz="1"/>
            </w:tcBorders>
            <w:shd w:fill="EAF4EA"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Alto</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0–3 meses</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C9A227"/>
                <w:sz w:val="20"/>
                <w:szCs w:val="20"/>
              </w:rPr>
              <w:t xml:space="preserve">2</w:t>
            </w:r>
          </w:p>
        </w:tc>
        <w:tc>
          <w:tcPr>
            <w:tcW w:type="dxa" w:w="5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Implementar un programa de incentivo de recompra anticipada (ej. descuento del 5% si la siguiente compra ocurre antes de los 60 días) para clientes leales, orientado a comprimir el ciclo de 89 a 75 días.</w:t>
            </w:r>
          </w:p>
        </w:tc>
        <w:tc>
          <w:tcPr>
            <w:tcW w:type="dxa" w:w="1680"/>
            <w:tcBorders>
              <w:top w:val="single" w:color="DDDDDD" w:sz="1"/>
              <w:left w:val="single" w:color="DDDDDD" w:sz="1"/>
              <w:bottom w:val="single" w:color="DDDDDD" w:sz="1"/>
              <w:right w:val="single" w:color="DDDDDD" w:sz="1"/>
            </w:tcBorders>
            <w:shd w:fill="EAF4EA"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Alto</w:t>
            </w:r>
          </w:p>
        </w:tc>
        <w:tc>
          <w:tcPr>
            <w:tcW w:type="dxa" w:w="1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0–3 meses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C9A227"/>
                <w:sz w:val="20"/>
                <w:szCs w:val="20"/>
              </w:rPr>
              <w:t xml:space="preserve">3</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Ejecutar un análisis de elasticidad precio-demanda en los 5 productos con mayor tasa de descuento (Hat, Sneakers, Coat, Sweater, Pants) y establecer precios ancla que permitan reducir la dependencia del descuento.</w:t>
            </w:r>
          </w:p>
        </w:tc>
        <w:tc>
          <w:tcPr>
            <w:tcW w:type="dxa" w:w="1680"/>
            <w:tcBorders>
              <w:top w:val="single" w:color="DDDDDD" w:sz="1"/>
              <w:left w:val="single" w:color="DDDDDD" w:sz="1"/>
              <w:bottom w:val="single" w:color="DDDDDD" w:sz="1"/>
              <w:right w:val="single" w:color="DDDDDD" w:sz="1"/>
            </w:tcBorders>
            <w:shd w:fill="FFF3CC" w:val="clear"/>
            <w:tcMar>
              <w:top w:type="dxa" w:w="80"/>
              <w:left w:type="dxa" w:w="120"/>
              <w:bottom w:type="dxa" w:w="80"/>
              <w:right w:type="dxa" w:w="120"/>
            </w:tcMar>
          </w:tcPr>
          <w:p>
            <w:pPr>
              <w:jc w:val="center"/>
            </w:pPr>
            <w:r>
              <w:rPr>
                <w:rFonts w:ascii="Arial" w:cs="Arial" w:eastAsia="Arial" w:hAnsi="Arial"/>
                <w:b/>
                <w:bCs/>
                <w:color w:val="A04000"/>
                <w:sz w:val="20"/>
                <w:szCs w:val="20"/>
              </w:rPr>
              <w:t xml:space="preserve">Medio</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1–4 meses</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C9A227"/>
                <w:sz w:val="20"/>
                <w:szCs w:val="20"/>
              </w:rPr>
              <w:t xml:space="preserve">4</w:t>
            </w:r>
          </w:p>
        </w:tc>
        <w:tc>
          <w:tcPr>
            <w:tcW w:type="dxa" w:w="5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Desarrollar una estrategia de adquisición de nuevos clientes en los estados de mayor lealtad (Montana, Illinois, Nevada), capitalizando que la infraestructura de retención existente ya es altamente eficiente.</w:t>
            </w:r>
          </w:p>
        </w:tc>
        <w:tc>
          <w:tcPr>
            <w:tcW w:type="dxa" w:w="1680"/>
            <w:tcBorders>
              <w:top w:val="single" w:color="DDDDDD" w:sz="1"/>
              <w:left w:val="single" w:color="DDDDDD" w:sz="1"/>
              <w:bottom w:val="single" w:color="DDDDDD" w:sz="1"/>
              <w:right w:val="single" w:color="DDDDDD" w:sz="1"/>
            </w:tcBorders>
            <w:shd w:fill="FFF3CC" w:val="clear"/>
            <w:tcMar>
              <w:top w:type="dxa" w:w="80"/>
              <w:left w:type="dxa" w:w="120"/>
              <w:bottom w:type="dxa" w:w="80"/>
              <w:right w:type="dxa" w:w="120"/>
            </w:tcMar>
          </w:tcPr>
          <w:p>
            <w:pPr>
              <w:jc w:val="center"/>
            </w:pPr>
            <w:r>
              <w:rPr>
                <w:rFonts w:ascii="Arial" w:cs="Arial" w:eastAsia="Arial" w:hAnsi="Arial"/>
                <w:b/>
                <w:bCs/>
                <w:color w:val="A04000"/>
                <w:sz w:val="20"/>
                <w:szCs w:val="20"/>
              </w:rPr>
              <w:t xml:space="preserve">Medio</w:t>
            </w:r>
          </w:p>
        </w:tc>
        <w:tc>
          <w:tcPr>
            <w:tcW w:type="dxa" w:w="1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2–6 meses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C9A227"/>
                <w:sz w:val="20"/>
                <w:szCs w:val="20"/>
              </w:rPr>
              <w:t xml:space="preserve">5</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Crear un dashboard de alertas de deserción para detectar clientes leales cuyo ciclo de recompra supere los 110 días, activando campañas de reactivación automatizadas antes de que migren a la categoría de inactivos.</w:t>
            </w:r>
          </w:p>
        </w:tc>
        <w:tc>
          <w:tcPr>
            <w:tcW w:type="dxa" w:w="1680"/>
            <w:tcBorders>
              <w:top w:val="single" w:color="DDDDDD" w:sz="1"/>
              <w:left w:val="single" w:color="DDDDDD" w:sz="1"/>
              <w:bottom w:val="single" w:color="DDDDDD" w:sz="1"/>
              <w:right w:val="single" w:color="DDDDDD" w:sz="1"/>
            </w:tcBorders>
            <w:shd w:fill="EAF4EA"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Alto</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1–3 meses</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C9A227"/>
                <w:sz w:val="20"/>
                <w:szCs w:val="20"/>
              </w:rPr>
              <w:t xml:space="preserve">6</w:t>
            </w:r>
          </w:p>
        </w:tc>
        <w:tc>
          <w:tcPr>
            <w:tcW w:type="dxa" w:w="5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Explotar la ventaja logística del "Envío en 2 días" —el de mayor ticket promedio— como oferta premium destacada en el proceso de checkout para incrementar el valor por transacción en clientes recurrentes.</w:t>
            </w:r>
          </w:p>
        </w:tc>
        <w:tc>
          <w:tcPr>
            <w:tcW w:type="dxa" w:w="1680"/>
            <w:tcBorders>
              <w:top w:val="single" w:color="DDDDDD" w:sz="1"/>
              <w:left w:val="single" w:color="DDDDDD" w:sz="1"/>
              <w:bottom w:val="single" w:color="DDDDDD" w:sz="1"/>
              <w:right w:val="single" w:color="DDDDDD" w:sz="1"/>
            </w:tcBorders>
            <w:shd w:fill="FFF3CC" w:val="clear"/>
            <w:tcMar>
              <w:top w:type="dxa" w:w="80"/>
              <w:left w:type="dxa" w:w="120"/>
              <w:bottom w:type="dxa" w:w="80"/>
              <w:right w:type="dxa" w:w="120"/>
            </w:tcMar>
          </w:tcPr>
          <w:p>
            <w:pPr>
              <w:jc w:val="center"/>
            </w:pPr>
            <w:r>
              <w:rPr>
                <w:rFonts w:ascii="Arial" w:cs="Arial" w:eastAsia="Arial" w:hAnsi="Arial"/>
                <w:b/>
                <w:bCs/>
                <w:color w:val="A04000"/>
                <w:sz w:val="20"/>
                <w:szCs w:val="20"/>
              </w:rPr>
              <w:t xml:space="preserve">Medio</w:t>
            </w:r>
          </w:p>
        </w:tc>
        <w:tc>
          <w:tcPr>
            <w:tcW w:type="dxa" w:w="1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0–2 meses</w:t>
            </w:r>
          </w:p>
        </w:tc>
      </w:tr>
    </w:tbl>
    <w:p>
      <w:pPr>
        <w:spacing w:before="80" w:after="80"/>
      </w:pPr>
      <w:r>
        <w:t xml:space="preserve"/>
      </w:r>
    </w:p>
    <w:p>
      <w:pPr>
        <w:pStyle w:val="Heading1"/>
        <w:pBdr>
          <w:bottom w:val="single" w:color="C9A227" w:sz="8" w:space="4"/>
        </w:pBdr>
        <w:spacing w:before="360" w:after="160"/>
      </w:pPr>
      <w:r>
        <w:rPr>
          <w:rFonts w:ascii="Arial" w:cs="Arial" w:eastAsia="Arial" w:hAnsi="Arial"/>
          <w:b/>
          <w:bCs/>
          <w:color w:val="1A1A2E"/>
          <w:sz w:val="28"/>
          <w:szCs w:val="28"/>
        </w:rPr>
        <w:t xml:space="preserve">6. Conclusión Orientada a Decisión</w:t>
      </w:r>
    </w:p>
    <w:p>
      <w:pPr>
        <w:spacing w:before="80" w:after="80"/>
        <w:jc w:val="both"/>
      </w:pPr>
      <w:r>
        <w:rPr>
          <w:rFonts w:ascii="Arial" w:cs="Arial" w:eastAsia="Arial" w:hAnsi="Arial"/>
          <w:color w:val="333333"/>
          <w:sz w:val="22"/>
          <w:szCs w:val="22"/>
        </w:rPr>
        <w:t xml:space="preserve">RBIJose se encuentra en una encrucijada estratégica: los fundamentos del negocio son sólidos —alta lealtad, portafolio diversificado, infraestructura operativa robusta— pero la empresa está operando por debajo de su potencial de rentabilidad por dos razones estructurales que son corregibles con intervención directa.</w:t>
      </w:r>
    </w:p>
    <w:p>
      <w:pPr>
        <w:spacing w:before="80" w:after="80"/>
      </w:pPr>
      <w:r>
        <w:t xml:space="preserve"/>
      </w:r>
    </w:p>
    <w:p>
      <w:pPr>
        <w:spacing w:before="80" w:after="80"/>
        <w:jc w:val="both"/>
      </w:pPr>
      <w:r>
        <w:rPr>
          <w:rFonts w:ascii="Arial" w:cs="Arial" w:eastAsia="Arial" w:hAnsi="Arial"/>
          <w:color w:val="333333"/>
          <w:sz w:val="22"/>
          <w:szCs w:val="22"/>
        </w:rPr>
        <w:t xml:space="preserve">La primera es la exclusión de facto del segmento femenino del modelo de suscripción. No se trata de una diferencia cultural innata, sino de una brecha en la propuesta de valor que no ha sido diseñada para ese perfil. Corregirla tiene el mayor retorno esperado de todas las iniciativas identificadas.</w:t>
      </w:r>
    </w:p>
    <w:p>
      <w:pPr>
        <w:spacing w:before="80" w:after="80"/>
      </w:pPr>
      <w:r>
        <w:t xml:space="preserve"/>
      </w:r>
    </w:p>
    <w:p>
      <w:pPr>
        <w:spacing w:before="80" w:after="80"/>
        <w:jc w:val="both"/>
      </w:pPr>
      <w:r>
        <w:rPr>
          <w:rFonts w:ascii="Arial" w:cs="Arial" w:eastAsia="Arial" w:hAnsi="Arial"/>
          <w:color w:val="333333"/>
          <w:sz w:val="22"/>
          <w:szCs w:val="22"/>
        </w:rPr>
        <w:t xml:space="preserve">La segunda es la dependencia de descuentos en productos que deberían sostenerse por su valor percibido. Esta práctica, de perpetuarse, degradará el posicionamiento de precio de la marca y comprimirá el margen en el mediano plazo.</w:t>
      </w:r>
    </w:p>
    <w:p>
      <w:pPr>
        <w:spacing w:before="80" w:after="80"/>
      </w:pPr>
      <w:r>
        <w:t xml:space="preserve"/>
      </w:r>
    </w:p>
    <w:p>
      <w:pPr>
        <w:pBdr>
          <w:left w:val="single" w:color="C9A227" w:sz="12" w:space="8"/>
        </w:pBdr>
        <w:shd w:fill="FFF3CC" w:val="clear"/>
        <w:spacing w:before="120" w:after="120"/>
        <w:ind w:left="360" w:right="360"/>
      </w:pPr>
      <w:r>
        <w:rPr>
          <w:rFonts w:ascii="Arial" w:cs="Arial" w:eastAsia="Arial" w:hAnsi="Arial"/>
          <w:i/>
          <w:iCs/>
          <w:color w:val="1A1A2E"/>
          <w:sz w:val="21"/>
          <w:szCs w:val="21"/>
        </w:rPr>
        <w:t xml:space="preserve">Decisión clave para Gerencia General: Aprobar en este ciclo el diseño de una propuesta de suscripción para el segmento femenino y el programa de recompra anticipada. Estas dos iniciativas, ejecutadas en paralelo, tienen el potencial de incrementar los ingresos recurrentes entre un 15% y un 22% en los próximos 12 meses, con una inversión marginal sobre la infraestructura actual.</w:t>
      </w:r>
    </w:p>
    <w:p>
      <w:pPr>
        <w:spacing w:before="80" w:after="80"/>
      </w:pPr>
      <w:r>
        <w:t xml:space="preserve"/>
      </w:r>
    </w:p>
    <w:p>
      <w:pPr>
        <w:spacing w:before="80" w:after="80"/>
        <w:jc w:val="both"/>
      </w:pPr>
      <w:r>
        <w:rPr>
          <w:rFonts w:ascii="Arial" w:cs="Arial" w:eastAsia="Arial" w:hAnsi="Arial"/>
          <w:color w:val="333333"/>
          <w:sz w:val="22"/>
          <w:szCs w:val="22"/>
        </w:rPr>
        <w:t xml:space="preserve">El tiempo de acción es ahora: la base de clientes leales es el activo más valioso de RBIJose y su protección y expansión deben ser la prioridad operativa del siguiente periodo.</w:t>
      </w:r>
    </w:p>
    <w:p>
      <w:pPr>
        <w:spacing w:before="80" w:after="80"/>
      </w:pPr>
      <w:r>
        <w:t xml:space="preserve"/>
      </w:r>
    </w:p>
    <w:p>
      <w:pPr>
        <w:pBdr>
          <w:top w:val="single" w:color="DDDDDD" w:sz="4" w:space="4"/>
        </w:pBdr>
        <w:spacing w:before="360" w:after="80"/>
        <w:jc w:val="center"/>
      </w:pPr>
      <w:r>
        <w:rPr>
          <w:rFonts w:ascii="Arial" w:cs="Arial" w:eastAsia="Arial" w:hAnsi="Arial"/>
          <w:i/>
          <w:iCs/>
          <w:color w:val="888888"/>
          <w:sz w:val="18"/>
          <w:szCs w:val="18"/>
        </w:rPr>
        <w:t xml:space="preserve">— Preparado por Consultoría Estratégica | RBIJose Data Análisis | Febrero 2026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888888"/>
        <w:sz w:val="16"/>
        <w:szCs w:val="16"/>
      </w:rPr>
      <w:t xml:space="preserve">Confidencial — Solo para uso de Gerencia General   |   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A1A2E" w:val="clear"/>
      <w:spacing w:before="80" w:after="80"/>
      <w:ind w:left="200"/>
    </w:pPr>
    <w:r>
      <w:rPr>
        <w:rFonts w:ascii="Arial" w:cs="Arial" w:eastAsia="Arial" w:hAnsi="Arial"/>
        <w:b/>
        <w:bCs/>
        <w:color w:val="FFFFFF"/>
        <w:sz w:val="18"/>
        <w:szCs w:val="18"/>
      </w:rPr>
      <w:t xml:space="preserve">RBIJose Data Análisis</w:t>
    </w:r>
    <w:r>
      <w:rPr>
        <w:rFonts w:ascii="Arial" w:cs="Arial" w:eastAsia="Arial" w:hAnsi="Arial"/>
        <w:color w:val="DDDDDD"/>
        <w:sz w:val="18"/>
        <w:szCs w:val="18"/>
      </w:rPr>
      <w:t xml:space="preserve">     |     Informe Ejecutivo Confidencial     |     Comportamiento de Clientes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2026-02-23T18:42:16.970Z</dcterms:created>
  <dcterms:modified xsi:type="dcterms:W3CDTF">2026-02-23T18:42:16.971Z</dcterms:modified>
</cp:coreProperties>
</file>

<file path=docProps/custom.xml><?xml version="1.0" encoding="utf-8"?>
<Properties xmlns="http://schemas.openxmlformats.org/officeDocument/2006/custom-properties" xmlns:vt="http://schemas.openxmlformats.org/officeDocument/2006/docPropsVTypes"/>
</file>