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9FCA" w14:textId="20345B72" w:rsidR="00CB5872" w:rsidRPr="00CB5872" w:rsidRDefault="00CB5872" w:rsidP="00CB5872"/>
    <w:p w14:paraId="67F2DBED" w14:textId="77777777" w:rsidR="00CB5872" w:rsidRPr="00CB5872" w:rsidRDefault="00CB5872" w:rsidP="00CB5872">
      <w:pPr>
        <w:pStyle w:val="Heading1"/>
      </w:pPr>
      <w:r w:rsidRPr="00CB5872">
        <w:t>Data Analytics Report: Enhancing Medical Insurance Cost Prediction</w:t>
      </w:r>
    </w:p>
    <w:p w14:paraId="7AF881CF" w14:textId="13747393" w:rsidR="00CB5872" w:rsidRPr="00CB5872" w:rsidRDefault="00CB5872" w:rsidP="00CB5872">
      <w:pPr>
        <w:pStyle w:val="Heading2"/>
      </w:pPr>
      <w:r w:rsidRPr="00CB5872">
        <w:t>Executive Summary</w:t>
      </w:r>
    </w:p>
    <w:p w14:paraId="2A98DDC2" w14:textId="77777777" w:rsidR="00CB5872" w:rsidRPr="00CB5872" w:rsidRDefault="00CB5872" w:rsidP="00CB5872">
      <w:r w:rsidRPr="00CB5872">
        <w:t>This report details the exploratory data analysis (EDA), data cleaning, and predictive modeling performed on the Medical Insurance Dataset. The objective was to develop an accurate model to predict insurance charges based on demographic and health indicators. Through iterative refinement, the final model achieved significant improvements in accuracy by accounting for synergistic health factors.</w:t>
      </w:r>
    </w:p>
    <w:p w14:paraId="5FD29565" w14:textId="60EE2310" w:rsidR="00CB5872" w:rsidRPr="00CB5872" w:rsidRDefault="00CB5872" w:rsidP="00CB5872">
      <w:pPr>
        <w:pStyle w:val="Heading2"/>
      </w:pPr>
      <w:r w:rsidRPr="00CB5872">
        <w:t>Exploratory Data Analysis (EDA) and Data Cleaning</w:t>
      </w:r>
    </w:p>
    <w:p w14:paraId="2CBA1CEF" w14:textId="77777777" w:rsidR="00CB5872" w:rsidRPr="00CB5872" w:rsidRDefault="00CB5872" w:rsidP="00CB5872">
      <w:r w:rsidRPr="00CB5872">
        <w:t>The initial phase focused on ensuring data integrity and understanding the underlying structure of the variables.</w:t>
      </w:r>
    </w:p>
    <w:p w14:paraId="7AF4BD1C" w14:textId="77777777" w:rsidR="00CB5872" w:rsidRPr="00CB5872" w:rsidRDefault="00CB5872" w:rsidP="00CB5872">
      <w:pPr>
        <w:numPr>
          <w:ilvl w:val="0"/>
          <w:numId w:val="1"/>
        </w:numPr>
      </w:pPr>
      <w:r w:rsidRPr="00CB5872">
        <w:rPr>
          <w:b/>
          <w:bCs/>
        </w:rPr>
        <w:t>Dataset Structure:</w:t>
      </w:r>
      <w:r w:rsidRPr="00CB5872">
        <w:t xml:space="preserve"> The dataset initially contained 1,338 records with 7 columns (4 numerical and 3 categorical).</w:t>
      </w:r>
    </w:p>
    <w:p w14:paraId="1A07D588" w14:textId="77777777" w:rsidR="00CB5872" w:rsidRPr="00CB5872" w:rsidRDefault="00CB5872" w:rsidP="00CB5872">
      <w:pPr>
        <w:numPr>
          <w:ilvl w:val="0"/>
          <w:numId w:val="1"/>
        </w:numPr>
      </w:pPr>
      <w:r w:rsidRPr="00CB5872">
        <w:rPr>
          <w:b/>
          <w:bCs/>
        </w:rPr>
        <w:t>Data Integrity:</w:t>
      </w:r>
      <w:r w:rsidRPr="00CB5872">
        <w:t xml:space="preserve"> A check for null values confirmed that all columns were 100% complete.</w:t>
      </w:r>
    </w:p>
    <w:p w14:paraId="39978DB6" w14:textId="77777777" w:rsidR="00CB5872" w:rsidRPr="00CB5872" w:rsidRDefault="00CB5872" w:rsidP="00CB5872">
      <w:pPr>
        <w:numPr>
          <w:ilvl w:val="0"/>
          <w:numId w:val="1"/>
        </w:numPr>
      </w:pPr>
      <w:r w:rsidRPr="00CB5872">
        <w:rPr>
          <w:b/>
          <w:bCs/>
        </w:rPr>
        <w:t>Duplicate Management:</w:t>
      </w:r>
      <w:r w:rsidRPr="00CB5872">
        <w:t xml:space="preserve"> One duplicate record was identified and removed to prevent bias, resulting in a final count of 1,337 unique observations.</w:t>
      </w:r>
    </w:p>
    <w:p w14:paraId="062447A7" w14:textId="77777777" w:rsidR="00CB5872" w:rsidRPr="00CB5872" w:rsidRDefault="00CB5872" w:rsidP="00CB5872">
      <w:pPr>
        <w:numPr>
          <w:ilvl w:val="0"/>
          <w:numId w:val="1"/>
        </w:numPr>
      </w:pPr>
      <w:r w:rsidRPr="00CB5872">
        <w:rPr>
          <w:b/>
          <w:bCs/>
        </w:rPr>
        <w:t>Field Categorization:</w:t>
      </w:r>
    </w:p>
    <w:p w14:paraId="38DD7E8D" w14:textId="77777777" w:rsidR="00CB5872" w:rsidRPr="00CB5872" w:rsidRDefault="00CB5872" w:rsidP="00CB5872">
      <w:pPr>
        <w:numPr>
          <w:ilvl w:val="1"/>
          <w:numId w:val="1"/>
        </w:numPr>
      </w:pPr>
      <w:r w:rsidRPr="00CB5872">
        <w:rPr>
          <w:b/>
          <w:bCs/>
        </w:rPr>
        <w:t>Numerical:</w:t>
      </w:r>
      <w:r w:rsidRPr="00CB5872">
        <w:t xml:space="preserve"> age, </w:t>
      </w:r>
      <w:proofErr w:type="spellStart"/>
      <w:r w:rsidRPr="00CB5872">
        <w:t>bmi</w:t>
      </w:r>
      <w:proofErr w:type="spellEnd"/>
      <w:r w:rsidRPr="00CB5872">
        <w:t>, children, and charges.</w:t>
      </w:r>
    </w:p>
    <w:p w14:paraId="244CB97F" w14:textId="77777777" w:rsidR="00CB5872" w:rsidRPr="00CB5872" w:rsidRDefault="00CB5872" w:rsidP="00CB5872">
      <w:pPr>
        <w:numPr>
          <w:ilvl w:val="1"/>
          <w:numId w:val="1"/>
        </w:numPr>
      </w:pPr>
      <w:r w:rsidRPr="00CB5872">
        <w:rPr>
          <w:b/>
          <w:bCs/>
        </w:rPr>
        <w:t>Categorical:</w:t>
      </w:r>
      <w:r w:rsidRPr="00CB5872">
        <w:t xml:space="preserve"> sex, smoker, and region.</w:t>
      </w:r>
    </w:p>
    <w:p w14:paraId="59C92B7A" w14:textId="68DC93E4" w:rsidR="00CB5872" w:rsidRPr="00CB5872" w:rsidRDefault="00CB5872" w:rsidP="00CB5872">
      <w:pPr>
        <w:pStyle w:val="Heading2"/>
      </w:pPr>
      <w:r w:rsidRPr="00CB5872">
        <w:t>Model Training and Methodology</w:t>
      </w:r>
    </w:p>
    <w:p w14:paraId="1595DC70" w14:textId="77777777" w:rsidR="00CB5872" w:rsidRPr="00CB5872" w:rsidRDefault="00CB5872" w:rsidP="00CB5872">
      <w:r w:rsidRPr="00CB5872">
        <w:t>The analysis utilized a Linear Regression framework, split into a training set (80%) and a testing set (20%) to validate performance.</w:t>
      </w:r>
    </w:p>
    <w:p w14:paraId="3136647E" w14:textId="78AD15D4" w:rsidR="00CB5872" w:rsidRPr="00CB5872" w:rsidRDefault="00CB5872" w:rsidP="00CB5872">
      <w:pPr>
        <w:pStyle w:val="Heading3"/>
      </w:pPr>
      <w:r w:rsidRPr="00CB5872">
        <w:t>Feature Engineering and Selection</w:t>
      </w:r>
    </w:p>
    <w:p w14:paraId="0EBA0B45" w14:textId="77777777" w:rsidR="00CB5872" w:rsidRPr="00CB5872" w:rsidRDefault="00CB5872" w:rsidP="00CB5872">
      <w:r w:rsidRPr="00CB5872">
        <w:t xml:space="preserve">To convert qualitative data into a format suitable for regression, one-hot encoding was applied to sex, smoker, and region. A </w:t>
      </w:r>
      <w:r w:rsidRPr="00CB5872">
        <w:rPr>
          <w:b/>
          <w:bCs/>
        </w:rPr>
        <w:t>Backward Elimination</w:t>
      </w:r>
      <w:r w:rsidRPr="00CB5872">
        <w:t xml:space="preserve"> process was then employed:</w:t>
      </w:r>
    </w:p>
    <w:p w14:paraId="124F1336" w14:textId="77777777" w:rsidR="00CB5872" w:rsidRPr="00CB5872" w:rsidRDefault="00CB5872" w:rsidP="00CB5872">
      <w:pPr>
        <w:numPr>
          <w:ilvl w:val="0"/>
          <w:numId w:val="2"/>
        </w:numPr>
      </w:pPr>
      <w:r w:rsidRPr="00CB5872">
        <w:rPr>
          <w:b/>
          <w:bCs/>
        </w:rPr>
        <w:t>Methodology:</w:t>
      </w:r>
      <w:r w:rsidRPr="00CB5872">
        <w:t xml:space="preserve"> All candidate predictors were initially included, and those with a P-value exceeding the 0.05 significance threshold were removed one by one.</w:t>
      </w:r>
    </w:p>
    <w:p w14:paraId="7EA0BA7B" w14:textId="77777777" w:rsidR="00CB5872" w:rsidRPr="00CB5872" w:rsidRDefault="00CB5872" w:rsidP="00CB5872">
      <w:pPr>
        <w:numPr>
          <w:ilvl w:val="0"/>
          <w:numId w:val="2"/>
        </w:numPr>
      </w:pPr>
      <w:r w:rsidRPr="00CB5872">
        <w:rPr>
          <w:b/>
          <w:bCs/>
        </w:rPr>
        <w:lastRenderedPageBreak/>
        <w:t>Result:</w:t>
      </w:r>
      <w:r w:rsidRPr="00CB5872">
        <w:t xml:space="preserve"> This ensured the model remained parsimonious, using only statistically significant features to explain the variance in charges.</w:t>
      </w:r>
    </w:p>
    <w:p w14:paraId="771F05E7" w14:textId="6018A8C2" w:rsidR="00CB5872" w:rsidRPr="00CB5872" w:rsidRDefault="00CB5872" w:rsidP="00CB5872">
      <w:pPr>
        <w:pStyle w:val="Heading3"/>
      </w:pPr>
      <w:r w:rsidRPr="00CB5872">
        <w:t>Model Refinement</w:t>
      </w:r>
    </w:p>
    <w:p w14:paraId="7C326D9E" w14:textId="77777777" w:rsidR="00CB5872" w:rsidRPr="00CB5872" w:rsidRDefault="00CB5872" w:rsidP="00CB5872">
      <w:r w:rsidRPr="00CB5872">
        <w:t xml:space="preserve">A </w:t>
      </w:r>
      <w:r w:rsidRPr="00CB5872">
        <w:rPr>
          <w:b/>
          <w:bCs/>
        </w:rPr>
        <w:t>Refined Model</w:t>
      </w:r>
      <w:r w:rsidRPr="00CB5872">
        <w:t xml:space="preserve"> was developed to address non-linear relationships. Specifically, interaction terms were added to account for the "synergistic effect" between health risks:</w:t>
      </w:r>
    </w:p>
    <w:p w14:paraId="35A44C99" w14:textId="77777777" w:rsidR="00CB5872" w:rsidRPr="00CB5872" w:rsidRDefault="00CB5872" w:rsidP="00CB5872">
      <w:pPr>
        <w:numPr>
          <w:ilvl w:val="0"/>
          <w:numId w:val="3"/>
        </w:numPr>
      </w:pPr>
      <w:r w:rsidRPr="00CB5872">
        <w:rPr>
          <w:b/>
          <w:bCs/>
        </w:rPr>
        <w:t>Interaction Terms:</w:t>
      </w:r>
      <w:r w:rsidRPr="00CB5872">
        <w:t xml:space="preserve"> </w:t>
      </w:r>
      <w:proofErr w:type="spellStart"/>
      <w:r w:rsidRPr="00CB5872">
        <w:t>bmi</w:t>
      </w:r>
      <w:proofErr w:type="spellEnd"/>
      <w:r w:rsidRPr="00CB5872">
        <w:t xml:space="preserve"> * </w:t>
      </w:r>
      <w:proofErr w:type="spellStart"/>
      <w:r w:rsidRPr="00CB5872">
        <w:t>smoker_yes</w:t>
      </w:r>
      <w:proofErr w:type="spellEnd"/>
      <w:r w:rsidRPr="00CB5872">
        <w:t xml:space="preserve"> and age * </w:t>
      </w:r>
      <w:proofErr w:type="spellStart"/>
      <w:r w:rsidRPr="00CB5872">
        <w:t>smoker_yes</w:t>
      </w:r>
      <w:proofErr w:type="spellEnd"/>
      <w:r w:rsidRPr="00CB5872">
        <w:t>.</w:t>
      </w:r>
    </w:p>
    <w:p w14:paraId="7B1B4958" w14:textId="77777777" w:rsidR="00CB5872" w:rsidRPr="00CB5872" w:rsidRDefault="00CB5872" w:rsidP="00CB5872">
      <w:pPr>
        <w:numPr>
          <w:ilvl w:val="0"/>
          <w:numId w:val="3"/>
        </w:numPr>
      </w:pPr>
      <w:r w:rsidRPr="00CB5872">
        <w:rPr>
          <w:b/>
          <w:bCs/>
        </w:rPr>
        <w:t>Logic:</w:t>
      </w:r>
      <w:r w:rsidRPr="00CB5872">
        <w:t xml:space="preserve"> A high BMI combined with smoking history often results in exponentially higher medical costs than either factor alone.</w:t>
      </w:r>
    </w:p>
    <w:p w14:paraId="189866DF" w14:textId="4D84F165" w:rsidR="00CB5872" w:rsidRPr="00CB5872" w:rsidRDefault="00CB5872" w:rsidP="00CB5872">
      <w:pPr>
        <w:pStyle w:val="Heading2"/>
        <w:rPr>
          <w:b/>
          <w:bCs/>
        </w:rPr>
      </w:pPr>
      <w:r w:rsidRPr="00CB5872">
        <w:rPr>
          <w:b/>
          <w:bCs/>
        </w:rPr>
        <w:t>Accuracy and Effectiveness</w:t>
      </w:r>
    </w:p>
    <w:p w14:paraId="29AF45E4" w14:textId="6C34EC3E" w:rsidR="00CB5872" w:rsidRPr="00CB5872" w:rsidRDefault="00CB5872" w:rsidP="00CB5872">
      <w:r w:rsidRPr="00CB5872">
        <w:t xml:space="preserve">The effectiveness of the model was ensured through rigorous evaluation using three primary metrics: </w:t>
      </w:r>
      <w:r w:rsidRPr="00CB5872">
        <w:rPr>
          <w:b/>
          <w:bCs/>
        </w:rPr>
        <w:t>R-squared (</w:t>
      </w:r>
      <w:r>
        <w:rPr>
          <w:b/>
          <w:bCs/>
        </w:rPr>
        <w:t>R</w:t>
      </w:r>
      <w:r w:rsidRPr="00CB5872">
        <w:rPr>
          <w:b/>
          <w:bCs/>
          <w:vertAlign w:val="superscript"/>
        </w:rPr>
        <w:t>2</w:t>
      </w:r>
      <w:r w:rsidRPr="00CB5872">
        <w:rPr>
          <w:b/>
          <w:bCs/>
        </w:rPr>
        <w:t>)</w:t>
      </w:r>
      <w:r w:rsidRPr="00CB5872">
        <w:t xml:space="preserve">, </w:t>
      </w:r>
      <w:r w:rsidRPr="00CB5872">
        <w:rPr>
          <w:b/>
          <w:bCs/>
        </w:rPr>
        <w:t>Mean Absolute Error (MAE)</w:t>
      </w:r>
      <w:r w:rsidRPr="00CB5872">
        <w:t xml:space="preserve">, and </w:t>
      </w:r>
      <w:r w:rsidRPr="00CB5872">
        <w:rPr>
          <w:b/>
          <w:bCs/>
        </w:rPr>
        <w:t>Root Mean Squared Error (RMSE)</w:t>
      </w:r>
      <w:r w:rsidRPr="00CB5872">
        <w:t>.</w:t>
      </w:r>
    </w:p>
    <w:tbl>
      <w:tblPr>
        <w:tblStyle w:val="GridTable4-Accent1"/>
        <w:tblW w:w="0" w:type="auto"/>
        <w:tblLook w:val="04A0" w:firstRow="1" w:lastRow="0" w:firstColumn="1" w:lastColumn="0" w:noHBand="0" w:noVBand="1"/>
      </w:tblPr>
      <w:tblGrid>
        <w:gridCol w:w="1679"/>
        <w:gridCol w:w="7337"/>
      </w:tblGrid>
      <w:tr w:rsidR="00CB5872" w:rsidRPr="00CB5872" w14:paraId="666FF6C7" w14:textId="77777777" w:rsidTr="00CB5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8FD3E" w14:textId="77777777" w:rsidR="00CB5872" w:rsidRPr="00CB5872" w:rsidRDefault="00CB5872" w:rsidP="00CB5872">
            <w:pPr>
              <w:spacing w:after="160" w:line="278" w:lineRule="auto"/>
            </w:pPr>
            <w:r w:rsidRPr="00CB5872">
              <w:t>Metric</w:t>
            </w:r>
          </w:p>
        </w:tc>
        <w:tc>
          <w:tcPr>
            <w:tcW w:w="0" w:type="auto"/>
            <w:hideMark/>
          </w:tcPr>
          <w:p w14:paraId="0DB7FCF5" w14:textId="77777777" w:rsidR="00CB5872" w:rsidRPr="00CB5872" w:rsidRDefault="00CB5872" w:rsidP="00CB5872">
            <w:pPr>
              <w:spacing w:after="160" w:line="278" w:lineRule="auto"/>
              <w:cnfStyle w:val="100000000000" w:firstRow="1" w:lastRow="0" w:firstColumn="0" w:lastColumn="0" w:oddVBand="0" w:evenVBand="0" w:oddHBand="0" w:evenHBand="0" w:firstRowFirstColumn="0" w:firstRowLastColumn="0" w:lastRowFirstColumn="0" w:lastRowLastColumn="0"/>
            </w:pPr>
            <w:r w:rsidRPr="00CB5872">
              <w:t>Purpose</w:t>
            </w:r>
          </w:p>
        </w:tc>
      </w:tr>
      <w:tr w:rsidR="00CB5872" w:rsidRPr="00CB5872" w14:paraId="477F64E3" w14:textId="77777777" w:rsidTr="00CB5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B1DD6" w14:textId="09AEC107" w:rsidR="00CB5872" w:rsidRPr="00CB5872" w:rsidRDefault="00CB5872" w:rsidP="00CB5872">
            <w:pPr>
              <w:spacing w:after="160" w:line="278" w:lineRule="auto"/>
            </w:pPr>
            <w:r w:rsidRPr="00CB5872">
              <w:t>R-squared (</w:t>
            </w:r>
            <w:r>
              <w:t>R</w:t>
            </w:r>
            <w:r w:rsidRPr="00CB5872">
              <w:rPr>
                <w:vertAlign w:val="superscript"/>
              </w:rPr>
              <w:t>2</w:t>
            </w:r>
            <w:r w:rsidRPr="00CB5872">
              <w:t>)</w:t>
            </w:r>
          </w:p>
        </w:tc>
        <w:tc>
          <w:tcPr>
            <w:tcW w:w="0" w:type="auto"/>
            <w:hideMark/>
          </w:tcPr>
          <w:p w14:paraId="72948A02" w14:textId="77777777" w:rsidR="00CB5872" w:rsidRPr="00CB5872" w:rsidRDefault="00CB5872" w:rsidP="00CB5872">
            <w:pPr>
              <w:spacing w:after="160" w:line="278" w:lineRule="auto"/>
              <w:cnfStyle w:val="000000100000" w:firstRow="0" w:lastRow="0" w:firstColumn="0" w:lastColumn="0" w:oddVBand="0" w:evenVBand="0" w:oddHBand="1" w:evenHBand="0" w:firstRowFirstColumn="0" w:firstRowLastColumn="0" w:lastRowFirstColumn="0" w:lastRowLastColumn="0"/>
            </w:pPr>
            <w:r w:rsidRPr="00CB5872">
              <w:t>Measures the proportion of variance explained by the model (higher is better).</w:t>
            </w:r>
          </w:p>
        </w:tc>
      </w:tr>
      <w:tr w:rsidR="00CB5872" w:rsidRPr="00CB5872" w14:paraId="14D2C4F9" w14:textId="77777777" w:rsidTr="00CB5872">
        <w:tc>
          <w:tcPr>
            <w:cnfStyle w:val="001000000000" w:firstRow="0" w:lastRow="0" w:firstColumn="1" w:lastColumn="0" w:oddVBand="0" w:evenVBand="0" w:oddHBand="0" w:evenHBand="0" w:firstRowFirstColumn="0" w:firstRowLastColumn="0" w:lastRowFirstColumn="0" w:lastRowLastColumn="0"/>
            <w:tcW w:w="0" w:type="auto"/>
            <w:hideMark/>
          </w:tcPr>
          <w:p w14:paraId="7D4E4389" w14:textId="77777777" w:rsidR="00CB5872" w:rsidRPr="00CB5872" w:rsidRDefault="00CB5872" w:rsidP="00CB5872">
            <w:pPr>
              <w:spacing w:after="160" w:line="278" w:lineRule="auto"/>
            </w:pPr>
            <w:r w:rsidRPr="00CB5872">
              <w:t>MAE</w:t>
            </w:r>
          </w:p>
        </w:tc>
        <w:tc>
          <w:tcPr>
            <w:tcW w:w="0" w:type="auto"/>
            <w:hideMark/>
          </w:tcPr>
          <w:p w14:paraId="3E81CE43" w14:textId="77777777" w:rsidR="00CB5872" w:rsidRPr="00CB5872" w:rsidRDefault="00CB5872" w:rsidP="00CB5872">
            <w:pPr>
              <w:spacing w:after="160" w:line="278" w:lineRule="auto"/>
              <w:cnfStyle w:val="000000000000" w:firstRow="0" w:lastRow="0" w:firstColumn="0" w:lastColumn="0" w:oddVBand="0" w:evenVBand="0" w:oddHBand="0" w:evenHBand="0" w:firstRowFirstColumn="0" w:firstRowLastColumn="0" w:lastRowFirstColumn="0" w:lastRowLastColumn="0"/>
            </w:pPr>
            <w:r w:rsidRPr="00CB5872">
              <w:t>Represents the average error in actual dollar units (less sensitive to outliers).</w:t>
            </w:r>
          </w:p>
        </w:tc>
      </w:tr>
      <w:tr w:rsidR="00CB5872" w:rsidRPr="00CB5872" w14:paraId="5695EBC5" w14:textId="77777777" w:rsidTr="00CB5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B35C2" w14:textId="77777777" w:rsidR="00CB5872" w:rsidRPr="00CB5872" w:rsidRDefault="00CB5872" w:rsidP="00CB5872">
            <w:pPr>
              <w:spacing w:after="160" w:line="278" w:lineRule="auto"/>
            </w:pPr>
            <w:r w:rsidRPr="00CB5872">
              <w:t>RMSE</w:t>
            </w:r>
          </w:p>
        </w:tc>
        <w:tc>
          <w:tcPr>
            <w:tcW w:w="0" w:type="auto"/>
            <w:hideMark/>
          </w:tcPr>
          <w:p w14:paraId="18AA4140" w14:textId="77777777" w:rsidR="00CB5872" w:rsidRPr="00CB5872" w:rsidRDefault="00CB5872" w:rsidP="00CB5872">
            <w:pPr>
              <w:spacing w:after="160" w:line="278" w:lineRule="auto"/>
              <w:cnfStyle w:val="000000100000" w:firstRow="0" w:lastRow="0" w:firstColumn="0" w:lastColumn="0" w:oddVBand="0" w:evenVBand="0" w:oddHBand="1" w:evenHBand="0" w:firstRowFirstColumn="0" w:firstRowLastColumn="0" w:lastRowFirstColumn="0" w:lastRowLastColumn="0"/>
            </w:pPr>
            <w:r w:rsidRPr="00CB5872">
              <w:t>Penalizes larger errors more heavily, crucial for risk assessment in insurance.</w:t>
            </w:r>
          </w:p>
        </w:tc>
      </w:tr>
    </w:tbl>
    <w:p w14:paraId="779EC345" w14:textId="77777777" w:rsidR="00CB5872" w:rsidRDefault="00CB5872" w:rsidP="00CB5872">
      <w:pPr>
        <w:rPr>
          <w:b/>
          <w:bCs/>
        </w:rPr>
      </w:pPr>
    </w:p>
    <w:p w14:paraId="5082D542" w14:textId="1276EE40" w:rsidR="00CB5872" w:rsidRPr="00CB5872" w:rsidRDefault="00CB5872" w:rsidP="00CB5872">
      <w:pPr>
        <w:pStyle w:val="Heading2"/>
        <w:rPr>
          <w:b/>
          <w:bCs/>
        </w:rPr>
      </w:pPr>
      <w:r w:rsidRPr="00CB5872">
        <w:rPr>
          <w:b/>
          <w:bCs/>
        </w:rPr>
        <w:t>Outcomes</w:t>
      </w:r>
    </w:p>
    <w:p w14:paraId="463C2602" w14:textId="27F8E506" w:rsidR="00CB5872" w:rsidRPr="00CB5872" w:rsidRDefault="00CB5872" w:rsidP="00CB5872">
      <w:r w:rsidRPr="00CB5872">
        <w:t xml:space="preserve">The refinement process yielded a notable improvement in predictive power. The Refined Model showed a significant </w:t>
      </w:r>
      <w:r w:rsidRPr="00CB5872">
        <w:rPr>
          <w:b/>
          <w:bCs/>
        </w:rPr>
        <w:t>increase in R</w:t>
      </w:r>
      <w:r w:rsidRPr="00CB5872">
        <w:rPr>
          <w:b/>
          <w:bCs/>
          <w:vertAlign w:val="superscript"/>
        </w:rPr>
        <w:t>2</w:t>
      </w:r>
      <w:r w:rsidRPr="00CB5872">
        <w:t xml:space="preserve"> and a </w:t>
      </w:r>
      <w:r w:rsidRPr="00CB5872">
        <w:rPr>
          <w:b/>
          <w:bCs/>
        </w:rPr>
        <w:t>reduction in MAE</w:t>
      </w:r>
      <w:r w:rsidRPr="00CB5872">
        <w:t>, particularly for high-cost individuals. Visual scatter plots confirmed that predictions for the refined model aligned much more closely with actual charges compared to the baseline model.</w:t>
      </w:r>
    </w:p>
    <w:p w14:paraId="0C8AFD30" w14:textId="77777777" w:rsidR="00CB5872" w:rsidRPr="00CB5872" w:rsidRDefault="00CB5872" w:rsidP="00CB5872">
      <w:r w:rsidRPr="00CB5872">
        <w:pict w14:anchorId="5D08E464">
          <v:rect id="_x0000_i1059" style="width:0;height:1.5pt" o:hralign="center" o:hrstd="t" o:hrnoshade="t" o:hr="t" fillcolor="gray" stroked="f"/>
        </w:pict>
      </w:r>
    </w:p>
    <w:sdt>
      <w:sdtPr>
        <w:id w:val="-1482229836"/>
        <w:docPartObj>
          <w:docPartGallery w:val="Bibliographies"/>
          <w:docPartUnique/>
        </w:docPartObj>
      </w:sdtPr>
      <w:sdtEndPr>
        <w:rPr>
          <w:rFonts w:asciiTheme="minorHAnsi" w:eastAsiaTheme="minorHAnsi" w:hAnsiTheme="minorHAnsi" w:cstheme="minorBidi"/>
          <w:color w:val="auto"/>
          <w:sz w:val="24"/>
          <w:szCs w:val="24"/>
        </w:rPr>
      </w:sdtEndPr>
      <w:sdtContent>
        <w:p w14:paraId="59E0B0FB" w14:textId="02BAD03F" w:rsidR="00722C4E" w:rsidRPr="00722C4E" w:rsidRDefault="00722C4E">
          <w:pPr>
            <w:pStyle w:val="Heading1"/>
            <w:rPr>
              <w:sz w:val="32"/>
              <w:szCs w:val="32"/>
            </w:rPr>
          </w:pPr>
          <w:r w:rsidRPr="00722C4E">
            <w:rPr>
              <w:sz w:val="32"/>
              <w:szCs w:val="32"/>
            </w:rPr>
            <w:t>References</w:t>
          </w:r>
        </w:p>
        <w:sdt>
          <w:sdtPr>
            <w:id w:val="-573587230"/>
            <w:bibliography/>
          </w:sdtPr>
          <w:sdtContent>
            <w:p w14:paraId="66A00BAF" w14:textId="77777777" w:rsidR="00722C4E" w:rsidRDefault="00722C4E" w:rsidP="00722C4E">
              <w:pPr>
                <w:pStyle w:val="Bibliography"/>
                <w:rPr>
                  <w:noProof/>
                  <w:kern w:val="0"/>
                  <w14:ligatures w14:val="none"/>
                </w:rPr>
              </w:pPr>
              <w:r>
                <w:fldChar w:fldCharType="begin"/>
              </w:r>
              <w:r>
                <w:instrText xml:space="preserve"> BIBLIOGRAPHY </w:instrText>
              </w:r>
              <w:r>
                <w:fldChar w:fldCharType="separate"/>
              </w:r>
              <w:r>
                <w:rPr>
                  <w:noProof/>
                </w:rPr>
                <w:t xml:space="preserve">Dataquest, 2025. </w:t>
              </w:r>
              <w:r>
                <w:rPr>
                  <w:i/>
                  <w:iCs/>
                  <w:noProof/>
                </w:rPr>
                <w:t xml:space="preserve">Predict Insurance Cost with Linear Regression in Python. </w:t>
              </w:r>
              <w:r>
                <w:rPr>
                  <w:noProof/>
                </w:rPr>
                <w:t xml:space="preserve">[Online] </w:t>
              </w:r>
              <w:r>
                <w:rPr>
                  <w:noProof/>
                </w:rPr>
                <w:br/>
                <w:t xml:space="preserve">Available at: </w:t>
              </w:r>
              <w:r>
                <w:rPr>
                  <w:noProof/>
                  <w:u w:val="single"/>
                </w:rPr>
                <w:t>https://www.youtube.com/watch?v=Q2wkC5J_SaI&amp;t=2965s</w:t>
              </w:r>
              <w:r>
                <w:rPr>
                  <w:noProof/>
                </w:rPr>
                <w:br/>
                <w:t>[Accessed 06 April 2026].</w:t>
              </w:r>
            </w:p>
            <w:p w14:paraId="1BF2624E" w14:textId="5863AB98" w:rsidR="00722C4E" w:rsidRDefault="00722C4E" w:rsidP="00722C4E">
              <w:r>
                <w:rPr>
                  <w:b/>
                  <w:bCs/>
                  <w:noProof/>
                </w:rPr>
                <w:fldChar w:fldCharType="end"/>
              </w:r>
            </w:p>
          </w:sdtContent>
        </w:sdt>
      </w:sdtContent>
    </w:sdt>
    <w:p w14:paraId="40DC5823" w14:textId="77777777" w:rsidR="00E044AE" w:rsidRDefault="00E044AE"/>
    <w:sectPr w:rsidR="00E044AE" w:rsidSect="00F60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941"/>
    <w:multiLevelType w:val="multilevel"/>
    <w:tmpl w:val="509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016A"/>
    <w:multiLevelType w:val="hybridMultilevel"/>
    <w:tmpl w:val="696270F0"/>
    <w:lvl w:ilvl="0" w:tplc="1C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12B3A"/>
    <w:multiLevelType w:val="multilevel"/>
    <w:tmpl w:val="358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E3B1E"/>
    <w:multiLevelType w:val="multilevel"/>
    <w:tmpl w:val="7372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F03A8"/>
    <w:multiLevelType w:val="multilevel"/>
    <w:tmpl w:val="08E0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50911">
    <w:abstractNumId w:val="3"/>
  </w:num>
  <w:num w:numId="2" w16cid:durableId="1974484299">
    <w:abstractNumId w:val="0"/>
  </w:num>
  <w:num w:numId="3" w16cid:durableId="1022586777">
    <w:abstractNumId w:val="2"/>
  </w:num>
  <w:num w:numId="4" w16cid:durableId="1660764034">
    <w:abstractNumId w:val="4"/>
  </w:num>
  <w:num w:numId="5" w16cid:durableId="169942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72"/>
    <w:rsid w:val="000E2694"/>
    <w:rsid w:val="003E4CCA"/>
    <w:rsid w:val="0048437F"/>
    <w:rsid w:val="004E4F81"/>
    <w:rsid w:val="00722C4E"/>
    <w:rsid w:val="00765CFE"/>
    <w:rsid w:val="009A691F"/>
    <w:rsid w:val="00CB5872"/>
    <w:rsid w:val="00E044AE"/>
    <w:rsid w:val="00E67647"/>
    <w:rsid w:val="00F60818"/>
    <w:rsid w:val="00FA551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E742"/>
  <w15:chartTrackingRefBased/>
  <w15:docId w15:val="{0D1B0BA6-E318-4DAF-9625-982E6DC9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5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5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5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5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2"/>
    <w:rPr>
      <w:rFonts w:eastAsiaTheme="majorEastAsia" w:cstheme="majorBidi"/>
      <w:color w:val="272727" w:themeColor="text1" w:themeTint="D8"/>
    </w:rPr>
  </w:style>
  <w:style w:type="paragraph" w:styleId="Title">
    <w:name w:val="Title"/>
    <w:basedOn w:val="Normal"/>
    <w:next w:val="Normal"/>
    <w:link w:val="TitleChar"/>
    <w:uiPriority w:val="10"/>
    <w:qFormat/>
    <w:rsid w:val="00CB5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2"/>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2"/>
    <w:rPr>
      <w:i/>
      <w:iCs/>
      <w:color w:val="404040" w:themeColor="text1" w:themeTint="BF"/>
    </w:rPr>
  </w:style>
  <w:style w:type="paragraph" w:styleId="ListParagraph">
    <w:name w:val="List Paragraph"/>
    <w:basedOn w:val="Normal"/>
    <w:uiPriority w:val="34"/>
    <w:qFormat/>
    <w:rsid w:val="00CB5872"/>
    <w:pPr>
      <w:ind w:left="720"/>
      <w:contextualSpacing/>
    </w:pPr>
  </w:style>
  <w:style w:type="character" w:styleId="IntenseEmphasis">
    <w:name w:val="Intense Emphasis"/>
    <w:basedOn w:val="DefaultParagraphFont"/>
    <w:uiPriority w:val="21"/>
    <w:qFormat/>
    <w:rsid w:val="00CB5872"/>
    <w:rPr>
      <w:i/>
      <w:iCs/>
      <w:color w:val="0F4761" w:themeColor="accent1" w:themeShade="BF"/>
    </w:rPr>
  </w:style>
  <w:style w:type="paragraph" w:styleId="IntenseQuote">
    <w:name w:val="Intense Quote"/>
    <w:basedOn w:val="Normal"/>
    <w:next w:val="Normal"/>
    <w:link w:val="IntenseQuoteChar"/>
    <w:uiPriority w:val="30"/>
    <w:qFormat/>
    <w:rsid w:val="00CB5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2"/>
    <w:rPr>
      <w:i/>
      <w:iCs/>
      <w:color w:val="0F4761" w:themeColor="accent1" w:themeShade="BF"/>
    </w:rPr>
  </w:style>
  <w:style w:type="character" w:styleId="IntenseReference">
    <w:name w:val="Intense Reference"/>
    <w:basedOn w:val="DefaultParagraphFont"/>
    <w:uiPriority w:val="32"/>
    <w:qFormat/>
    <w:rsid w:val="00CB5872"/>
    <w:rPr>
      <w:b/>
      <w:bCs/>
      <w:smallCaps/>
      <w:color w:val="0F4761" w:themeColor="accent1" w:themeShade="BF"/>
      <w:spacing w:val="5"/>
    </w:rPr>
  </w:style>
  <w:style w:type="table" w:styleId="GridTable4-Accent1">
    <w:name w:val="Grid Table 4 Accent 1"/>
    <w:basedOn w:val="TableNormal"/>
    <w:uiPriority w:val="49"/>
    <w:rsid w:val="00CB587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ubtleEmphasis">
    <w:name w:val="Subtle Emphasis"/>
    <w:basedOn w:val="DefaultParagraphFont"/>
    <w:uiPriority w:val="19"/>
    <w:qFormat/>
    <w:rsid w:val="00CB5872"/>
    <w:rPr>
      <w:i/>
      <w:iCs/>
      <w:color w:val="404040" w:themeColor="text1" w:themeTint="BF"/>
    </w:rPr>
  </w:style>
  <w:style w:type="character" w:styleId="Strong">
    <w:name w:val="Strong"/>
    <w:basedOn w:val="DefaultParagraphFont"/>
    <w:uiPriority w:val="22"/>
    <w:qFormat/>
    <w:rsid w:val="00CB5872"/>
    <w:rPr>
      <w:b/>
      <w:bCs/>
    </w:rPr>
  </w:style>
  <w:style w:type="paragraph" w:styleId="Bibliography">
    <w:name w:val="Bibliography"/>
    <w:basedOn w:val="Normal"/>
    <w:next w:val="Normal"/>
    <w:uiPriority w:val="37"/>
    <w:unhideWhenUsed/>
    <w:rsid w:val="00722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168016">
      <w:bodyDiv w:val="1"/>
      <w:marLeft w:val="0"/>
      <w:marRight w:val="0"/>
      <w:marTop w:val="0"/>
      <w:marBottom w:val="0"/>
      <w:divBdr>
        <w:top w:val="none" w:sz="0" w:space="0" w:color="auto"/>
        <w:left w:val="none" w:sz="0" w:space="0" w:color="auto"/>
        <w:bottom w:val="none" w:sz="0" w:space="0" w:color="auto"/>
        <w:right w:val="none" w:sz="0" w:space="0" w:color="auto"/>
      </w:divBdr>
    </w:div>
    <w:div w:id="116393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Dat25</b:Tag>
    <b:SourceType>InternetSite</b:SourceType>
    <b:Guid>{F26A3771-D97D-418B-B58C-664653D51259}</b:Guid>
    <b:Author>
      <b:Author>
        <b:Corporate>Dataquest</b:Corporate>
      </b:Author>
    </b:Author>
    <b:Title>Predict Insurance Cost with Linear Regression in Python</b:Title>
    <b:Year>2025</b:Year>
    <b:YearAccessed>2026</b:YearAccessed>
    <b:MonthAccessed>April</b:MonthAccessed>
    <b:DayAccessed>06</b:DayAccessed>
    <b:URL>https://www.youtube.com/watch?v=Q2wkC5J_SaI&amp;t=2965s</b:URL>
    <b:RefOrder>1</b:RefOrder>
  </b:Source>
</b:Sources>
</file>

<file path=customXml/itemProps1.xml><?xml version="1.0" encoding="utf-8"?>
<ds:datastoreItem xmlns:ds="http://schemas.openxmlformats.org/officeDocument/2006/customXml" ds:itemID="{D5A5A3B5-59A0-4E82-BC0E-13EEC695B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398</Words>
  <Characters>2787</Characters>
  <Application>Microsoft Office Word</Application>
  <DocSecurity>0</DocSecurity>
  <Lines>99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Tlhale</dc:creator>
  <cp:keywords/>
  <dc:description/>
  <cp:lastModifiedBy>Itumeleng Tlhale</cp:lastModifiedBy>
  <cp:revision>2</cp:revision>
  <dcterms:created xsi:type="dcterms:W3CDTF">2026-04-08T17:14:00Z</dcterms:created>
  <dcterms:modified xsi:type="dcterms:W3CDTF">2026-04-08T17:56:00Z</dcterms:modified>
</cp:coreProperties>
</file>